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A0" w:rsidRDefault="009570A0">
      <w:pPr>
        <w:pStyle w:val="Mystyle"/>
        <w:jc w:val="center"/>
        <w:rPr>
          <w:b/>
          <w:bCs/>
          <w:sz w:val="32"/>
          <w:szCs w:val="32"/>
        </w:rPr>
      </w:pPr>
      <w:r>
        <w:rPr>
          <w:b/>
          <w:bCs/>
          <w:sz w:val="32"/>
          <w:szCs w:val="32"/>
        </w:rPr>
        <w:t>Система естественных прав человека исходя из условий его самосознания, назначения, цели и смысла существования</w:t>
      </w:r>
    </w:p>
    <w:p w:rsidR="009570A0" w:rsidRDefault="009570A0">
      <w:pPr>
        <w:pStyle w:val="Mystyle"/>
      </w:pPr>
    </w:p>
    <w:p w:rsidR="009570A0" w:rsidRDefault="009570A0">
      <w:pPr>
        <w:pStyle w:val="Mystyle"/>
      </w:pPr>
      <w:r>
        <w:t>Реализация своего назначения считает Фихте  - есть долг и неотъемлемое  право человека. Традиционно понимаемая система естественных прав человека (право на жизнь, свободу, собственность и достоинство) в концепции Фихте имеет иную структуру и опосредованность. Это связано прежде всего с тем, что Фихте исходит из рефлексивного обоснования принципов естественного права. Это, как отмечают исследователи, сообщает всей системе естественных прав более высокий ранг общности.</w:t>
      </w:r>
      <w:r>
        <w:rPr>
          <w:rStyle w:val="ae"/>
          <w:color w:val="000080"/>
        </w:rPr>
        <w:endnoteReference w:id="1"/>
      </w:r>
      <w:r>
        <w:t xml:space="preserve"> Неотъемлемые естественные права человека Фихте выводит, во-первых, из коренных условий самосознания, во-вторых - из идеи назначения человека, высшей цели и  смысла его существования.</w:t>
      </w:r>
    </w:p>
    <w:p w:rsidR="009570A0" w:rsidRDefault="009570A0">
      <w:pPr>
        <w:pStyle w:val="Mystyle"/>
      </w:pPr>
      <w:r>
        <w:t>Первое неотъемлемое, заложенное в «природном замысле» человека право - это право на жизнь в обществе, на участие в жизни рода. Именно отсюда Фихте выводит более конкретное право человека - на сохранение и поддержание жизни в индивидуальном смысле. Никто не может быть лишен жизни, поскольку «в каждой личности надо признавать и уважать человеческий род»</w:t>
      </w:r>
      <w:r>
        <w:rPr>
          <w:rStyle w:val="ae"/>
          <w:color w:val="000080"/>
        </w:rPr>
        <w:endnoteReference w:id="2"/>
      </w:r>
      <w:r>
        <w:t>. Государство же должно прибегать к лишению преступника жизни только «в случаях крайней необходимости и только тогда, когда не остается никаких других средств; ибо преступник все же всегда остается членом рода и как таковой имеет право на возможно более долгую жизнь для самоисправление»</w:t>
      </w:r>
      <w:r>
        <w:rPr>
          <w:rStyle w:val="ae"/>
          <w:color w:val="000080"/>
        </w:rPr>
        <w:endnoteReference w:id="3"/>
      </w:r>
      <w:r>
        <w:t>.</w:t>
      </w:r>
    </w:p>
    <w:p w:rsidR="009570A0" w:rsidRDefault="009570A0">
      <w:pPr>
        <w:pStyle w:val="Mystyle"/>
      </w:pPr>
      <w:r>
        <w:t>Второе неотъемлемое право человека - право на свободу. В идеально-реальном плане взаимодействия Я и не-Я оно разворачивается в пределах разумного взаимного самоограничения на основании закона.</w:t>
      </w:r>
    </w:p>
    <w:p w:rsidR="009570A0" w:rsidRDefault="009570A0">
      <w:pPr>
        <w:pStyle w:val="Mystyle"/>
      </w:pPr>
      <w:r>
        <w:t>Третье право, заложенное в назначении человека,- право на достойную жизнь: «Не только благочестивое пожелание человечеству, а неустранимое требование его права и назначения, чтобы оно жило на земле так легко, так свободно, так господствуя над природою, так истинно по-человечески, как только ему это позволяет природа... Это его право уже потому, что он человек»</w:t>
      </w:r>
      <w:r>
        <w:rPr>
          <w:rStyle w:val="ae"/>
          <w:color w:val="000080"/>
        </w:rPr>
        <w:endnoteReference w:id="4"/>
      </w:r>
      <w:r>
        <w:t>. Отсюда Фихте выводит понятие об ответственности государства перед гражданами за условия их жизни: «Я не мог бы назвать иначе как антиправовым, такое правительство которому были бы известны лучшие порядки, а оно ... исходило бы из того же расчета, не делая ничего, чтобы выйти самому из такого состояния и вывести из него нацию»</w:t>
      </w:r>
      <w:r>
        <w:rPr>
          <w:rStyle w:val="ae"/>
          <w:color w:val="000080"/>
        </w:rPr>
        <w:endnoteReference w:id="5"/>
      </w:r>
      <w:r>
        <w:t>.</w:t>
      </w:r>
    </w:p>
    <w:p w:rsidR="009570A0" w:rsidRDefault="009570A0">
      <w:pPr>
        <w:pStyle w:val="Mystyle"/>
      </w:pPr>
      <w:r>
        <w:t>Четвертое неотъемлемое, заложенное в назначении и условиях самосознания человека право — это право суверенности личности. «Человек может пользоваться неразумными вещами как средствами для своих целей, но не разумными существами; он не смеет даже пользоваться ими как средством для их собственных целей; он не смеет на них действовать как на мертвую материю или на животное, чтобы только при помощи их достигнуть своей цели, не считаясь с их свободой»</w:t>
      </w:r>
      <w:r>
        <w:rPr>
          <w:rStyle w:val="ae"/>
          <w:color w:val="000080"/>
        </w:rPr>
        <w:endnoteReference w:id="6"/>
      </w:r>
      <w:r>
        <w:t>. Однако этим негативным аспектом Фихте не исчерпывает понятие суверенности. Каждый человек, отмечает Фихте, есть уникальное, неповторимое воплощение «замысла природы». Он несет в себе высшее назначение, которое, собственно, и делает его человеком, а значит, существом, обладающим соответствующими правами. Личность независима от воли других людей, которая не может быть ей навязана даже из благих побуждений, однако эта независимость не есть право индивидуума на обособление от своего человеческого назначения. «Общее совершенствование, совершенствование самого себя посредством свободно использованного влияния на нас других и совершенствование других путем обратного воздействия на них как на свободных существ - вот наше назначение в обществе»</w:t>
      </w:r>
      <w:r>
        <w:rPr>
          <w:rStyle w:val="ae"/>
          <w:color w:val="000080"/>
        </w:rPr>
        <w:endnoteReference w:id="7"/>
      </w:r>
      <w:r>
        <w:t>. Отсюда как конкретизация этого общего права проистекают права человека на уважение и охрану его достоинства, личной  неприкосновенности и собственности, т. е. всех форм объективации суверенности.</w:t>
      </w:r>
    </w:p>
    <w:p w:rsidR="009570A0" w:rsidRDefault="009570A0">
      <w:pPr>
        <w:pStyle w:val="Mystyle"/>
      </w:pPr>
      <w:r>
        <w:t>Пятым неотъемлемым правом каждого человека выступает право на культуру как на универсальный способ самосовершенствования, снимающий противоположность Я и не-Я. Культуру Фихте определяет как «способность давать или действовать на других как на свободных существ и способность брать или извлекать наибольшую выгоду из воздействия других на нас»</w:t>
      </w:r>
      <w:r>
        <w:rPr>
          <w:rStyle w:val="ae"/>
          <w:color w:val="000080"/>
        </w:rPr>
        <w:endnoteReference w:id="8"/>
      </w:r>
      <w:r>
        <w:t>. (Речь в данном случае идет о духовной выгоде).</w:t>
      </w:r>
      <w:r>
        <w:rPr>
          <w:smallCaps/>
        </w:rPr>
        <w:t xml:space="preserve"> </w:t>
      </w:r>
      <w:r>
        <w:t>Человек имеет право (и обязанность) реализовать свое «стремление развить кого-нибудь в той области, в какой мы особенно развиты, стремление, насколько возможно, уравнять всякого другого с нами самими, с лучшей самостью в нас,  и затем стремление к восприятию, т. е. стремление приобресть от каждого культуру в той области, в какой он особенно развит, а мы не развиты»</w:t>
      </w:r>
      <w:r>
        <w:rPr>
          <w:rStyle w:val="ae"/>
          <w:color w:val="000080"/>
        </w:rPr>
        <w:endnoteReference w:id="9"/>
      </w:r>
      <w:r>
        <w:t>. Только с помощью культуры человек способен реализовать свои права. Только культура делает их неотъемлемыми, действительно принадлежащими человеку, а не «пожалованными» ему от милостей властно установленного порядка. Только в культуре достигается соответствие внешней меры свободы внутренней обеспеченности ее в самой личности. Именно поэтому право на культуру выступает у Фихте, как отмечают исследователи,  «суперправом» на саму правоспособность  в высшем смысле этого слова</w:t>
      </w:r>
      <w:r>
        <w:rPr>
          <w:rStyle w:val="ae"/>
          <w:color w:val="000080"/>
        </w:rPr>
        <w:endnoteReference w:id="10"/>
      </w:r>
      <w:r>
        <w:t>.</w:t>
      </w:r>
    </w:p>
    <w:p w:rsidR="009570A0" w:rsidRDefault="009570A0">
      <w:pPr>
        <w:pStyle w:val="Mystyle"/>
      </w:pPr>
      <w:r>
        <w:t>Итак, заканчивая рассмотрение философии Фихте, а именно вопросов связанных с правом, государством и естественными правами человека, подведем итоги.</w:t>
      </w:r>
    </w:p>
    <w:p w:rsidR="009570A0" w:rsidRDefault="009570A0">
      <w:pPr>
        <w:pStyle w:val="Mystyle"/>
      </w:pPr>
      <w:r>
        <w:t>Рассматривая право в двух аспектах (объективное и субъективное), Фихте отдает субъективным правам человека приоритетную роль в самопознании человеком самого себя и внешнего мира (Я и не-Я). А именно, он с помощью рефлексии делает вывод о том, что, полагая о существовании других Я, мы соответственно требуем от них достойного к нам отношения, или другими словами возможности реализации наших прав.</w:t>
      </w:r>
    </w:p>
    <w:p w:rsidR="009570A0" w:rsidRDefault="009570A0">
      <w:pPr>
        <w:pStyle w:val="Mystyle"/>
      </w:pPr>
      <w:r>
        <w:t xml:space="preserve">Конечно, с данными выводами Фихте можно поспорить, но они интересны и перспективны хотя бы в том, что в определенной степени раскрывают механизм правосознания и правового поведения, то есть помогают нам осознать сущность наших прав и обязанностей по отношению к людям которые нас окружают и являются точно такими же личностями как и мы.    </w:t>
      </w:r>
    </w:p>
    <w:p w:rsidR="009570A0" w:rsidRDefault="009570A0">
      <w:pPr>
        <w:pStyle w:val="Mystyle"/>
      </w:pPr>
      <w:r>
        <w:t>Государство Фихте также рассматривает в двух аспектах: как служебное средство для обеспечения жизнедеятельности общества и как средство достижения обществом своей высшей цели. Цель же любого общества и человечества вообще – самосовершенствование, которое заключается в подчинении и овладении человеком всего неразумного. Средством самосовершенствования является культура, которая позволяет каждому человеку давать другим и брать от других духовные выгоды.</w:t>
      </w:r>
    </w:p>
    <w:p w:rsidR="009570A0" w:rsidRDefault="009570A0">
      <w:pPr>
        <w:pStyle w:val="Mystyle"/>
      </w:pPr>
      <w:r>
        <w:t xml:space="preserve">Идеи Фихте о государстве как о служебном инструменте не новы. В своих рассуждениях Фихте просто еще раз доказывает нам, что не мы созданы для государства, а государство для нас, что правители должны удовлетворять не свои интересы, а интересы общества и т.п. Новым же в рассуждениях Фихте является лишь та служебная цель, которую, по его мнению, должно преследовать любое государство – самосовершенствование человеческого рода. </w:t>
      </w:r>
    </w:p>
    <w:p w:rsidR="009570A0" w:rsidRDefault="009570A0">
      <w:pPr>
        <w:pStyle w:val="Mystyle"/>
      </w:pPr>
      <w:r>
        <w:t xml:space="preserve">Исходя из своего назначения, утверждает Фихте, человек обладает рядом естественных прав, которые присущи ему по праву рождения. Это право на жизнь в обществе, право на свободу, право на суверенность личности и, наконец, право на культуру, как самое главное и определяющее. </w:t>
      </w:r>
    </w:p>
    <w:p w:rsidR="009570A0" w:rsidRDefault="009570A0">
      <w:pPr>
        <w:pStyle w:val="Mystyle"/>
      </w:pPr>
      <w:r>
        <w:t xml:space="preserve">Система естественных прав, предложенная Фихте интересна хотя бы потому, что все права выводятся им из самого понятия человека и смысла его существования (деятельности), то есть не являются надуманными и навязанными. </w:t>
      </w:r>
    </w:p>
    <w:p w:rsidR="009570A0" w:rsidRDefault="009570A0">
      <w:pPr>
        <w:pStyle w:val="Mystyle"/>
        <w:jc w:val="center"/>
        <w:rPr>
          <w:b/>
          <w:bCs/>
          <w:sz w:val="28"/>
          <w:szCs w:val="28"/>
        </w:rPr>
      </w:pPr>
      <w:r>
        <w:rPr>
          <w:b/>
          <w:bCs/>
          <w:sz w:val="28"/>
          <w:szCs w:val="28"/>
        </w:rPr>
        <w:t>Список литературы</w:t>
      </w:r>
      <w:bookmarkStart w:id="0" w:name="_GoBack"/>
      <w:bookmarkEnd w:id="0"/>
    </w:p>
    <w:sectPr w:rsidR="009570A0">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0A0" w:rsidRDefault="009570A0">
      <w:r>
        <w:separator/>
      </w:r>
    </w:p>
  </w:endnote>
  <w:endnote w:type="continuationSeparator" w:id="0">
    <w:p w:rsidR="009570A0" w:rsidRDefault="009570A0">
      <w:r>
        <w:continuationSeparator/>
      </w:r>
    </w:p>
  </w:endnote>
  <w:endnote w:id="1">
    <w:p w:rsidR="009570A0" w:rsidRDefault="009570A0">
      <w:pPr>
        <w:pStyle w:val="ac"/>
        <w:spacing w:before="120"/>
      </w:pPr>
      <w:r>
        <w:rPr>
          <w:rStyle w:val="ae"/>
          <w:sz w:val="24"/>
          <w:szCs w:val="24"/>
        </w:rPr>
        <w:endnoteRef/>
      </w:r>
      <w:r>
        <w:rPr>
          <w:sz w:val="24"/>
          <w:szCs w:val="24"/>
        </w:rPr>
        <w:t xml:space="preserve"> Малинова И. П. Классическая философия права – Екатеринбург, 1998, с. 60-61</w:t>
      </w:r>
    </w:p>
  </w:endnote>
  <w:endnote w:id="2">
    <w:p w:rsidR="009570A0" w:rsidRDefault="009570A0">
      <w:pPr>
        <w:pStyle w:val="ac"/>
        <w:spacing w:before="120"/>
      </w:pPr>
      <w:r>
        <w:rPr>
          <w:rStyle w:val="ae"/>
          <w:sz w:val="24"/>
          <w:szCs w:val="24"/>
        </w:rPr>
        <w:endnoteRef/>
      </w:r>
      <w:r>
        <w:rPr>
          <w:sz w:val="24"/>
          <w:szCs w:val="24"/>
        </w:rPr>
        <w:t xml:space="preserve"> Фихте И. Г. Ясное как солнце, сообщение широкой публике о сущности новейшей философии// Сочинения в 2 т., Т.1 – СПб, 1993, с. 579</w:t>
      </w:r>
    </w:p>
  </w:endnote>
  <w:endnote w:id="3">
    <w:p w:rsidR="009570A0" w:rsidRDefault="009570A0">
      <w:pPr>
        <w:pStyle w:val="ac"/>
        <w:spacing w:before="120"/>
      </w:pPr>
      <w:r>
        <w:rPr>
          <w:rStyle w:val="ae"/>
          <w:sz w:val="24"/>
          <w:szCs w:val="24"/>
        </w:rPr>
        <w:endnoteRef/>
      </w:r>
      <w:r>
        <w:rPr>
          <w:sz w:val="24"/>
          <w:szCs w:val="24"/>
        </w:rPr>
        <w:t xml:space="preserve"> там же, с. 580</w:t>
      </w:r>
    </w:p>
  </w:endnote>
  <w:endnote w:id="4">
    <w:p w:rsidR="009570A0" w:rsidRDefault="009570A0">
      <w:pPr>
        <w:pStyle w:val="ac"/>
        <w:spacing w:before="120"/>
      </w:pPr>
      <w:r>
        <w:rPr>
          <w:rStyle w:val="ae"/>
          <w:sz w:val="24"/>
          <w:szCs w:val="24"/>
        </w:rPr>
        <w:endnoteRef/>
      </w:r>
      <w:r>
        <w:rPr>
          <w:sz w:val="24"/>
          <w:szCs w:val="24"/>
        </w:rPr>
        <w:t xml:space="preserve"> Фихте И. Г. Основа общего наукоучения // Сочинения в 2 т., Т.1 – СПб, 1993, с. 262</w:t>
      </w:r>
    </w:p>
  </w:endnote>
  <w:endnote w:id="5">
    <w:p w:rsidR="009570A0" w:rsidRDefault="009570A0">
      <w:pPr>
        <w:pStyle w:val="ac"/>
        <w:spacing w:before="120"/>
      </w:pPr>
      <w:r>
        <w:rPr>
          <w:rStyle w:val="ae"/>
          <w:sz w:val="24"/>
          <w:szCs w:val="24"/>
        </w:rPr>
        <w:endnoteRef/>
      </w:r>
      <w:r>
        <w:rPr>
          <w:sz w:val="24"/>
          <w:szCs w:val="24"/>
        </w:rPr>
        <w:t xml:space="preserve"> там же, с. 262</w:t>
      </w:r>
    </w:p>
  </w:endnote>
  <w:endnote w:id="6">
    <w:p w:rsidR="009570A0" w:rsidRDefault="009570A0">
      <w:pPr>
        <w:pStyle w:val="ac"/>
        <w:spacing w:before="120"/>
      </w:pPr>
      <w:r>
        <w:rPr>
          <w:rStyle w:val="ae"/>
          <w:sz w:val="24"/>
          <w:szCs w:val="24"/>
        </w:rPr>
        <w:endnoteRef/>
      </w:r>
      <w:r>
        <w:rPr>
          <w:sz w:val="24"/>
          <w:szCs w:val="24"/>
        </w:rPr>
        <w:t xml:space="preserve"> Фихте И. Г. О понятии наукоучения, или так называемой философии //Сочинения в 2 т., Т.1 – СПб, 1993, с. 27-28</w:t>
      </w:r>
    </w:p>
  </w:endnote>
  <w:endnote w:id="7">
    <w:p w:rsidR="009570A0" w:rsidRDefault="009570A0">
      <w:pPr>
        <w:pStyle w:val="ac"/>
        <w:spacing w:before="120"/>
      </w:pPr>
      <w:r>
        <w:rPr>
          <w:rStyle w:val="ae"/>
          <w:sz w:val="24"/>
          <w:szCs w:val="24"/>
        </w:rPr>
        <w:endnoteRef/>
      </w:r>
      <w:r>
        <w:rPr>
          <w:sz w:val="24"/>
          <w:szCs w:val="24"/>
        </w:rPr>
        <w:t xml:space="preserve"> там же, с. 29</w:t>
      </w:r>
    </w:p>
  </w:endnote>
  <w:endnote w:id="8">
    <w:p w:rsidR="009570A0" w:rsidRDefault="009570A0">
      <w:pPr>
        <w:pStyle w:val="ac"/>
        <w:spacing w:before="120"/>
      </w:pPr>
      <w:r>
        <w:rPr>
          <w:rStyle w:val="ae"/>
          <w:sz w:val="24"/>
          <w:szCs w:val="24"/>
        </w:rPr>
        <w:endnoteRef/>
      </w:r>
      <w:r>
        <w:rPr>
          <w:sz w:val="24"/>
          <w:szCs w:val="24"/>
        </w:rPr>
        <w:t xml:space="preserve"> там же, с. 29</w:t>
      </w:r>
    </w:p>
  </w:endnote>
  <w:endnote w:id="9">
    <w:p w:rsidR="009570A0" w:rsidRDefault="009570A0">
      <w:pPr>
        <w:pStyle w:val="ac"/>
        <w:spacing w:before="120"/>
      </w:pPr>
      <w:r>
        <w:rPr>
          <w:rStyle w:val="ae"/>
          <w:sz w:val="24"/>
          <w:szCs w:val="24"/>
        </w:rPr>
        <w:endnoteRef/>
      </w:r>
      <w:r>
        <w:rPr>
          <w:sz w:val="24"/>
          <w:szCs w:val="24"/>
        </w:rPr>
        <w:t xml:space="preserve"> там же, с. 33-34</w:t>
      </w:r>
    </w:p>
  </w:endnote>
  <w:endnote w:id="10">
    <w:p w:rsidR="009570A0" w:rsidRDefault="009570A0">
      <w:pPr>
        <w:pStyle w:val="ac"/>
        <w:spacing w:before="120"/>
        <w:rPr>
          <w:sz w:val="24"/>
          <w:szCs w:val="24"/>
        </w:rPr>
      </w:pPr>
      <w:r>
        <w:rPr>
          <w:rStyle w:val="ae"/>
          <w:sz w:val="24"/>
          <w:szCs w:val="24"/>
        </w:rPr>
        <w:endnoteRef/>
      </w:r>
      <w:r>
        <w:rPr>
          <w:sz w:val="24"/>
          <w:szCs w:val="24"/>
        </w:rPr>
        <w:t xml:space="preserve"> Малинова И. П. Классическая философия права – Екатеринбург, 1998, с. 63</w:t>
      </w:r>
    </w:p>
    <w:p w:rsidR="009570A0" w:rsidRDefault="009570A0">
      <w:pPr>
        <w:pStyle w:val="ac"/>
        <w:spacing w:before="120"/>
        <w:rPr>
          <w:sz w:val="24"/>
          <w:szCs w:val="24"/>
        </w:rPr>
      </w:pPr>
    </w:p>
    <w:p w:rsidR="009570A0" w:rsidRDefault="009570A0">
      <w:pPr>
        <w:pStyle w:val="ac"/>
        <w:spacing w:line="360" w:lineRule="auto"/>
        <w:rPr>
          <w:rFonts w:ascii="Courier New" w:hAnsi="Courier New" w:cs="Courier New"/>
          <w:color w:val="000080"/>
          <w:sz w:val="24"/>
          <w:szCs w:val="24"/>
        </w:rPr>
      </w:pPr>
    </w:p>
    <w:p w:rsidR="009570A0" w:rsidRDefault="009570A0">
      <w:pPr>
        <w:pStyle w:val="22"/>
        <w:spacing w:before="120" w:line="240" w:lineRule="auto"/>
        <w:rPr>
          <w:color w:val="000080"/>
          <w:sz w:val="20"/>
          <w:szCs w:val="20"/>
        </w:rPr>
      </w:pPr>
    </w:p>
    <w:p w:rsidR="009570A0" w:rsidRDefault="009570A0">
      <w:pPr>
        <w:pStyle w:val="ac"/>
        <w:spacing w:line="360" w:lineRule="auto"/>
        <w:rPr>
          <w:rFonts w:ascii="Courier New" w:hAnsi="Courier New" w:cs="Courier New"/>
          <w:sz w:val="24"/>
          <w:szCs w:val="24"/>
        </w:rPr>
      </w:pPr>
    </w:p>
    <w:p w:rsidR="009570A0" w:rsidRDefault="009570A0">
      <w:pPr>
        <w:pStyle w:val="ac"/>
        <w:spacing w:line="36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0A0" w:rsidRDefault="009570A0">
      <w:r>
        <w:separator/>
      </w:r>
    </w:p>
  </w:footnote>
  <w:footnote w:type="continuationSeparator" w:id="0">
    <w:p w:rsidR="009570A0" w:rsidRDefault="00957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56987"/>
    <w:multiLevelType w:val="singleLevel"/>
    <w:tmpl w:val="70C0060C"/>
    <w:lvl w:ilvl="0">
      <w:start w:val="1"/>
      <w:numFmt w:val="decimal"/>
      <w:lvlText w:val="%1."/>
      <w:lvlJc w:val="left"/>
      <w:pPr>
        <w:tabs>
          <w:tab w:val="num" w:pos="1350"/>
        </w:tabs>
        <w:ind w:left="1350" w:hanging="630"/>
      </w:pPr>
      <w:rPr>
        <w:rFont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1F35BF7"/>
    <w:multiLevelType w:val="singleLevel"/>
    <w:tmpl w:val="A8DCADEE"/>
    <w:lvl w:ilvl="0">
      <w:start w:val="1"/>
      <w:numFmt w:val="decimal"/>
      <w:lvlText w:val="%1."/>
      <w:lvlJc w:val="left"/>
      <w:pPr>
        <w:tabs>
          <w:tab w:val="num" w:pos="1225"/>
        </w:tabs>
        <w:ind w:left="1225" w:hanging="465"/>
      </w:pPr>
      <w:rPr>
        <w:rFonts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B7B"/>
    <w:rsid w:val="001154C9"/>
    <w:rsid w:val="009570A0"/>
    <w:rsid w:val="00C71385"/>
    <w:rsid w:val="00DD7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C09132-9A8E-4CCA-8128-678F6B0B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FR2">
    <w:name w:val="FR2"/>
    <w:uiPriority w:val="99"/>
    <w:pPr>
      <w:widowControl w:val="0"/>
      <w:spacing w:line="360" w:lineRule="auto"/>
      <w:jc w:val="both"/>
    </w:pPr>
    <w:rPr>
      <w:rFonts w:ascii="Arial" w:hAnsi="Arial" w:cs="Arial"/>
      <w:sz w:val="16"/>
      <w:szCs w:val="16"/>
      <w:lang w:val="ru-RU" w:eastAsia="ru-RU"/>
    </w:rPr>
  </w:style>
  <w:style w:type="paragraph" w:styleId="ac">
    <w:name w:val="endnote text"/>
    <w:basedOn w:val="a"/>
    <w:link w:val="ad"/>
    <w:uiPriority w:val="99"/>
    <w:pPr>
      <w:widowControl/>
      <w:autoSpaceDE/>
      <w:autoSpaceDN/>
    </w:pPr>
    <w:rPr>
      <w:sz w:val="20"/>
      <w:szCs w:val="20"/>
      <w:lang w:val="ru-RU"/>
    </w:rPr>
  </w:style>
  <w:style w:type="character" w:customStyle="1" w:styleId="ad">
    <w:name w:val="Текст концевой сноски Знак"/>
    <w:link w:val="ac"/>
    <w:uiPriority w:val="99"/>
    <w:semiHidden/>
    <w:rPr>
      <w:rFonts w:ascii="Times New Roman" w:hAnsi="Times New Roman" w:cs="Times New Roman"/>
      <w:sz w:val="20"/>
      <w:szCs w:val="20"/>
      <w:lang w:val="en-US"/>
    </w:rPr>
  </w:style>
  <w:style w:type="character" w:styleId="ae">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4596</Words>
  <Characters>2621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2014-01-27T08:09:00Z</dcterms:created>
  <dcterms:modified xsi:type="dcterms:W3CDTF">2014-01-27T08:09:00Z</dcterms:modified>
</cp:coreProperties>
</file>