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9DF" w:rsidRDefault="009B79D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Свойства возбудимых мембран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Аксонами (нервными волокнами) называются отростки, проводящие импульс от тела клетки к другим клеткам или периферическим органам. Мембрана аксона состоит из двойного слоя липидов, направленных гидрофильными головками наружу и гидрофобными хвостами внутрь. В нее встроены белки, выполняющие функции каналов, через которые ионы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 проходят сквозь мембрану, и молекулярные насосы, обеспечивающие ионное неравновесие с помощью 1/3 энергии АТФ.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Нерв состоит из пучков нервных волокон. Нервное волокно может быть миелинизированным и немиелинизированным. Миелиновую оболочку образуют шванновские клетки. Через регулярные промежутки она прерывается перехватами Ранвье. Немиелинизированные волокна не имеют миелиновой оболочки, но погружены в нейроглиальные клетки.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Потенциал покоя обусловлен разностью ионных концентраций внутри клетки и снаружи, когда она в неактивном состоянии – при отсутствия стимула. Он равен -80 мВ. Внутри клетки – в аксоплазме – меньше ионов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и больше 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, а снаружи наоборот. Такая концентрация поддерживается катионными насосами за счет энергии АТФ. Ими из аксона выводится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и поглощается 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. Активному транспорту ионов противостоит пассивный, когда они движутся по электрохимическому градиенту: 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 из клетки, а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в клетку. Выходя, 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 выносит с собой положительный заряд и пытается восстановить равновесный потенциал по </w:t>
      </w:r>
      <w:r>
        <w:rPr>
          <w:color w:val="000000"/>
          <w:lang w:val="en-US"/>
        </w:rPr>
        <w:t>K</w:t>
      </w:r>
      <w:r>
        <w:rPr>
          <w:color w:val="000000"/>
        </w:rPr>
        <w:t>, когда силы диффузии уравновешиваются с электростатическими силами.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Неравновесие восстанавливается катионными насосами. В состоянии покоя каналы для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закрыты – мембрана проницаема только для ионов </w:t>
      </w:r>
      <w:r>
        <w:rPr>
          <w:color w:val="000000"/>
          <w:lang w:val="en-US"/>
        </w:rPr>
        <w:t>K</w:t>
      </w:r>
      <w:r>
        <w:rPr>
          <w:color w:val="000000"/>
        </w:rPr>
        <w:t>. Поэтому потенциал покоя поддерживается транспортом ионов.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Под влиянием нервного импульса (или при стимуляции электрическим током) каналы для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открываются, и он входит в аксон, внося положительный заряд. Происходит частичная деполяризация мембраны. Если импульс достаточно силен, и открылось много каналов для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– деполяризация достигает критического уровня, и возникает потенциал действия. Когда деполяризация достигла КУД, она стала необратимой, т.к. повышение натриевой проводимости и деполяризация начинают взаимно усиливать друг друга. Заряд меняет свой знак – теперь он внутри положительный, а снаружи отрицательный (овершут).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 пике потенциала действия проницаемость для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начинает падать –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-каналы инактивируются, а затем возрастает проницаемость для </w:t>
      </w:r>
      <w:r>
        <w:rPr>
          <w:color w:val="000000"/>
          <w:lang w:val="en-US"/>
        </w:rPr>
        <w:t>K</w:t>
      </w:r>
      <w:r>
        <w:rPr>
          <w:color w:val="000000"/>
        </w:rPr>
        <w:t xml:space="preserve">, который выходит наружу. Заряд внутри аксона вновь становится отрицательным за счет аксонов аминокислот, из которых в основном состоит цитоплазма. Это процесс реполяризации. Концентрация ионов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восстанавливается за счет натриевых насосов, выкачивающих его из клетки.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Период абсолютной рефрактерности – состояние, когда нейрон не отвечает на стимул (а следовательно деполяризацию мембраны) изменением натриевой проводимости, т.к. все каналы для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инактивированны. Когда каналы постепенно восстанавливаются, наблюдается период относительной рефрактерности. Когда все каналы восстановлены, нейрон снова может отвечать на импульсы с максимальной амплитудой потенциала действия. Период рефрактерности ограничивает возможную частоту нервных импульсов и обеспечивает их передачу в одном направлении.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Зависимость пороговой силы раздражения от длительности стимула обратная, т.е. чем меньше длительность, тем выше пороговая сила раздражения и наоборот. Но нерв не будет отвечать на импульсы меньше определенной силы или короче определенной длительности. Нервный импульс пробегает по аксону как волна деполяризации. Когда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входит в аксон, в данном участке создается область положительного заряда, и возникает ток между этим активным участком и отрицательно заряженной областью перед ним. В этой области снижается мембранный потенциал, повышается проводимость для </w:t>
      </w:r>
      <w:r>
        <w:rPr>
          <w:color w:val="000000"/>
          <w:lang w:val="en-US"/>
        </w:rPr>
        <w:t>Na</w:t>
      </w:r>
      <w:r>
        <w:rPr>
          <w:color w:val="000000"/>
        </w:rPr>
        <w:t>, и возникает ПД.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миелинизированных волокнах </w:t>
      </w:r>
      <w:r>
        <w:rPr>
          <w:color w:val="000000"/>
          <w:lang w:val="en-US"/>
        </w:rPr>
        <w:t>Na</w:t>
      </w:r>
      <w:r>
        <w:rPr>
          <w:color w:val="000000"/>
        </w:rPr>
        <w:t xml:space="preserve"> может заходить в аксон только в перехватах Ранвье, и миелиновая оболочка обладает большим сопротивлением. Местные цепи замыкаются в перехватах Ранвье, импульс перескакивает между ними. Поэтому в миелинозированных волокнах скорость проведения импульса не 1-3 м/с, как в немиелинизированных, а 70-100 м/с.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Методика.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1. Объект: лягушка травяная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Оборудование: - осциллограф двухлучевой С1-69,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- электростимулятор лабораторный ЭСЛ-2,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- влажно-воздушная камерка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3. Инструменты: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ножницы средние, ножницы глазные, пинцет глазной, крючки стеклянные, лигатура, зонд, ванночка, вата, раствор Рингера.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4. Препаровка: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Обездвиживаем лягушку, вводя зонд через ромбовидную ямку и разрушая последовательно головной и спинной мозги. Отрезаем нижнюю часть тела с частью спинного мозга. Ватой удаляем внутренние органы и снимаем кожу. Отрезаем хвостовой отросток и, начиная с позвоночника, разрезаем лягушку вдоль пополам. Укладываем препарат в ванночку вентральной стороной вниз. Раздвигаем мышцы и прикалываем их булавками. Стеклянными крючками выделяем седалищный нерв, отрезая побочные ветви и другие ткани. Перерезаем нерв около колена и отрезаем оставшиеся части – остается кусочек позвоночника с отходящим от него седалищным нервом.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5. Задачи: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1) Определить порог раздражения нерва лягушки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2) Определить максимальную силу раздражения нерва лягушки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3) Зарегистрировать кривую «сила-время»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4) Определить абсолютный и относительный рефракторные периоды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6. Полученные результаты: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1) При длительности стимула 0,5 мс и частоте 33 Гц нерв ответил только, когда силу раздражения увеличили до 150 мВ. Значит 150 мВ является порогом раздражения.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2) Таблица зависимости амплитуды ПД от силы раздражения при длительности 0,5 мс и частоте 33 Гц.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9B79DF" w:rsidRPr="009B79DF">
        <w:trPr>
          <w:trHeight w:val="421"/>
        </w:trPr>
        <w:tc>
          <w:tcPr>
            <w:tcW w:w="1090" w:type="dxa"/>
            <w:shd w:val="clear" w:color="auto" w:fill="F3F3F3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Сила(мВ)</w:t>
            </w:r>
          </w:p>
        </w:tc>
        <w:tc>
          <w:tcPr>
            <w:tcW w:w="522" w:type="dxa"/>
            <w:shd w:val="clear" w:color="auto" w:fill="F3F3F3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150</w:t>
            </w:r>
          </w:p>
        </w:tc>
        <w:tc>
          <w:tcPr>
            <w:tcW w:w="523" w:type="dxa"/>
            <w:shd w:val="clear" w:color="auto" w:fill="F3F3F3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160</w:t>
            </w:r>
          </w:p>
        </w:tc>
        <w:tc>
          <w:tcPr>
            <w:tcW w:w="523" w:type="dxa"/>
            <w:shd w:val="clear" w:color="auto" w:fill="F3F3F3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170</w:t>
            </w:r>
          </w:p>
        </w:tc>
        <w:tc>
          <w:tcPr>
            <w:tcW w:w="523" w:type="dxa"/>
            <w:shd w:val="clear" w:color="auto" w:fill="F3F3F3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180</w:t>
            </w:r>
          </w:p>
        </w:tc>
        <w:tc>
          <w:tcPr>
            <w:tcW w:w="524" w:type="dxa"/>
            <w:shd w:val="clear" w:color="auto" w:fill="F3F3F3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190</w:t>
            </w:r>
          </w:p>
        </w:tc>
        <w:tc>
          <w:tcPr>
            <w:tcW w:w="523" w:type="dxa"/>
            <w:shd w:val="clear" w:color="auto" w:fill="F3F3F3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200</w:t>
            </w:r>
          </w:p>
        </w:tc>
        <w:tc>
          <w:tcPr>
            <w:tcW w:w="524" w:type="dxa"/>
            <w:shd w:val="clear" w:color="auto" w:fill="F3F3F3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210</w:t>
            </w:r>
          </w:p>
        </w:tc>
        <w:tc>
          <w:tcPr>
            <w:tcW w:w="524" w:type="dxa"/>
            <w:shd w:val="clear" w:color="auto" w:fill="F3F3F3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220</w:t>
            </w:r>
          </w:p>
        </w:tc>
        <w:tc>
          <w:tcPr>
            <w:tcW w:w="524" w:type="dxa"/>
            <w:shd w:val="clear" w:color="auto" w:fill="F3F3F3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230</w:t>
            </w:r>
          </w:p>
        </w:tc>
        <w:tc>
          <w:tcPr>
            <w:tcW w:w="524" w:type="dxa"/>
            <w:shd w:val="clear" w:color="auto" w:fill="F3F3F3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240</w:t>
            </w:r>
          </w:p>
        </w:tc>
        <w:tc>
          <w:tcPr>
            <w:tcW w:w="523" w:type="dxa"/>
            <w:shd w:val="clear" w:color="auto" w:fill="F3F3F3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250</w:t>
            </w:r>
          </w:p>
        </w:tc>
        <w:tc>
          <w:tcPr>
            <w:tcW w:w="524" w:type="dxa"/>
            <w:shd w:val="clear" w:color="auto" w:fill="F3F3F3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260</w:t>
            </w:r>
          </w:p>
        </w:tc>
        <w:tc>
          <w:tcPr>
            <w:tcW w:w="524" w:type="dxa"/>
            <w:shd w:val="clear" w:color="auto" w:fill="F3F3F3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280</w:t>
            </w:r>
          </w:p>
        </w:tc>
        <w:tc>
          <w:tcPr>
            <w:tcW w:w="524" w:type="dxa"/>
            <w:shd w:val="clear" w:color="auto" w:fill="F3F3F3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290</w:t>
            </w:r>
          </w:p>
        </w:tc>
        <w:tc>
          <w:tcPr>
            <w:tcW w:w="524" w:type="dxa"/>
            <w:shd w:val="clear" w:color="auto" w:fill="F3F3F3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300</w:t>
            </w:r>
          </w:p>
        </w:tc>
        <w:tc>
          <w:tcPr>
            <w:tcW w:w="524" w:type="dxa"/>
            <w:shd w:val="clear" w:color="auto" w:fill="F3F3F3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310</w:t>
            </w:r>
          </w:p>
        </w:tc>
      </w:tr>
      <w:tr w:rsidR="009B79DF" w:rsidRPr="009B79DF">
        <w:trPr>
          <w:trHeight w:val="399"/>
        </w:trPr>
        <w:tc>
          <w:tcPr>
            <w:tcW w:w="1090" w:type="dxa"/>
            <w:shd w:val="clear" w:color="auto" w:fill="F3F3F3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ПД(мм)</w:t>
            </w:r>
          </w:p>
        </w:tc>
        <w:tc>
          <w:tcPr>
            <w:tcW w:w="522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1</w:t>
            </w:r>
          </w:p>
        </w:tc>
        <w:tc>
          <w:tcPr>
            <w:tcW w:w="523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3</w:t>
            </w:r>
          </w:p>
        </w:tc>
        <w:tc>
          <w:tcPr>
            <w:tcW w:w="523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5</w:t>
            </w:r>
          </w:p>
        </w:tc>
        <w:tc>
          <w:tcPr>
            <w:tcW w:w="523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7</w:t>
            </w:r>
          </w:p>
        </w:tc>
        <w:tc>
          <w:tcPr>
            <w:tcW w:w="524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10</w:t>
            </w:r>
          </w:p>
        </w:tc>
        <w:tc>
          <w:tcPr>
            <w:tcW w:w="523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13</w:t>
            </w:r>
          </w:p>
        </w:tc>
        <w:tc>
          <w:tcPr>
            <w:tcW w:w="524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16</w:t>
            </w:r>
          </w:p>
        </w:tc>
        <w:tc>
          <w:tcPr>
            <w:tcW w:w="524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20</w:t>
            </w:r>
          </w:p>
        </w:tc>
        <w:tc>
          <w:tcPr>
            <w:tcW w:w="524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22</w:t>
            </w:r>
          </w:p>
        </w:tc>
        <w:tc>
          <w:tcPr>
            <w:tcW w:w="524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25</w:t>
            </w:r>
          </w:p>
        </w:tc>
        <w:tc>
          <w:tcPr>
            <w:tcW w:w="523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26</w:t>
            </w:r>
          </w:p>
        </w:tc>
        <w:tc>
          <w:tcPr>
            <w:tcW w:w="524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27</w:t>
            </w:r>
          </w:p>
        </w:tc>
        <w:tc>
          <w:tcPr>
            <w:tcW w:w="524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28</w:t>
            </w:r>
          </w:p>
        </w:tc>
        <w:tc>
          <w:tcPr>
            <w:tcW w:w="524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29</w:t>
            </w:r>
          </w:p>
        </w:tc>
        <w:tc>
          <w:tcPr>
            <w:tcW w:w="524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29</w:t>
            </w:r>
          </w:p>
        </w:tc>
        <w:tc>
          <w:tcPr>
            <w:tcW w:w="524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29</w:t>
            </w:r>
          </w:p>
        </w:tc>
      </w:tr>
      <w:tr w:rsidR="009B79DF" w:rsidRPr="009B79DF">
        <w:trPr>
          <w:trHeight w:val="421"/>
        </w:trPr>
        <w:tc>
          <w:tcPr>
            <w:tcW w:w="1090" w:type="dxa"/>
            <w:shd w:val="clear" w:color="auto" w:fill="F3F3F3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ПД(мВ)</w:t>
            </w:r>
          </w:p>
        </w:tc>
        <w:tc>
          <w:tcPr>
            <w:tcW w:w="522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0,1</w:t>
            </w:r>
          </w:p>
        </w:tc>
        <w:tc>
          <w:tcPr>
            <w:tcW w:w="523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0,3</w:t>
            </w:r>
          </w:p>
        </w:tc>
        <w:tc>
          <w:tcPr>
            <w:tcW w:w="523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0,5</w:t>
            </w:r>
          </w:p>
        </w:tc>
        <w:tc>
          <w:tcPr>
            <w:tcW w:w="523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0,7</w:t>
            </w:r>
          </w:p>
        </w:tc>
        <w:tc>
          <w:tcPr>
            <w:tcW w:w="524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1</w:t>
            </w:r>
          </w:p>
        </w:tc>
        <w:tc>
          <w:tcPr>
            <w:tcW w:w="523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1,3</w:t>
            </w:r>
          </w:p>
        </w:tc>
        <w:tc>
          <w:tcPr>
            <w:tcW w:w="524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1,6</w:t>
            </w:r>
          </w:p>
        </w:tc>
        <w:tc>
          <w:tcPr>
            <w:tcW w:w="524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</w:t>
            </w:r>
          </w:p>
        </w:tc>
        <w:tc>
          <w:tcPr>
            <w:tcW w:w="524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2,2</w:t>
            </w:r>
          </w:p>
        </w:tc>
        <w:tc>
          <w:tcPr>
            <w:tcW w:w="524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2,5</w:t>
            </w:r>
          </w:p>
        </w:tc>
        <w:tc>
          <w:tcPr>
            <w:tcW w:w="523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2,6</w:t>
            </w:r>
          </w:p>
        </w:tc>
        <w:tc>
          <w:tcPr>
            <w:tcW w:w="524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2,7</w:t>
            </w:r>
          </w:p>
        </w:tc>
        <w:tc>
          <w:tcPr>
            <w:tcW w:w="524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2,8</w:t>
            </w:r>
          </w:p>
        </w:tc>
        <w:tc>
          <w:tcPr>
            <w:tcW w:w="524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2,9</w:t>
            </w:r>
          </w:p>
        </w:tc>
        <w:tc>
          <w:tcPr>
            <w:tcW w:w="524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2,9</w:t>
            </w:r>
          </w:p>
        </w:tc>
        <w:tc>
          <w:tcPr>
            <w:tcW w:w="524" w:type="dxa"/>
          </w:tcPr>
          <w:p w:rsidR="009B79DF" w:rsidRPr="009B79DF" w:rsidRDefault="009B79DF">
            <w:pPr>
              <w:widowControl w:val="0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2,9</w:t>
            </w:r>
          </w:p>
        </w:tc>
      </w:tr>
    </w:tbl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силе раздражения 290 мВ и больше, амплитуда ПД нерва перестала увеличиваться, достигнув максимальной величины. Максимальная сила раздражения – 290 мВ.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Нерв состоит из нервных волокон, каждое из которых отвечает по закону «все или ничего» и имеет свой порог раздражения. При увеличении силы стимула всё больше волокон отвечают, поэтому амплитуда ПД нерва увеличивается. Когда отвечают все волокна, она достигает максимума и больше не изменяется.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3) Зависимость пороговой силы раздражения от длительности стимула.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9B79DF" w:rsidRPr="009B79DF">
        <w:trPr>
          <w:trHeight w:val="447"/>
        </w:trPr>
        <w:tc>
          <w:tcPr>
            <w:tcW w:w="1260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Время (мс)</w:t>
            </w:r>
          </w:p>
        </w:tc>
        <w:tc>
          <w:tcPr>
            <w:tcW w:w="757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0,1</w:t>
            </w:r>
          </w:p>
        </w:tc>
        <w:tc>
          <w:tcPr>
            <w:tcW w:w="757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0,2</w:t>
            </w:r>
          </w:p>
        </w:tc>
        <w:tc>
          <w:tcPr>
            <w:tcW w:w="757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0,3</w:t>
            </w:r>
          </w:p>
        </w:tc>
        <w:tc>
          <w:tcPr>
            <w:tcW w:w="757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0,4</w:t>
            </w:r>
          </w:p>
        </w:tc>
        <w:tc>
          <w:tcPr>
            <w:tcW w:w="757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0,5</w:t>
            </w:r>
          </w:p>
        </w:tc>
        <w:tc>
          <w:tcPr>
            <w:tcW w:w="757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0,6</w:t>
            </w:r>
          </w:p>
        </w:tc>
        <w:tc>
          <w:tcPr>
            <w:tcW w:w="757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0,7</w:t>
            </w:r>
          </w:p>
        </w:tc>
        <w:tc>
          <w:tcPr>
            <w:tcW w:w="757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0,8</w:t>
            </w:r>
          </w:p>
        </w:tc>
        <w:tc>
          <w:tcPr>
            <w:tcW w:w="757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0,9</w:t>
            </w:r>
          </w:p>
        </w:tc>
        <w:tc>
          <w:tcPr>
            <w:tcW w:w="757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1,0</w:t>
            </w:r>
          </w:p>
        </w:tc>
      </w:tr>
      <w:tr w:rsidR="009B79DF" w:rsidRPr="009B79DF">
        <w:trPr>
          <w:trHeight w:val="471"/>
        </w:trPr>
        <w:tc>
          <w:tcPr>
            <w:tcW w:w="1260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Сила (мВ)</w:t>
            </w:r>
          </w:p>
        </w:tc>
        <w:tc>
          <w:tcPr>
            <w:tcW w:w="757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400</w:t>
            </w:r>
          </w:p>
        </w:tc>
        <w:tc>
          <w:tcPr>
            <w:tcW w:w="757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260</w:t>
            </w:r>
          </w:p>
        </w:tc>
        <w:tc>
          <w:tcPr>
            <w:tcW w:w="757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200</w:t>
            </w:r>
          </w:p>
        </w:tc>
        <w:tc>
          <w:tcPr>
            <w:tcW w:w="757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160</w:t>
            </w:r>
          </w:p>
        </w:tc>
        <w:tc>
          <w:tcPr>
            <w:tcW w:w="757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150</w:t>
            </w:r>
          </w:p>
        </w:tc>
        <w:tc>
          <w:tcPr>
            <w:tcW w:w="757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140</w:t>
            </w:r>
          </w:p>
        </w:tc>
        <w:tc>
          <w:tcPr>
            <w:tcW w:w="757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130</w:t>
            </w:r>
          </w:p>
        </w:tc>
        <w:tc>
          <w:tcPr>
            <w:tcW w:w="757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120</w:t>
            </w:r>
          </w:p>
        </w:tc>
        <w:tc>
          <w:tcPr>
            <w:tcW w:w="757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120</w:t>
            </w:r>
          </w:p>
        </w:tc>
        <w:tc>
          <w:tcPr>
            <w:tcW w:w="757" w:type="dxa"/>
          </w:tcPr>
          <w:p w:rsidR="009B79DF" w:rsidRPr="009B79DF" w:rsidRDefault="009B79DF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9B79DF">
              <w:rPr>
                <w:color w:val="000000"/>
              </w:rPr>
              <w:t>120</w:t>
            </w:r>
          </w:p>
        </w:tc>
      </w:tr>
    </w:tbl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Пороговая сила – 120 мВ (при меньшей силе ответа нет)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Пороговое время – 0,1 мс (при меньшей длительности ответа нет)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Обратная зависимость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4) Если давать стимул через маленький промежуток времени после предыдущего, вызвавшего ПД максимальной амплитуды, то нерв ответа не даст, т.к. находится в состоянии абсолютной рефрактерности.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опыте нерв ответил с небольшой амплитудой ПД только через 2 мс после первого импульса.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Значит 2 мс – период абсолютной рефрактерности.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 временем натриевые каналы восстанавливаются и нерв может отвечать. Своей максимальной амплитуды ПД достиг через 5 мс после первого импульса. От 2 до 5 мс (т.е. 3 мс) длился период относительной рефрактерности, когда ПД возникал, но его амплитуда была меньше максимальной.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7. Выводы: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Порог раздражения нерва лягушки равен 150 мВ.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Максимальная сила раздражения нерва – 290 мВ.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Кривая «сила-время» зарегистрирована.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Период абсолютной рефрактерности – 2 мс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Период относительной рефрактерности – 3 мс</w:t>
      </w:r>
    </w:p>
    <w:p w:rsidR="009B79DF" w:rsidRDefault="009B79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B79DF" w:rsidRDefault="009B79D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«Биология», Н. Грин, У. Стаут, Д. Тейлор; М, «Мир», 1996г.</w:t>
      </w:r>
      <w:bookmarkStart w:id="0" w:name="_GoBack"/>
      <w:bookmarkEnd w:id="0"/>
    </w:p>
    <w:sectPr w:rsidR="009B79DF">
      <w:pgSz w:w="11906" w:h="16838" w:code="9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0D5"/>
    <w:rsid w:val="006434A4"/>
    <w:rsid w:val="009B79DF"/>
    <w:rsid w:val="00A040D5"/>
    <w:rsid w:val="00B4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C5C025-B19A-4A40-9E81-4C884DDD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ind w:left="357"/>
      <w:jc w:val="both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ind w:left="1080"/>
      <w:jc w:val="both"/>
    </w:p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54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357"/>
      <w:jc w:val="both"/>
    </w:pPr>
    <w:rPr>
      <w:i/>
      <w:iCs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4671</Words>
  <Characters>2663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«Свойства возбудимых мембран»</vt:lpstr>
    </vt:vector>
  </TitlesOfParts>
  <Company>Домком</Company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«Свойства возбудимых мембран»</dc:title>
  <dc:subject/>
  <dc:creator>ars</dc:creator>
  <cp:keywords/>
  <dc:description/>
  <cp:lastModifiedBy>admin</cp:lastModifiedBy>
  <cp:revision>2</cp:revision>
  <dcterms:created xsi:type="dcterms:W3CDTF">2014-01-26T14:17:00Z</dcterms:created>
  <dcterms:modified xsi:type="dcterms:W3CDTF">2014-01-26T14:17:00Z</dcterms:modified>
</cp:coreProperties>
</file>