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68" w:rsidRDefault="00472C6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Теоретико-правовые перспективы совершенствования национально-государственного устройства Российской Федерации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Мусаева Наида Магомедовна, старший преподаватель кафедры теории государства и права Дагестанского государственного университета, г. Махачкала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Важнейшее направление обновления Российской Федерации — это совершенствование национально-государственного устройства России. Сложившаяся модель российского государства пока несовершенна, и интеграция народов и республик — процесс настолько сложный, что предсказать и тем более форсировать здесь ничего нельзя. Надо идти естественным путем, который предлагает сама жизнь, находить способы существования вместе, учитывая нынешние сложнейшие политические, экономические, социальные и военные условия, вырабатывать рациональные принципы дальнейшего движения. Должен быть разумный выбор модели российского государства, наиболее оптимальной (полезное, справедливое) из всех возможных. Необходимо вникнуть не только в свои интересы, но и понять другие народы. Проявить толерантность, означающую в цивилизованном обществе взаимную терпимость людей, народов, вер и мнений, что более полезно, чем ксенофобия (неприятие всего чужого). Народы сами постепенно придут к признанию и принятию гуманизма как общечеловеческой ценности. 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— федеративное государство. Нужно понять, что федерация находится постоянно в динамике, развитии. В связи с изменениями правовых, экономических, культурных, политических и т. д. условий будет изменяться, модифицироваться, совершенствоваться Российская Федерация. Отношения между субъектами Федерации и Федерацией должны быть цивилизованными, уважительными, гуманными.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Первоначальной правовой основой национально-государственного устройства Российской Федерации является Федеративный договор. Процесс подготовки и принятия Федеративного договора проходил демократично, учитывались мнения представителей субъектов Федерации. Договор является документом, фиксирующим образование государства, которое сложилось ныне и существует реально. Он отражает главным образом издавна заложенные в российской государственности начала федерализма. Суть его — в разграничении предметов ведения и полномочий между федеральными органами власти и органами власти субъектов Федерации. Следует заметить, что Договор не предусматривает право выхода субъектов из состава Федерации. Он проводит разграничение полномочий по вертикали между разными уровнями субъектов управления, что характерно и для унитарного государства.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дальнейшего регулирования межнациональных отношений в современных условиях все большую актуальность и целесообразность приобретает вопрос о существующих двунациональных национально-государственных образованиях (Кабардино-Балкарская Республика, Карачаево-Черкесская Республика, Ханты-Мансийский автономный округ и др.) с позиций права каждого народа на самоопределение. Каждый народ должен иметь право на свое национально-государственное образование независимо от численности коренного населения. Иногда может быть целесообразно объединить народы, но только если это позволяет близость территории, их этнических признаков. Взять, к примеру, Кабардино-Балкарскую и Карачаево-Черкесскую республики. Существующие национальные объединения вряд ли правомерны, поскольку кабардины и черкесы принадлежат к одной языковой группе, а именно адыгейской семье языков, а балкарцы и карачаевцы — к другой, тюркской. Поэтому существующие сегодня объединения являются искусственными. 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Конструирование национально-государственного устройства должно быть гибким, отвечающим истинным интересам народов. Заботливое и уважительное отношение к малочисленным народам всегда давало свои плоды. Русский народ никогда не страдал национализмом, в русском сознании отсутствует национальное превосходство, нет ненависти и презрения к чужим нациям. Очевидно, поэтому вплоть до 1933 г. в нашей стране наряду с союзными и автономными республиками, автономными областями и округами имелись еще 250 национальных районов и 5300 национальных сельсоветов. Однако их защищенность была непрочной, лишенной правовой гарантии, так как Конституция 1924 г. не предусматривала права национальных меньшинств. </w:t>
      </w:r>
      <w:r>
        <w:rPr>
          <w:rStyle w:val="footnotereference"/>
          <w:color w:val="000000"/>
          <w:sz w:val="24"/>
          <w:szCs w:val="24"/>
        </w:rPr>
        <w:t>[1]</w:t>
      </w:r>
      <w:r>
        <w:rPr>
          <w:color w:val="000000"/>
          <w:sz w:val="24"/>
          <w:szCs w:val="24"/>
        </w:rPr>
        <w:t xml:space="preserve"> Сталинская же национальная политика была направлена на ликвидацию или ассимиляцию малочисленных народов и национальных групп.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в отношении перспектив национально-государственного устройства России нет единого мнения. Вырисовываются три позиции.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позиция предлагает отдавать приоритет основным нациям и народам, определившим название республики. Этого мнения придерживаются определенные силы, стремящиеся свести проблему обновления Российской Федерации лишь к проблеме самоопределения республик — субъектов Федерации, игнорируя волю других многочисленных народов России. Особенно не завидно положение народов, не имеющих своего государственного образования. Безусловно, это приводит к перекосу в вопросах самоопределения. Сепаратистские тенденции в Чечне, Татарстане, Башкирии, Туве, Якутии и др. настолько обострились, что впору уже, наверное, задуматься и принять какое-то решение — действенное и эффективное, а не декларативное.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позиция — сохранить устоявшееся. Ее сторонники находятся в рамках традиционной концепции унитарного государства, но если раньше, хотя и формально, в Конституции СССР было защищено право на самостоятельность, то теперь Конституция Российской Федерации позитивно не предусмотрела право на выход из состава Федерации.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позиция — ныне наиболее целесообразная и приемлемая, с нашей точки зрения, — это разумный реформизм. Сегодня во всех документах всех партий и движений видно желание улучшить межнациональные отношения, сделать их справедливыми, но при этом не меняя сути национально-государственного устройства России, оставляя ту же иерархию: республики, автономные образования и т. д.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 же Конституция Российской Федерации в ст. 5 закрепляет основные начала федеративного устройства России. Среди них: государственная целостность; единство системы государственной власти;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субъектов; равноправие и самоопределение народов России; равноправие всех субъектов Российской Федерации во взаимоотношениях с федеральными органами государственной власти.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М. В. Баглая, Председателя Конституционного Суда Российской Федерации, ст. 5 Конституции РФ носит компромиссный характер, отражающий политическую нестабильность в стране, и это объясняет ее противоречивость и неопределенность. Так, М. В. Баглай отмечает, что республики характеризуются через скобки как государство, что может быть понято как признание в определенной мере их суверенитета и международно-правовой правосубъектности </w:t>
      </w:r>
      <w:r>
        <w:rPr>
          <w:rStyle w:val="footnotereference"/>
          <w:color w:val="000000"/>
          <w:sz w:val="24"/>
          <w:szCs w:val="24"/>
        </w:rPr>
        <w:t>[2]</w:t>
      </w:r>
      <w:r>
        <w:rPr>
          <w:color w:val="000000"/>
          <w:sz w:val="24"/>
          <w:szCs w:val="24"/>
        </w:rPr>
        <w:t>. Но это мнение противоречит ст. 4 Конституции, устанавливающей, что «суверенитет Российской Федерации распространяется на всю ее территорию».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Российской Федерации уживаются две тенденции — как симметрии, так и асимметрии субъектов. Асимметричность проявляется в неоднозначности субъектов Федерации и в их различном правовом статусе (республики, края, области, города федерального значения, автономии), а также в асимметрии, так сказать, внутренней — внутри субъектов одного и того же вида. Однако, как нам представляется, проблема равноправия субъектов Российской Федерации будет нарастать. Ибо равноправие субъектов Федерации проявляется в следующих признаках: 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равенство их прав и обязанностей;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всех субъектов Федерации принимать законы, иметь свою правовую систему (ч. 1 и 4 ст. 76 Конституции РФ);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самостоятельное определение системы органов государственной власти соответственно основам конституционного строя Российской Федерации и общим принципам организации представительных и исполнительных органов власти (ст. 72 Конституции РФ);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равное представительство субъектов в Совете Федерации Федерального Собрания Российской Федерации (ст. 98);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равное право законодательной инициативы в Государственной Думе законодательных (представительных) органов субъектов Российской Федерации.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равноправие их не означает тождества. Равные не значит одинаковые. Естественно, что в правовом статусе субъектов Федераций должны быть и отличия. При определении структуры современной Федерации необходимо учитывать экономические, исторические, этнические, лингвистические, географические и иные данные. Поэтому для жизнеспособности Федерации необходим системный комплексный национально-территориальный подход.</w:t>
      </w:r>
    </w:p>
    <w:p w:rsidR="00472C68" w:rsidRDefault="00472C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[1] Стешенко Л.А. Многонациональная Россия: государственно-правовое развитие X-XXI вв.-М.,2002.-С.354.</w:t>
      </w:r>
    </w:p>
    <w:p w:rsidR="00472C68" w:rsidRDefault="00472C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[2] См.: Баглай М.В. Конституционное право Российской Федерации. М., 1998. С. 114.</w:t>
      </w:r>
      <w:bookmarkStart w:id="0" w:name="_GoBack"/>
      <w:bookmarkEnd w:id="0"/>
    </w:p>
    <w:sectPr w:rsidR="00472C6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87B"/>
    <w:rsid w:val="003E187B"/>
    <w:rsid w:val="00472C68"/>
    <w:rsid w:val="00662FAD"/>
    <w:rsid w:val="008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F6F7B5-FBF2-418F-A3EA-53EDCA8D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character" w:customStyle="1" w:styleId="footnotereference">
    <w:name w:val="footnote_reference"/>
    <w:uiPriority w:val="99"/>
  </w:style>
  <w:style w:type="character" w:styleId="a5">
    <w:name w:val="Strong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5519</Words>
  <Characters>3146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Теоретико-правовые перспективы совершенствования национально-государственного устройства Российской Федерации</vt:lpstr>
    </vt:vector>
  </TitlesOfParts>
  <Company>PERSONAL COMPUTERS</Company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Теоретико-правовые перспективы совершенствования национально-государственного устройства Российской Федерации</dc:title>
  <dc:subject/>
  <dc:creator>USER</dc:creator>
  <cp:keywords/>
  <dc:description/>
  <cp:lastModifiedBy>admin</cp:lastModifiedBy>
  <cp:revision>2</cp:revision>
  <dcterms:created xsi:type="dcterms:W3CDTF">2014-01-26T12:41:00Z</dcterms:created>
  <dcterms:modified xsi:type="dcterms:W3CDTF">2014-01-26T12:41:00Z</dcterms:modified>
</cp:coreProperties>
</file>