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3B09" w:rsidRDefault="00A3405B">
      <w:pPr>
        <w:jc w:val="center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ТЕРМОЭЛЕКТРИЧЕСКИЕ ГЕНЕРАТОРЫ</w:t>
      </w:r>
    </w:p>
    <w:p w:rsidR="00B33B09" w:rsidRDefault="00B33B09">
      <w:pPr>
        <w:jc w:val="both"/>
        <w:rPr>
          <w:snapToGrid w:val="0"/>
          <w:sz w:val="24"/>
          <w:szCs w:val="24"/>
        </w:rPr>
      </w:pPr>
    </w:p>
    <w:p w:rsidR="00B33B09" w:rsidRDefault="00A3405B">
      <w:pPr>
        <w:pStyle w:val="a3"/>
      </w:pPr>
      <w:r>
        <w:t xml:space="preserve">Термоэлектрические генераторы (ТЭГ) представляют собой полупроводниковые термопары и предназначены для прямого преобразования тепловой энергии в электроэнергию. они используются в передвижных АЭУ , питающих труднодоступные объекты, которые монтируются в отдаленных районах Земли (автоматические метеостанции, морские маяки и т.п.). В перспективе такие объекты могут монтироваться на Луне или на других планетах. В качестве источников тепла для подвода к горячим спаям ТЭГ : радиоактивные изотопы (РИТЭГ), ядерные реакторы (ЯРТЭГ), солнечные концентраторы различного исполнения (СТЭГ). Ориентировочно принимают, что при электрических мощностях от 1 до 10 кВт на КЛА целесообразны РИТЭГ и СТЭГ, а при повышенных уровнях мощности - ЯРТЭГ. Последние наиболее перспективны для АЭУ КЛА. </w:t>
      </w:r>
    </w:p>
    <w:p w:rsidR="00B33B09" w:rsidRDefault="00A3405B">
      <w:pPr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Достоинства ТЭГ: большой срок службы, высокая надежность, стабильность параметров, вибростойкость. Недостатки ТЭГ: невысокие относительные энергетические показатели: удельная масса 10-15 кг/кВт, поверхностная плотность мощности 10 кВт/м</w:t>
      </w:r>
      <w:r>
        <w:rPr>
          <w:snapToGrid w:val="0"/>
          <w:position w:val="6"/>
          <w:sz w:val="24"/>
          <w:szCs w:val="24"/>
        </w:rPr>
        <w:t>?</w:t>
      </w:r>
      <w:r>
        <w:rPr>
          <w:snapToGrid w:val="0"/>
          <w:sz w:val="24"/>
          <w:szCs w:val="24"/>
        </w:rPr>
        <w:t>? (на единицу поперечного сечения элемента ), объемная плотность мощности 200-400 кВт/м</w:t>
      </w:r>
      <w:r>
        <w:rPr>
          <w:snapToGrid w:val="0"/>
          <w:position w:val="6"/>
          <w:sz w:val="24"/>
          <w:szCs w:val="24"/>
        </w:rPr>
        <w:t>3</w:t>
      </w:r>
      <w:r>
        <w:rPr>
          <w:snapToGrid w:val="0"/>
          <w:sz w:val="24"/>
          <w:szCs w:val="24"/>
        </w:rPr>
        <w:t xml:space="preserve"> и сравнительно низкий КПД преобразования энергии (5-8%). Применительно к ЛА ТЭГ представляют собой батареи кремне-германиевых термоэлектрических элементов (ТЭЭ), которые по матричному принципу соединены в ветвях последовательно, а ветви могут иметь между собой параллельные соединения. Батареи ТЭЭ заключены с герметичные контейнеры, заполненные инертным газом во избежание окисления и старения полупроводников. Плоские или цилиндрические конструкции ТЭГ снабжаются устройствами для подвода тепла на горячих спаях и для его отвода на "холодных" спаях полупроводниковых термостолбиков. Конструкция силовых электровыводов ТЭГ должна обеспечивать одновременно термоплотность и электрическую изоляцию от корпуса (контейнера), что представляет достаточно сложную техническую задачу.</w:t>
      </w:r>
    </w:p>
    <w:p w:rsidR="00B33B09" w:rsidRDefault="00B33B09">
      <w:pPr>
        <w:jc w:val="both"/>
        <w:rPr>
          <w:snapToGrid w:val="0"/>
          <w:sz w:val="24"/>
          <w:szCs w:val="24"/>
        </w:rPr>
      </w:pPr>
    </w:p>
    <w:p w:rsidR="00B33B09" w:rsidRDefault="00A3405B">
      <w:pPr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2) Физические основы работы термоэлектрических генераторов.</w:t>
      </w:r>
    </w:p>
    <w:p w:rsidR="00B33B09" w:rsidRDefault="00A3405B">
      <w:pPr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В основе действия любого ТЭЭ лежат обратимые термоэлектрические эффекты Пельтье, Томсона (Кельвина) и Зебека. Определяющая роль в ТЭГ принадлежит эффекту термо-ЭДС (Зебека). Преобразование энергии сопровождается необратимыми (диссипативными) эффектами: передачей тепла за счет теплопроводности материала ТЭЭ и протекании тока. Материалы ТЭЭ с приместной электронной и дырочной проводимостью получают введением легирующих добавок в кристаллы основного полупроводника.</w:t>
      </w:r>
    </w:p>
    <w:p w:rsidR="00B33B09" w:rsidRDefault="00F06037">
      <w:pPr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3pt;height:126.75pt" fillcolor="window">
            <v:imagedata r:id="rId4" o:title=""/>
          </v:shape>
        </w:pict>
      </w:r>
    </w:p>
    <w:p w:rsidR="00B33B09" w:rsidRDefault="00A3405B">
      <w:pPr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Рис. 1. Принципиальная схема элементарного полупроводникового ТЭГ </w:t>
      </w:r>
    </w:p>
    <w:p w:rsidR="00B33B09" w:rsidRDefault="00A3405B">
      <w:pPr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При рабочих температурах Т </w:t>
      </w:r>
      <w:r>
        <w:rPr>
          <w:snapToGrid w:val="0"/>
          <w:sz w:val="24"/>
          <w:szCs w:val="24"/>
          <w:lang w:val="en-US"/>
        </w:rPr>
        <w:t>=</w:t>
      </w:r>
      <w:r>
        <w:rPr>
          <w:snapToGrid w:val="0"/>
          <w:sz w:val="24"/>
          <w:szCs w:val="24"/>
        </w:rPr>
        <w:t xml:space="preserve"> 90-100 К целесообразны сплавы 20-30% Ge-Si, а при Т </w:t>
      </w:r>
      <w:r>
        <w:rPr>
          <w:snapToGrid w:val="0"/>
          <w:sz w:val="24"/>
          <w:szCs w:val="24"/>
          <w:lang w:val="en-US"/>
        </w:rPr>
        <w:t>=</w:t>
      </w:r>
      <w:r>
        <w:rPr>
          <w:snapToGrid w:val="0"/>
          <w:sz w:val="24"/>
          <w:szCs w:val="24"/>
        </w:rPr>
        <w:t xml:space="preserve"> 600</w:t>
      </w:r>
      <w:r>
        <w:rPr>
          <w:snapToGrid w:val="0"/>
          <w:sz w:val="24"/>
          <w:szCs w:val="24"/>
          <w:lang w:val="en-US"/>
        </w:rPr>
        <w:t>-</w:t>
      </w:r>
      <w:r>
        <w:rPr>
          <w:snapToGrid w:val="0"/>
          <w:sz w:val="24"/>
          <w:szCs w:val="24"/>
        </w:rPr>
        <w:t xml:space="preserve">800 К - материалы на основе теллуридов и селенидов свинца, висмута и сурьмы. Схема кремниевого ТЭЭ показана на рис. 1. Тепло Q1 подводится к ТЭЭ (ТЭГ) через стенку нагревателя 1 с помощью теплоносителя ( например жидкометаллического), тепловой трубы или при непосредственном контакте с зоной тепловыделения реактора. Через стенку 7 холодильника тепло Q2 отводится от ТЭГ (излучением, теплоносителем или тепловой трубой). Спаи полупроводниковых кристаллических термостолбиков 4 и 9 образованы металлическими шинами 3 и 5, 8, которые электрически изолированы от стенок 1 и 7 слоями диэлектрика 2, 6 на основе оксидов температур </w:t>
      </w:r>
      <w:r>
        <w:rPr>
          <w:snapToGrid w:val="0"/>
          <w:sz w:val="24"/>
          <w:szCs w:val="24"/>
        </w:rPr>
        <w:t xml:space="preserve">Т = Т1-Т2. </w:t>
      </w:r>
    </w:p>
    <w:p w:rsidR="00B33B09" w:rsidRDefault="00A3405B">
      <w:pPr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Эффективность ТЭГ обеспечивается существенной разнородностью структуры ветвей 4 и 9. Ветвь р-типа с дырочной проводимостью получается введением в сплав Si-Ge акцепторных примесей атомарного бора В. Ветвь п-типа с электронной проводимостью образуется при легировании Si-Ge донорными атомами фосфора Р. Из-за повышенной химической активности и малой механической прочности полупроводниковых материалов соединение их с шинами 3, 5, 8 выполняется прослойками из сплава кремний-бор. Для достижения стабильной работы батарея ТЭЭ герметизирована металлической кассетой, заполненной аргоном. </w:t>
      </w:r>
    </w:p>
    <w:p w:rsidR="00B33B09" w:rsidRDefault="00A3405B">
      <w:pPr>
        <w:jc w:val="both"/>
        <w:rPr>
          <w:snapToGrid w:val="0"/>
          <w:sz w:val="24"/>
          <w:szCs w:val="24"/>
          <w:lang w:val="en-US"/>
        </w:rPr>
      </w:pPr>
      <w:r>
        <w:rPr>
          <w:snapToGrid w:val="0"/>
          <w:sz w:val="24"/>
          <w:szCs w:val="24"/>
        </w:rPr>
        <w:t xml:space="preserve">Эффект Пельтье. В пограничной плоскости - спае разнородных полупроводников (или металлов) - при протекании тока I поглощается тепло Qп, если направление тока I совпадают с направлением результирующего теплового потока ( который возник бы при подогреве спая). Если же направления тока I и этого потока противоположны, Qп происходит от внешнего источника тепла (из нагревателя потребляется дополнительная энергия) либо из внутренних запасов энергии, если внешний источник отсутствует ( в этом случае наблюдается охлаждение спая). В замкнутой на сопротивлении Rп термоэлектрической цепи ТЭГ на горячих спаях столбиков ТЭ тепло Qп поглощается (эндотермический эффект). Это охлаждение Пельтье надо компенсировать дополнительным подводом тепла </w:t>
      </w:r>
      <w:r>
        <w:rPr>
          <w:snapToGrid w:val="0"/>
          <w:sz w:val="24"/>
          <w:szCs w:val="24"/>
        </w:rPr>
        <w:t>Qп извне. На холодных спаях тепло Пельтье выделяется (экзотермический эффект). Выделившееся тепло Qп необходимо отводить с помощью внешнего охлаждающего устройства. Указанные явления обуславливаются перераспределением носителей зарядов (электронов) по уровням энергии: при повышении средней энергии электронов ее избыток выделяется в спае.</w:t>
      </w:r>
    </w:p>
    <w:p w:rsidR="00B33B09" w:rsidRDefault="00A3405B">
      <w:pPr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Электрический ток I=dq/dt, следовательно, энергия (за время t ) </w:t>
      </w:r>
    </w:p>
    <w:p w:rsidR="00B33B09" w:rsidRDefault="00A3405B">
      <w:pPr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>Обратимость эффекта Пельтье состоит в том, что при питании цепи током I от внешнего источника характер теплового действия I на спай можно изменять реверсированием направления тока . На этом основано создание термоэлектрических нагревателей и холодильников. Последние имеют больше практическое значение.</w:t>
      </w:r>
    </w:p>
    <w:p w:rsidR="00B33B09" w:rsidRDefault="00A3405B">
      <w:pPr>
        <w:jc w:val="both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Эффект Томсона (Кельвина) . Эффект Томсона относится к объемным (линейным) эффектам в отличие от плоскостного (точечного) эффекта Пельтье. при протекании тока I по термически неоднородному полупроводнику (или проводнику) на его отрезке (х1,х2) с перепадом </w:t>
      </w:r>
      <w:r>
        <w:rPr>
          <w:snapToGrid w:val="0"/>
          <w:sz w:val="24"/>
          <w:szCs w:val="24"/>
        </w:rPr>
        <w:t>Т1-Т2</w:t>
      </w:r>
      <w:r>
        <w:rPr>
          <w:snapToGrid w:val="0"/>
          <w:sz w:val="24"/>
          <w:szCs w:val="24"/>
        </w:rPr>
        <w:t xml:space="preserve">0 в случае совпадения направлений тока и градиента </w:t>
      </w:r>
      <w:r>
        <w:rPr>
          <w:snapToGrid w:val="0"/>
          <w:sz w:val="24"/>
          <w:szCs w:val="24"/>
        </w:rPr>
        <w:object w:dxaOrig="1939" w:dyaOrig="320">
          <v:shape id="_x0000_i1026" type="#_x0000_t75" style="width:96.75pt;height:15.75pt" o:ole="" fillcolor="window">
            <v:imagedata r:id="rId5" o:title=""/>
          </v:shape>
          <o:OLEObject Type="Embed" ProgID="Equation.3" ShapeID="_x0000_i1026" DrawAspect="Content" ObjectID="_1454271821" r:id="rId6"/>
        </w:object>
      </w:r>
    </w:p>
    <w:p w:rsidR="00B33B09" w:rsidRDefault="00A3405B">
      <w:pPr>
        <w:jc w:val="both"/>
        <w:rPr>
          <w:snapToGrid w:val="0"/>
          <w:sz w:val="24"/>
          <w:szCs w:val="24"/>
          <w:lang w:val="en-US"/>
        </w:rPr>
      </w:pPr>
      <w:r>
        <w:rPr>
          <w:snapToGrid w:val="0"/>
          <w:sz w:val="24"/>
          <w:szCs w:val="24"/>
        </w:rPr>
        <w:t xml:space="preserve">выделяется тепло Томсона Qт (нагрев отрезка). При встречных направлениях I и </w:t>
      </w:r>
      <w:r>
        <w:rPr>
          <w:snapToGrid w:val="0"/>
          <w:sz w:val="24"/>
          <w:szCs w:val="24"/>
        </w:rPr>
        <w:t xml:space="preserve">Т тепло Qт поглощается (охлаждение отрезка). Эффект объясняется изменением энергии движущихся электронов при перемещении в область с иным температурным уровнем. При реверсе направления I наблюдается обратимость эффекта Томсона, т.е. перемена экзо- или эндотермического характера теплового действия. Теп ловя энергия пропорциональна току I и перепаду </w:t>
      </w:r>
      <w:r>
        <w:rPr>
          <w:snapToGrid w:val="0"/>
          <w:sz w:val="24"/>
          <w:szCs w:val="24"/>
        </w:rPr>
        <w:t xml:space="preserve">Т т.е. </w:t>
      </w:r>
      <w:r>
        <w:rPr>
          <w:snapToGrid w:val="0"/>
          <w:sz w:val="24"/>
          <w:szCs w:val="24"/>
        </w:rPr>
        <w:object w:dxaOrig="1460" w:dyaOrig="300">
          <v:shape id="_x0000_i1027" type="#_x0000_t75" style="width:72.75pt;height:15pt" o:ole="" fillcolor="window">
            <v:imagedata r:id="rId7" o:title=""/>
          </v:shape>
          <o:OLEObject Type="Embed" ProgID="Equation.3" ShapeID="_x0000_i1027" DrawAspect="Content" ObjectID="_1454271822" r:id="rId8"/>
        </w:object>
      </w:r>
      <w:r>
        <w:rPr>
          <w:snapToGrid w:val="0"/>
          <w:sz w:val="24"/>
          <w:szCs w:val="24"/>
        </w:rPr>
        <w:t xml:space="preserve"> причем dT=|</w:t>
      </w:r>
      <w:r>
        <w:rPr>
          <w:snapToGrid w:val="0"/>
          <w:sz w:val="24"/>
          <w:szCs w:val="24"/>
        </w:rPr>
        <w:t>T|dx.</w:t>
      </w:r>
    </w:p>
    <w:p w:rsidR="00B33B09" w:rsidRDefault="00A3405B">
      <w:pPr>
        <w:jc w:val="both"/>
        <w:rPr>
          <w:snapToGrid w:val="0"/>
          <w:sz w:val="24"/>
          <w:szCs w:val="24"/>
        </w:rPr>
      </w:pPr>
      <w:r>
        <w:rPr>
          <w:b/>
          <w:bCs/>
          <w:snapToGrid w:val="0"/>
          <w:sz w:val="24"/>
          <w:szCs w:val="24"/>
        </w:rPr>
        <w:t xml:space="preserve">Принцип работы ТЭЭ. </w:t>
      </w:r>
      <w:r>
        <w:rPr>
          <w:snapToGrid w:val="0"/>
          <w:sz w:val="24"/>
          <w:szCs w:val="24"/>
        </w:rPr>
        <w:t xml:space="preserve">(рис. 1). Кинетическая энергия электронов на конце цепи с </w:t>
      </w:r>
      <w:r>
        <w:rPr>
          <w:snapToGrid w:val="0"/>
          <w:sz w:val="24"/>
          <w:szCs w:val="24"/>
        </w:rPr>
        <w:object w:dxaOrig="800" w:dyaOrig="300">
          <v:shape id="_x0000_i1028" type="#_x0000_t75" style="width:39.75pt;height:15pt" o:ole="" fillcolor="window">
            <v:imagedata r:id="rId9" o:title=""/>
          </v:shape>
          <o:OLEObject Type="Embed" ProgID="Equation.3" ShapeID="_x0000_i1028" DrawAspect="Content" ObjectID="_1454271823" r:id="rId10"/>
        </w:object>
      </w:r>
      <w:r>
        <w:rPr>
          <w:snapToGrid w:val="0"/>
          <w:sz w:val="24"/>
          <w:szCs w:val="24"/>
        </w:rPr>
        <w:t xml:space="preserve"> выше, чем на "холодных" концах с Т=Т2 , следовательно, преобладает диффузия электронов от горячего спая к холодным концам. концентрация электронов в р- и п-ветвях различна, поэтому более отрицательный потенциал получает конец термостолбика п-типа, по отношения к которому конец столбика р-типа имеет положительный потенциал. Разность потенциалов Е=Z(T1-T2) обуславливает ток I ( при замыкании цепи на сопротивление Rн нагрузки) и полезную электрическую мощность </w:t>
      </w:r>
      <w:r>
        <w:rPr>
          <w:snapToGrid w:val="0"/>
          <w:sz w:val="24"/>
          <w:szCs w:val="24"/>
        </w:rPr>
        <w:object w:dxaOrig="1160" w:dyaOrig="320">
          <v:shape id="_x0000_i1029" type="#_x0000_t75" style="width:57.75pt;height:15.75pt" o:ole="" fillcolor="window">
            <v:imagedata r:id="rId11" o:title=""/>
          </v:shape>
          <o:OLEObject Type="Embed" ProgID="Equation.3" ShapeID="_x0000_i1029" DrawAspect="Content" ObjectID="_1454271824" r:id="rId12"/>
        </w:object>
      </w:r>
      <w:r>
        <w:rPr>
          <w:snapToGrid w:val="0"/>
          <w:sz w:val="24"/>
          <w:szCs w:val="24"/>
        </w:rPr>
        <w:t xml:space="preserve"> Работе ТЭГ сопутствуют обратимые эффекты.</w:t>
      </w:r>
      <w:bookmarkStart w:id="0" w:name="_GoBack"/>
      <w:bookmarkEnd w:id="0"/>
    </w:p>
    <w:sectPr w:rsidR="00B33B09">
      <w:pgSz w:w="12240" w:h="15840"/>
      <w:pgMar w:top="850" w:right="1041" w:bottom="850" w:left="993" w:header="709" w:footer="709" w:gutter="0"/>
      <w:cols w:space="709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bordersDoNotSurroundHeader/>
  <w:bordersDoNotSurroundFooter/>
  <w:revisionView w:markup="0"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3405B"/>
    <w:rsid w:val="00A3405B"/>
    <w:rsid w:val="00B33B09"/>
    <w:rsid w:val="00F06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  <w14:defaultImageDpi w14:val="0"/>
  <w15:docId w15:val="{4E0AAEFE-09EC-40A4-BC40-943BE03B4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widowControl w:val="0"/>
      <w:tabs>
        <w:tab w:val="left" w:pos="360"/>
        <w:tab w:val="left" w:pos="720"/>
        <w:tab w:val="left" w:pos="1080"/>
        <w:tab w:val="left" w:pos="1440"/>
        <w:tab w:val="left" w:pos="1800"/>
        <w:tab w:val="left" w:pos="2160"/>
        <w:tab w:val="left" w:pos="2520"/>
        <w:tab w:val="left" w:pos="2880"/>
        <w:tab w:val="left" w:pos="3240"/>
        <w:tab w:val="left" w:pos="3600"/>
        <w:tab w:val="left" w:pos="3960"/>
        <w:tab w:val="left" w:pos="4320"/>
        <w:tab w:val="left" w:pos="4680"/>
        <w:tab w:val="left" w:pos="5040"/>
        <w:tab w:val="left" w:pos="5400"/>
        <w:tab w:val="left" w:pos="5760"/>
        <w:tab w:val="left" w:pos="6120"/>
        <w:tab w:val="left" w:pos="6480"/>
        <w:tab w:val="left" w:pos="6840"/>
        <w:tab w:val="left" w:pos="7200"/>
        <w:tab w:val="left" w:pos="7560"/>
        <w:tab w:val="left" w:pos="7920"/>
        <w:tab w:val="left" w:pos="8280"/>
        <w:tab w:val="left" w:pos="8640"/>
        <w:tab w:val="left" w:pos="9000"/>
        <w:tab w:val="left" w:pos="9360"/>
        <w:tab w:val="left" w:pos="9720"/>
        <w:tab w:val="left" w:pos="10080"/>
        <w:tab w:val="left" w:pos="10440"/>
        <w:tab w:val="left" w:pos="10800"/>
        <w:tab w:val="left" w:pos="11160"/>
        <w:tab w:val="left" w:pos="11520"/>
      </w:tabs>
      <w:outlineLvl w:val="0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3">
    <w:name w:val="Body Text"/>
    <w:basedOn w:val="a"/>
    <w:link w:val="a4"/>
    <w:uiPriority w:val="99"/>
    <w:pPr>
      <w:jc w:val="both"/>
    </w:pPr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99"/>
    <w:semiHidden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wmf"/><Relationship Id="rId12" Type="http://schemas.openxmlformats.org/officeDocument/2006/relationships/oleObject" Target="embeddings/oleObject4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1" Type="http://schemas.openxmlformats.org/officeDocument/2006/relationships/image" Target="media/image5.wmf"/><Relationship Id="rId5" Type="http://schemas.openxmlformats.org/officeDocument/2006/relationships/image" Target="media/image2.wmf"/><Relationship Id="rId10" Type="http://schemas.openxmlformats.org/officeDocument/2006/relationships/oleObject" Target="embeddings/oleObject3.bin"/><Relationship Id="rId4" Type="http://schemas.openxmlformats.org/officeDocument/2006/relationships/image" Target="media/image1.wmf"/><Relationship Id="rId9" Type="http://schemas.openxmlformats.org/officeDocument/2006/relationships/image" Target="media/image4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1002</Words>
  <Characters>5712</Characters>
  <Application>Microsoft Office Word</Application>
  <DocSecurity>0</DocSecurity>
  <Lines>47</Lines>
  <Paragraphs>13</Paragraphs>
  <ScaleCrop>false</ScaleCrop>
  <Company> </Company>
  <LinksUpToDate>false</LinksUpToDate>
  <CharactersWithSpaces>6701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KIDD</dc:creator>
  <cp:keywords/>
  <dc:description/>
  <cp:lastModifiedBy>admin</cp:lastModifiedBy>
  <cp:revision>2</cp:revision>
  <dcterms:created xsi:type="dcterms:W3CDTF">2014-02-18T21:37:00Z</dcterms:created>
  <dcterms:modified xsi:type="dcterms:W3CDTF">2014-02-18T21:37:00Z</dcterms:modified>
</cp:coreProperties>
</file>