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6C" w:rsidRDefault="00F5156C">
      <w:pPr>
        <w:pStyle w:val="21"/>
        <w:ind w:firstLine="85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Товары, ввозимые на территорию Российской Федерации как часть вклада в уставный капитал предприятий и организаций</w:t>
      </w:r>
    </w:p>
    <w:p w:rsidR="00F5156C" w:rsidRDefault="00F5156C">
      <w:pPr>
        <w:pStyle w:val="21"/>
        <w:rPr>
          <w:lang w:val="en-US"/>
        </w:rPr>
      </w:pPr>
    </w:p>
    <w:p w:rsidR="00F5156C" w:rsidRDefault="00F5156C">
      <w:pPr>
        <w:pStyle w:val="21"/>
        <w:rPr>
          <w:lang w:val="en-US"/>
        </w:rPr>
      </w:pPr>
    </w:p>
    <w:p w:rsidR="00F5156C" w:rsidRDefault="00F5156C">
      <w:pPr>
        <w:pStyle w:val="21"/>
        <w:rPr>
          <w:lang w:val="en-US"/>
        </w:rPr>
      </w:pPr>
      <w:r>
        <w:t>В соответствии с законодательными и нормативными правовыми актами РФ в области гражданского, таможенного законодательства, законодательства о налогах и сборах, о бухгалтерском учете, в частности Законом РФ «О таможенном тарифе», Постановлением Правительства Российской Федерации от 23.07.96 № 883 «О льготах по уплате ввозной таможенной пошлины и налога на добавленную стоимость»,  приказом ГТК РФ от 07.02.2001 № 131 «Об утверждении инструкции о порядке применения таможенными органами  РФ налога на добавленную стоимость в отношении товаров, ввозимых на территорию Российской Федерации» товары, ввозимые на таможенную территорию Российской Федерации  в качестве вклада иностранного инвестора в уставный капитал организации с иностранными инвестициями, освобождаются от обложения таможенными пошлинами при обязательном соблюдении следующих условий</w:t>
      </w:r>
      <w:r>
        <w:rPr>
          <w:lang w:val="en-US"/>
        </w:rPr>
        <w:t xml:space="preserve">: </w:t>
      </w:r>
    </w:p>
    <w:p w:rsidR="00F5156C" w:rsidRDefault="00F5156C">
      <w:pPr>
        <w:pStyle w:val="21"/>
        <w:ind w:firstLine="284"/>
        <w:rPr>
          <w:b/>
          <w:bCs/>
          <w:lang w:val="en-US"/>
        </w:rPr>
      </w:pPr>
      <w:r>
        <w:rPr>
          <w:b/>
          <w:bCs/>
          <w:lang w:val="en-US"/>
        </w:rPr>
        <w:t>1.  товары не являются подакцизными.</w:t>
      </w:r>
    </w:p>
    <w:p w:rsidR="00F5156C" w:rsidRDefault="00F5156C">
      <w:pPr>
        <w:pStyle w:val="2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товары относятся к основным производственным фондам .</w:t>
      </w:r>
    </w:p>
    <w:p w:rsidR="00F5156C" w:rsidRDefault="00F5156C">
      <w:pPr>
        <w:pStyle w:val="21"/>
        <w:numPr>
          <w:ilvl w:val="0"/>
          <w:numId w:val="2"/>
        </w:numPr>
        <w:tabs>
          <w:tab w:val="clear" w:pos="644"/>
          <w:tab w:val="num" w:pos="0"/>
        </w:tabs>
        <w:ind w:left="284" w:firstLine="0"/>
        <w:rPr>
          <w:b/>
          <w:bCs/>
        </w:rPr>
      </w:pPr>
      <w:r>
        <w:rPr>
          <w:b/>
          <w:bCs/>
        </w:rPr>
        <w:t xml:space="preserve">товары ввозятся в сроки, установленные учредительными документами для формирования уставного капитала. </w:t>
      </w:r>
    </w:p>
    <w:p w:rsidR="00F5156C" w:rsidRDefault="00F5156C" w:rsidP="00F5156C">
      <w:pPr>
        <w:pStyle w:val="3"/>
        <w:ind w:firstLine="1701"/>
        <w:rPr>
          <w:lang w:val="en-US"/>
        </w:rPr>
      </w:pPr>
      <w:r>
        <w:t>Таким образом, все предусмотренные законодательством льготы распространяются только на часть товара, ввезенного с соблюдением вышеуказанных требований их целевого использования. Указанная часть товара должна быть строго идентифицирована в соответствии с поданной грузовой таможенной декларацией поскольку  в соответствии с «Методическими рекомендациями по применению тарифных льгот при ввозе товаров в качестве вклада иностранного инвестора в уставный капитал организаций с иностранными инвестициями» тарифные льготы предоставляются только в случае, если товары декларировались как ввозимые в качестве вклада в уставной капитал ( в графе 24 ГТД проставлен код 81)</w:t>
      </w:r>
    </w:p>
    <w:p w:rsidR="00F5156C" w:rsidRDefault="00F5156C" w:rsidP="00F5156C">
      <w:pPr>
        <w:tabs>
          <w:tab w:val="left" w:pos="0"/>
        </w:tabs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вопроса о предоставлении льгот необходимо предоставить в соответствующее таможенное управление  документы (копии), зарегистрированные в порядке, установленном законодательством, в том числе 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>Свидетельство о регистрации предприятия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 учредительные документы( в случае внесения изменений и дополнений в учредительные документы – Свидетельство о внесении изменений в учредительные документы, новые редакции учредительных документов)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Спецификацию или Акт о передаче имущества (или аналогичный документ) с указанием количества, номенклатуры, стоимости за единицу товара и общей стоимости имущества, подписанный и заверенный печатями участников (иностранных инвесторов и получателей) и иные сведения, </w:t>
      </w:r>
      <w:r>
        <w:rPr>
          <w:sz w:val="24"/>
          <w:szCs w:val="24"/>
          <w:u w:val="single"/>
        </w:rPr>
        <w:t>подтверждающие выполнение вышеперечисленных условий, необходимых для предоставления льгот (</w:t>
      </w:r>
      <w:r>
        <w:rPr>
          <w:sz w:val="24"/>
          <w:szCs w:val="24"/>
        </w:rPr>
        <w:t>например, технические описания товаров, товаросопроводительные документы) Для оперативного решения вопроса рекомендуется предоставить также следующие сведения о товаре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код товара по ТН ВЭД, наименование и код данного товара по Общероссийскому классификатору основных фондов, стоимость за единицу товара, общую стоимость  товара, заверив их подписью руководителя и главного бухгалтера и печатью предприятия. </w:t>
      </w:r>
    </w:p>
    <w:p w:rsidR="00F5156C" w:rsidRDefault="00F5156C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В отношении предоставления налоговых и иных льгот при перемещении части товара, являющегося частью вклада иностранного инвестора в уставной капитал, но не ввезенного на данный момент, распространяются  те же требования, что и в отношении ввезенной части при условии, что это не влечет увеличение уставного капитала, величина которого была определена на момент декларирования первой партии товара. При этом  срок ввоза товара в качестве вклада в уставный капитал можно продлить путем внесения соответствующих изменений в учредительные документы. </w:t>
      </w:r>
    </w:p>
    <w:p w:rsidR="00F5156C" w:rsidRDefault="00F5156C">
      <w:pPr>
        <w:pStyle w:val="2"/>
        <w:rPr>
          <w:sz w:val="24"/>
          <w:szCs w:val="24"/>
          <w:lang w:val="en-US"/>
        </w:rPr>
      </w:pPr>
      <w:r>
        <w:rPr>
          <w:sz w:val="24"/>
          <w:szCs w:val="24"/>
        </w:rPr>
        <w:t>Учет и списание</w:t>
      </w:r>
      <w:r>
        <w:rPr>
          <w:sz w:val="24"/>
          <w:szCs w:val="24"/>
          <w:lang w:val="en-US"/>
        </w:rPr>
        <w:t xml:space="preserve"> товаров, относящихся к основным производственным фондам, производится в соответствии с Федеральным законом от 21.11.96 № 129-ФЗ “О бухгалтерском учете”. Названный Закон распространяется на все организации, находящиеся на территории Российской Федерации, включая коммерческие организации  с иностранными инвестициями. </w:t>
      </w:r>
    </w:p>
    <w:p w:rsidR="00F5156C" w:rsidRDefault="00F5156C">
      <w:pPr>
        <w:pStyle w:val="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Обращаем внимание на то, что списание товара данной категории из основных производственных фондов предприятия, в том числе реализация таких товаров любым способом (за исключением передачи в аренду), допускается в соответствии со ст. 29 Таможенного кодекса РФ </w:t>
      </w:r>
      <w:r>
        <w:rPr>
          <w:b/>
          <w:bCs/>
          <w:sz w:val="24"/>
          <w:szCs w:val="24"/>
        </w:rPr>
        <w:t>только с разрешения таможенного органа при условии уплаты условно начисленных таможенных платежей</w:t>
      </w:r>
      <w:r>
        <w:rPr>
          <w:sz w:val="24"/>
          <w:szCs w:val="24"/>
        </w:rPr>
        <w:t xml:space="preserve">. В соответствии с приказом ГТК РФ от 07.02.2001 № 131 в случае использования товара, ввезенного с освобождением от налогооблажения, на иные цели, НДС </w:t>
      </w:r>
      <w:r>
        <w:rPr>
          <w:b/>
          <w:bCs/>
          <w:sz w:val="24"/>
          <w:szCs w:val="24"/>
        </w:rPr>
        <w:t xml:space="preserve">подлежат уплате в полном объеме с начислением пени за весь период с даты ввоза на территорию Российской федерации. </w:t>
      </w:r>
    </w:p>
    <w:p w:rsidR="00F5156C" w:rsidRDefault="00F5156C">
      <w:pPr>
        <w:pStyle w:val="2"/>
        <w:rPr>
          <w:color w:val="000000"/>
          <w:sz w:val="24"/>
          <w:szCs w:val="24"/>
        </w:rPr>
      </w:pPr>
      <w:r>
        <w:rPr>
          <w:sz w:val="24"/>
          <w:szCs w:val="24"/>
        </w:rPr>
        <w:t>Поскольку  аренда не является реализацией товаров согласно действующему гражданскому законодательству, товар, сданный в аренду, учитывается на балансе арендодателя. В таких случаях условие целевого использования интересующих нас  товаров не будет нарушено.</w:t>
      </w:r>
    </w:p>
    <w:p w:rsidR="00F5156C" w:rsidRDefault="00F5156C">
      <w:pPr>
        <w:jc w:val="both"/>
        <w:rPr>
          <w:sz w:val="24"/>
          <w:szCs w:val="24"/>
        </w:rPr>
      </w:pPr>
      <w:bookmarkStart w:id="0" w:name="_GoBack"/>
      <w:bookmarkEnd w:id="0"/>
    </w:p>
    <w:sectPr w:rsidR="00F5156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513C6"/>
    <w:multiLevelType w:val="singleLevel"/>
    <w:tmpl w:val="B1A466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749A142C"/>
    <w:multiLevelType w:val="singleLevel"/>
    <w:tmpl w:val="3308FFB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56C"/>
    <w:rsid w:val="00033A70"/>
    <w:rsid w:val="0065665D"/>
    <w:rsid w:val="00ED557F"/>
    <w:rsid w:val="00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D34245-8710-4A70-B798-4D423928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pPr>
      <w:ind w:firstLine="1701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1701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tabs>
        <w:tab w:val="left" w:pos="0"/>
      </w:tabs>
      <w:ind w:firstLine="226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законодательными и нормативными правовыми актами РФ в области гражданского, таможенного законодательства, законодательства о налогах и сборах, о бухгалтерском учете, в частности Законом РФ «О таможенном тарифе», Постановлением Правительс</vt:lpstr>
    </vt:vector>
  </TitlesOfParts>
  <Company>MNH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законодательными и нормативными правовыми актами РФ в области гражданского, таможенного законодательства, законодательства о налогах и сборах, о бухгалтерском учете, в частности Законом РФ «О таможенном тарифе», Постановлением Правительс</dc:title>
  <dc:subject/>
  <dc:creator>Bykova</dc:creator>
  <cp:keywords/>
  <dc:description/>
  <cp:lastModifiedBy>admin</cp:lastModifiedBy>
  <cp:revision>2</cp:revision>
  <cp:lastPrinted>2003-02-11T14:19:00Z</cp:lastPrinted>
  <dcterms:created xsi:type="dcterms:W3CDTF">2014-02-22T01:11:00Z</dcterms:created>
  <dcterms:modified xsi:type="dcterms:W3CDTF">2014-02-22T01:11:00Z</dcterms:modified>
</cp:coreProperties>
</file>