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42" w:rsidRPr="00964E27" w:rsidRDefault="00565042" w:rsidP="00565042">
      <w:pPr>
        <w:spacing w:before="120"/>
        <w:jc w:val="center"/>
        <w:rPr>
          <w:b/>
          <w:bCs/>
          <w:sz w:val="32"/>
          <w:szCs w:val="32"/>
        </w:rPr>
      </w:pPr>
      <w:r w:rsidRPr="00964E27">
        <w:rPr>
          <w:b/>
          <w:bCs/>
          <w:sz w:val="32"/>
          <w:szCs w:val="32"/>
        </w:rPr>
        <w:t>Триптофан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>(незаменимая аминокислота)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Структура: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 xml:space="preserve">Молекулярная формула C4H9NO3 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8мг на 1кг массы тела. Присутствует в большинстве растительных протеинов, особенно им богаты соевые бобы. Очень малое количество содержится в кукурузе и животных протеинах. Одним из лучших источников триптофана является арахис, причем как цельные орехи, так и арахисовое масло. О лекарствах с триптофаном нужно забыть из-за дискредитации. В капсулах по 50 мг. По 1-2 капсулы 2-3раза в день за 30 мин до еды. Vita line - препарата, вследствие ошибки в технологии его производства японской корпорацией.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Функции: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Ранее использовался в качестве природного снотворного, так как обладает успокаивающим действием. Триптофан распадается до серотонина - нейромедиатора, который погружает животных в сон. Не используйте просроченный триптофан!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необходим для синтеза в головном мозге серотонина, одного из важнейших нейромедиаторов;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участвует в выработке никотиновой кислоты (витамина В3);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необходим для увеличения выброса гормона роста;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улучшает настроение, уменьшает чувство страха и напряжения, устраняет дисфорию, снижает тревожность;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улучшает сон, снимает депрессивные состояния;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анорексигенное (снижение тяги к пище, особенно углеводной), снижение массы тела;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способствует уменьшению вредного воздействия никотина.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Преобразование и распределение: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превращается в никотиновую кислоту при участии витамина В6</w:t>
      </w:r>
    </w:p>
    <w:p w:rsidR="00565042" w:rsidRPr="00964E27" w:rsidRDefault="00565042" w:rsidP="00565042">
      <w:pPr>
        <w:spacing w:before="120"/>
        <w:jc w:val="center"/>
        <w:rPr>
          <w:b/>
          <w:bCs/>
          <w:sz w:val="28"/>
          <w:szCs w:val="28"/>
        </w:rPr>
      </w:pPr>
      <w:r w:rsidRPr="00964E27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Его прием показан при следующих состояниях: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депрессии различного генеза;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бессонница;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чувство страха и напряжения, тревожность;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предменструальные тревоги и другие эмоциональные нарушения;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булимический синдром, анорексия, алкоголизм;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комплексные программы снижения массы тела;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болевой синдром, фибромиалгия;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синдром хронической усталости.</w:t>
      </w:r>
    </w:p>
    <w:p w:rsidR="00565042" w:rsidRPr="003F5AA3" w:rsidRDefault="00565042" w:rsidP="00565042">
      <w:pPr>
        <w:spacing w:before="120"/>
        <w:ind w:firstLine="567"/>
        <w:jc w:val="both"/>
      </w:pPr>
      <w:r w:rsidRPr="003F5AA3">
        <w:t>Особое значение эта аминокислота имеет в фармакологии, где она и ее производные применяются в качестве ингредиентов многих лекарственных средств. При таких тяжелых заболеваниях, как рак, туберкулез, диабет триптофан способствует нормальному функционированию различных систем организма. Недостаток его у человека и животных ведет к развитию пеллагры, поражению зубов, помутнению роговицы глаз, катаракты.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042"/>
    <w:rsid w:val="00095BA6"/>
    <w:rsid w:val="0031418A"/>
    <w:rsid w:val="003F5AA3"/>
    <w:rsid w:val="00492A3A"/>
    <w:rsid w:val="004B283B"/>
    <w:rsid w:val="00565042"/>
    <w:rsid w:val="005A2562"/>
    <w:rsid w:val="00755964"/>
    <w:rsid w:val="0090462F"/>
    <w:rsid w:val="00964E2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4C850-F732-408A-906D-28A6DDD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0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5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Home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Триптофан</dc:title>
  <dc:subject/>
  <dc:creator>Alena</dc:creator>
  <cp:keywords/>
  <dc:description/>
  <cp:lastModifiedBy>admin</cp:lastModifiedBy>
  <cp:revision>2</cp:revision>
  <dcterms:created xsi:type="dcterms:W3CDTF">2014-02-18T09:09:00Z</dcterms:created>
  <dcterms:modified xsi:type="dcterms:W3CDTF">2014-02-18T09:09:00Z</dcterms:modified>
</cp:coreProperties>
</file>