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73FD" w:rsidRDefault="005E73FD">
      <w:pPr>
        <w:pStyle w:val="Mystyle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Виды деления понятий</w:t>
      </w:r>
    </w:p>
    <w:p w:rsidR="005E73FD" w:rsidRDefault="005E73FD">
      <w:pPr>
        <w:pStyle w:val="Mystyle"/>
      </w:pPr>
    </w:p>
    <w:p w:rsidR="005E73FD" w:rsidRDefault="005E73FD">
      <w:pPr>
        <w:pStyle w:val="Mystyle"/>
      </w:pPr>
      <w:r>
        <w:t>В ходе деления можно по-разному пользоваться признаками — основаниями деления. С одной стороны, можно руководствоваться только наличием или отсутствием признака у предметов некоторого множества, т.е. чистым качеством, а можно рассматривать изменения признака от одного подмножества предметов к другому, т.е. принимать во внимание и количество признака. В соответствии с этим объем понятия деления разбивается на два вида: деление дихотомическое и деление по видоизменению признака.</w:t>
      </w:r>
    </w:p>
    <w:p w:rsidR="005E73FD" w:rsidRDefault="005E73FD">
      <w:pPr>
        <w:pStyle w:val="Mystyle"/>
      </w:pPr>
      <w:r>
        <w:t xml:space="preserve">Деление по видоизменению признака —это деление, при котором признак, служащий основанием деления, присущ объектам </w:t>
      </w:r>
      <w:bookmarkStart w:id="0" w:name="OCRUncertain356"/>
      <w:r>
        <w:t>выде</w:t>
      </w:r>
      <w:bookmarkEnd w:id="0"/>
      <w:r>
        <w:t>ля</w:t>
      </w:r>
      <w:bookmarkStart w:id="1" w:name="OCRUncertain357"/>
      <w:r>
        <w:t>емых</w:t>
      </w:r>
      <w:bookmarkEnd w:id="1"/>
      <w:r>
        <w:t xml:space="preserve"> видов в различной степени.</w:t>
      </w:r>
    </w:p>
    <w:p w:rsidR="005E73FD" w:rsidRDefault="005E73FD">
      <w:pPr>
        <w:pStyle w:val="Mystyle"/>
      </w:pPr>
      <w:r>
        <w:t>Пример. В зависимости от объема полномочий различают такие виды доверенностей: разовые, специальные и общие.</w:t>
      </w:r>
    </w:p>
    <w:p w:rsidR="005E73FD" w:rsidRDefault="005E73FD">
      <w:pPr>
        <w:pStyle w:val="Mystyle"/>
      </w:pPr>
      <w:r>
        <w:t>Основанием деления здесь служит признак объема полномочий, содержащихся в доверенности. И этот объем полномочий варьируется от вида к виду.</w:t>
      </w:r>
    </w:p>
    <w:p w:rsidR="005E73FD" w:rsidRDefault="005E73FD">
      <w:pPr>
        <w:pStyle w:val="Mystyle"/>
      </w:pPr>
      <w:r>
        <w:t>Пример. По числу элементов объема понятия делятся на общие) единичные и пустые. В основание деления здесь положен признак «число элементов объема», который в разной степени присущ выделяемым видам.</w:t>
      </w:r>
    </w:p>
    <w:p w:rsidR="005E73FD" w:rsidRDefault="005E73FD">
      <w:pPr>
        <w:pStyle w:val="Mystyle"/>
      </w:pPr>
      <w:r>
        <w:t>Дихотомическое деление — это деление, при котором объем данного понятия делится на два вида по наличию или отсутствию некоторого признака.</w:t>
      </w:r>
    </w:p>
    <w:p w:rsidR="005E73FD" w:rsidRDefault="005E73FD">
      <w:pPr>
        <w:pStyle w:val="Mystyle"/>
      </w:pPr>
      <w:r>
        <w:t>Пример. Натуральные числа бывают четные и нечетные. Здесь в качестве основания деления использован признак «быть четным», который присущ всем предметам одного вида, а всем предметам другого вида не присущ.</w:t>
      </w:r>
    </w:p>
    <w:p w:rsidR="005E73FD" w:rsidRDefault="005E73FD">
      <w:pPr>
        <w:pStyle w:val="Mystyle"/>
      </w:pPr>
      <w:r>
        <w:t xml:space="preserve">Пример. Договоры бывают </w:t>
      </w:r>
      <w:bookmarkStart w:id="2" w:name="OCRUncertain358"/>
      <w:r>
        <w:t>возмездные</w:t>
      </w:r>
      <w:bookmarkEnd w:id="2"/>
      <w:r>
        <w:t xml:space="preserve"> и безвозмездные. В основание этого деления положен признак «быть </w:t>
      </w:r>
      <w:bookmarkStart w:id="3" w:name="OCRUncertain359"/>
      <w:r>
        <w:t xml:space="preserve">возмездным», </w:t>
      </w:r>
      <w:bookmarkEnd w:id="3"/>
      <w:r>
        <w:t>который присущ всем предметам первого вида и не присущ предметам второго вида.</w:t>
      </w:r>
    </w:p>
    <w:p w:rsidR="005E73FD" w:rsidRDefault="005E73FD">
      <w:pPr>
        <w:pStyle w:val="Mystyle"/>
      </w:pPr>
      <w:r>
        <w:t xml:space="preserve">Эти дихотомические деления можно проиллюстрировать при помощи кругов </w:t>
      </w:r>
      <w:bookmarkStart w:id="4" w:name="OCRUncertain360"/>
      <w:r>
        <w:t>Эйлера</w:t>
      </w:r>
      <w:bookmarkEnd w:id="4"/>
      <w:r>
        <w:t xml:space="preserve"> следующим образом:</w:t>
      </w:r>
    </w:p>
    <w:p w:rsidR="005E73FD" w:rsidRDefault="005E73FD">
      <w:pPr>
        <w:pStyle w:val="Mystyle"/>
      </w:pPr>
    </w:p>
    <w:p w:rsidR="005E73FD" w:rsidRDefault="00CB57F8">
      <w:pPr>
        <w:pStyle w:val="Mystyle"/>
      </w:pPr>
      <w:r>
        <w:rPr>
          <w:sz w:val="20"/>
          <w:szCs w:val="20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0.5pt;height:71.25pt">
            <v:imagedata r:id="rId5" o:title=""/>
          </v:shape>
        </w:pict>
      </w:r>
    </w:p>
    <w:p w:rsidR="005E73FD" w:rsidRDefault="005E73FD">
      <w:pPr>
        <w:pStyle w:val="Mystyle"/>
      </w:pPr>
    </w:p>
    <w:p w:rsidR="005E73FD" w:rsidRDefault="005E73FD">
      <w:pPr>
        <w:pStyle w:val="Mystyle"/>
      </w:pPr>
      <w:r>
        <w:t>Дихотомическое деление, кроме возможности более ясно и отчетливо мыслить объем понятия имеет и определенное эвристическое значение. Оно помогает последовательно и быстро сузить круг предметов, среди которых необходимо отыскать интересующий нас предмет. Для этого применяется последовательное дихотомическое деление.</w:t>
      </w:r>
    </w:p>
    <w:p w:rsidR="005E73FD" w:rsidRDefault="005E73FD">
      <w:pPr>
        <w:pStyle w:val="Mystyle"/>
      </w:pPr>
      <w:r>
        <w:t>Пример. По делу об убийстве в поселке Криминальный были обнаружены патрон от охотничьего ружья и было установлено, что пыж патрона был сделан из газеты «Правда».</w:t>
      </w:r>
    </w:p>
    <w:p w:rsidR="005E73FD" w:rsidRDefault="005E73FD">
      <w:pPr>
        <w:pStyle w:val="Mystyle"/>
      </w:pPr>
      <w:r>
        <w:t>Пусть А — множество лиц, проживающих в поселке Криминальный; В — множество лиц в этом поселке, имеющих охотничье ружье; тогда В — множество лиц, не имеющих охотничьего ружья; С — множество лиц, выписывающих газету «Правда»; тогда С — множество лиц, не выписывающих газету «Правда».</w:t>
      </w:r>
    </w:p>
    <w:p w:rsidR="005E73FD" w:rsidRDefault="005E73FD">
      <w:pPr>
        <w:pStyle w:val="Mystyle"/>
      </w:pPr>
      <w:r>
        <w:t>Мышление следователя тогда можно реконструировать при помощи следующей диаграммы.</w:t>
      </w:r>
    </w:p>
    <w:p w:rsidR="005E73FD" w:rsidRDefault="005E73FD">
      <w:pPr>
        <w:pStyle w:val="Mystyle"/>
      </w:pPr>
      <w:r>
        <w:t xml:space="preserve">1. Сначала он множество А всех жителей поселка дихотомически разделит на два множества: В и В </w:t>
      </w:r>
      <w:bookmarkStart w:id="5" w:name="OCRUncertain361"/>
    </w:p>
    <w:bookmarkEnd w:id="5"/>
    <w:p w:rsidR="005E73FD" w:rsidRDefault="005E73FD">
      <w:pPr>
        <w:pStyle w:val="Mystyle"/>
      </w:pPr>
    </w:p>
    <w:p w:rsidR="005E73FD" w:rsidRDefault="005E73FD">
      <w:pPr>
        <w:pStyle w:val="Mystyle"/>
      </w:pPr>
      <w:r>
        <w:t>A</w:t>
      </w:r>
    </w:p>
    <w:tbl>
      <w:tblPr>
        <w:tblW w:w="0" w:type="auto"/>
        <w:tblInd w:w="318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01"/>
        <w:gridCol w:w="1417"/>
      </w:tblGrid>
      <w:tr w:rsidR="005E73FD" w:rsidRPr="005E73FD">
        <w:tc>
          <w:tcPr>
            <w:tcW w:w="1701" w:type="dxa"/>
          </w:tcPr>
          <w:p w:rsidR="005E73FD" w:rsidRPr="005E73FD" w:rsidRDefault="00CB57F8">
            <w:pPr>
              <w:pStyle w:val="Mystyle"/>
            </w:pPr>
            <w:r>
              <w:rPr>
                <w:noProof/>
              </w:rPr>
              <w:pict>
                <v:line id="_x0000_s1026" style="position:absolute;left:0;text-align:left;z-index:251656704" from="267.85pt,16.1pt" to="282.3pt,16.15pt" o:allowincell="f" strokeweight="1pt"/>
              </w:pict>
            </w:r>
          </w:p>
          <w:p w:rsidR="005E73FD" w:rsidRPr="005E73FD" w:rsidRDefault="005E73FD">
            <w:pPr>
              <w:pStyle w:val="Mystyle"/>
            </w:pPr>
            <w:r w:rsidRPr="005E73FD">
              <w:t>B</w:t>
            </w:r>
          </w:p>
        </w:tc>
        <w:tc>
          <w:tcPr>
            <w:tcW w:w="1417" w:type="dxa"/>
          </w:tcPr>
          <w:p w:rsidR="005E73FD" w:rsidRPr="005E73FD" w:rsidRDefault="005E73FD">
            <w:pPr>
              <w:pStyle w:val="Mystyle"/>
            </w:pPr>
          </w:p>
          <w:p w:rsidR="005E73FD" w:rsidRPr="005E73FD" w:rsidRDefault="005E73FD">
            <w:pPr>
              <w:pStyle w:val="Mystyle"/>
            </w:pPr>
            <w:r w:rsidRPr="005E73FD">
              <w:t>B</w:t>
            </w:r>
          </w:p>
          <w:p w:rsidR="005E73FD" w:rsidRPr="005E73FD" w:rsidRDefault="005E73FD">
            <w:pPr>
              <w:pStyle w:val="Mystyle"/>
            </w:pPr>
          </w:p>
        </w:tc>
      </w:tr>
    </w:tbl>
    <w:p w:rsidR="005E73FD" w:rsidRDefault="005E73FD">
      <w:pPr>
        <w:pStyle w:val="Mystyle"/>
      </w:pPr>
    </w:p>
    <w:p w:rsidR="005E73FD" w:rsidRDefault="005E73FD">
      <w:pPr>
        <w:pStyle w:val="Mystyle"/>
      </w:pPr>
    </w:p>
    <w:p w:rsidR="005E73FD" w:rsidRDefault="005E73FD">
      <w:pPr>
        <w:pStyle w:val="Mystyle"/>
      </w:pPr>
      <w:r>
        <w:t>1. Затем множество В он разделит на два подмножества С и С</w:t>
      </w:r>
      <w:bookmarkStart w:id="6" w:name="OCRUncertain364"/>
      <w:r>
        <w:t xml:space="preserve">: </w:t>
      </w:r>
      <w:bookmarkEnd w:id="6"/>
    </w:p>
    <w:p w:rsidR="005E73FD" w:rsidRDefault="005E73FD">
      <w:pPr>
        <w:pStyle w:val="Mystyle"/>
        <w:rPr>
          <w:lang w:val="en-US"/>
        </w:rPr>
      </w:pPr>
      <w:r>
        <w:rPr>
          <w:lang w:val="en-US"/>
        </w:rPr>
        <w:t>A</w:t>
      </w:r>
    </w:p>
    <w:tbl>
      <w:tblPr>
        <w:tblW w:w="0" w:type="auto"/>
        <w:tblInd w:w="318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01"/>
        <w:gridCol w:w="1417"/>
      </w:tblGrid>
      <w:tr w:rsidR="005E73FD" w:rsidRPr="005E73FD">
        <w:tc>
          <w:tcPr>
            <w:tcW w:w="1701" w:type="dxa"/>
          </w:tcPr>
          <w:p w:rsidR="005E73FD" w:rsidRPr="005E73FD" w:rsidRDefault="00CB57F8">
            <w:pPr>
              <w:pStyle w:val="Mystyle"/>
              <w:rPr>
                <w:lang w:val="en-US"/>
              </w:rPr>
            </w:pPr>
            <w:r>
              <w:rPr>
                <w:noProof/>
              </w:rPr>
              <w:pict>
                <v:line id="_x0000_s1027" style="position:absolute;left:0;text-align:left;z-index:251657728" from="267.85pt,16.1pt" to="282.3pt,16.15pt" o:allowincell="f" strokeweight="1pt"/>
              </w:pict>
            </w:r>
          </w:p>
          <w:p w:rsidR="005E73FD" w:rsidRPr="005E73FD" w:rsidRDefault="005E73FD">
            <w:pPr>
              <w:pStyle w:val="Mystyle"/>
              <w:rPr>
                <w:lang w:val="en-US"/>
              </w:rPr>
            </w:pPr>
            <w:r w:rsidRPr="005E73FD">
              <w:rPr>
                <w:lang w:val="en-US"/>
              </w:rPr>
              <w:t>CB</w:t>
            </w:r>
          </w:p>
        </w:tc>
        <w:tc>
          <w:tcPr>
            <w:tcW w:w="1417" w:type="dxa"/>
          </w:tcPr>
          <w:p w:rsidR="005E73FD" w:rsidRPr="005E73FD" w:rsidRDefault="005E73FD">
            <w:pPr>
              <w:pStyle w:val="Mystyle"/>
              <w:rPr>
                <w:lang w:val="en-US"/>
              </w:rPr>
            </w:pPr>
          </w:p>
          <w:p w:rsidR="005E73FD" w:rsidRPr="005E73FD" w:rsidRDefault="005E73FD">
            <w:pPr>
              <w:pStyle w:val="Mystyle"/>
              <w:rPr>
                <w:lang w:val="en-US"/>
              </w:rPr>
            </w:pPr>
            <w:r w:rsidRPr="005E73FD">
              <w:rPr>
                <w:lang w:val="en-US"/>
              </w:rPr>
              <w:t>B</w:t>
            </w:r>
          </w:p>
          <w:p w:rsidR="005E73FD" w:rsidRPr="005E73FD" w:rsidRDefault="005E73FD">
            <w:pPr>
              <w:pStyle w:val="Mystyle"/>
              <w:rPr>
                <w:lang w:val="en-US"/>
              </w:rPr>
            </w:pPr>
          </w:p>
        </w:tc>
      </w:tr>
      <w:tr w:rsidR="005E73FD" w:rsidRPr="005E73FD">
        <w:tc>
          <w:tcPr>
            <w:tcW w:w="1701" w:type="dxa"/>
          </w:tcPr>
          <w:p w:rsidR="005E73FD" w:rsidRPr="005E73FD" w:rsidRDefault="00CB57F8">
            <w:pPr>
              <w:pStyle w:val="Mystyle"/>
              <w:rPr>
                <w:noProof/>
                <w:sz w:val="20"/>
                <w:szCs w:val="20"/>
                <w:lang w:val="en-US"/>
              </w:rPr>
            </w:pPr>
            <w:r>
              <w:rPr>
                <w:noProof/>
              </w:rPr>
              <w:pict>
                <v:line id="_x0000_s1028" style="position:absolute;left:0;text-align:left;z-index:251658752;mso-position-horizontal-relative:text;mso-position-vertical-relative:text" from="188.65pt,13pt" to="210.3pt,13.05pt" o:allowincell="f" strokeweight="1pt"/>
              </w:pict>
            </w:r>
          </w:p>
          <w:p w:rsidR="005E73FD" w:rsidRPr="005E73FD" w:rsidRDefault="005E73FD">
            <w:pPr>
              <w:pStyle w:val="Mystyle"/>
              <w:rPr>
                <w:noProof/>
                <w:sz w:val="20"/>
                <w:szCs w:val="20"/>
                <w:lang w:val="en-US"/>
              </w:rPr>
            </w:pPr>
            <w:r w:rsidRPr="005E73FD">
              <w:rPr>
                <w:noProof/>
                <w:sz w:val="20"/>
                <w:szCs w:val="20"/>
                <w:lang w:val="en-US"/>
              </w:rPr>
              <w:t>C</w:t>
            </w:r>
          </w:p>
          <w:p w:rsidR="005E73FD" w:rsidRPr="005E73FD" w:rsidRDefault="005E73FD">
            <w:pPr>
              <w:pStyle w:val="Mystyle"/>
              <w:rPr>
                <w:noProof/>
                <w:sz w:val="20"/>
                <w:szCs w:val="20"/>
                <w:lang w:val="en-US"/>
              </w:rPr>
            </w:pPr>
          </w:p>
        </w:tc>
        <w:tc>
          <w:tcPr>
            <w:tcW w:w="1417" w:type="dxa"/>
          </w:tcPr>
          <w:p w:rsidR="005E73FD" w:rsidRPr="005E73FD" w:rsidRDefault="005E73FD">
            <w:pPr>
              <w:pStyle w:val="Mystyle"/>
              <w:rPr>
                <w:lang w:val="en-US"/>
              </w:rPr>
            </w:pPr>
          </w:p>
        </w:tc>
      </w:tr>
    </w:tbl>
    <w:p w:rsidR="005E73FD" w:rsidRDefault="005E73FD">
      <w:pPr>
        <w:pStyle w:val="Mystyle"/>
        <w:rPr>
          <w:lang w:val="en-US"/>
        </w:rPr>
      </w:pPr>
    </w:p>
    <w:p w:rsidR="005E73FD" w:rsidRDefault="005E73FD">
      <w:pPr>
        <w:pStyle w:val="Mystyle"/>
      </w:pPr>
      <w:r>
        <w:t>Теперь следователю из поселка Криминальный остается искать среди жителей, попавших в группу, удовлетворяющую признакам Си В. Таким образом, последовательное дихотомическое деление позволяет резко сократить круг объектов, в котором проводится поиск.</w:t>
      </w:r>
    </w:p>
    <w:p w:rsidR="005E73FD" w:rsidRDefault="005E73FD">
      <w:pPr>
        <w:pStyle w:val="Mystyle"/>
      </w:pPr>
      <w:r>
        <w:t>Пример. Интересный пример применения последовательного дихотомического деления мы находим в диалоге Платона «Политик». Решая задачу определения понятия «политик», Платон ра</w:t>
      </w:r>
      <w:bookmarkStart w:id="7" w:name="OCRUncertain366"/>
      <w:r>
        <w:t>з</w:t>
      </w:r>
      <w:bookmarkEnd w:id="7"/>
      <w:r>
        <w:t xml:space="preserve">ъясняет свое определение человека как существа двуногого и </w:t>
      </w:r>
      <w:bookmarkStart w:id="8" w:name="OCRUncertain367"/>
      <w:r>
        <w:t>бесперого</w:t>
      </w:r>
      <w:bookmarkEnd w:id="8"/>
      <w:r>
        <w:t xml:space="preserve"> при помощи последовательного дихотомического деления. </w:t>
      </w:r>
    </w:p>
    <w:p w:rsidR="005E73FD" w:rsidRDefault="005E73FD">
      <w:pPr>
        <w:pStyle w:val="Mystyle"/>
      </w:pPr>
      <w:r>
        <w:t>Пример Платона наводит нас на мысль, что последовательное дихо</w:t>
      </w:r>
      <w:bookmarkStart w:id="9" w:name="OCRUncertain381"/>
      <w:r>
        <w:t>то</w:t>
      </w:r>
      <w:bookmarkEnd w:id="9"/>
      <w:r>
        <w:t>мическое деление может служить эвристическим механизмом для поиска правильных определений. Рассмотрим в связи с этим, как можно было бы систематически обнаружить наше опреде</w:t>
      </w:r>
      <w:bookmarkStart w:id="10" w:name="OCRUncertain382"/>
      <w:r>
        <w:t>л</w:t>
      </w:r>
      <w:bookmarkEnd w:id="10"/>
      <w:r>
        <w:t>ение понятия «стул».</w:t>
      </w:r>
    </w:p>
    <w:p w:rsidR="005E73FD" w:rsidRDefault="005E73FD">
      <w:pPr>
        <w:pStyle w:val="Mystyle"/>
      </w:pPr>
      <w:r>
        <w:t xml:space="preserve">Начнем с самого общего понятия «предмет». Объем понятия «предмет» можно разделить на (А) предмет мебели и (А) не предмет мебели, объем понятия (А) можно разделить на (В) предмет для сидения и (В) предмет не для сидения. (В) можно разделить на (С) предмет, предназначенный для одного человека, и (С) предмет, предназначенный не для одного человека, (С) можно разделить на (D) предмет, имеющий спинку, и </w:t>
      </w:r>
      <w:bookmarkStart w:id="11" w:name="OCRUncertain383"/>
      <w:r>
        <w:t>(</w:t>
      </w:r>
      <w:bookmarkEnd w:id="11"/>
      <w:r>
        <w:t xml:space="preserve"> D </w:t>
      </w:r>
      <w:bookmarkStart w:id="12" w:name="OCRUncertain384"/>
      <w:r>
        <w:t>)</w:t>
      </w:r>
      <w:bookmarkEnd w:id="12"/>
      <w:r>
        <w:t xml:space="preserve"> предмет, не имеющий спинки. (D) можно разделить на </w:t>
      </w:r>
      <w:bookmarkStart w:id="13" w:name="OCRUncertain385"/>
      <w:r>
        <w:t>(Е)</w:t>
      </w:r>
      <w:bookmarkEnd w:id="13"/>
      <w:r>
        <w:t xml:space="preserve"> предметы, имеющие подлокотники, и </w:t>
      </w:r>
      <w:bookmarkStart w:id="14" w:name="OCRUncertain386"/>
      <w:r>
        <w:t>(Е)</w:t>
      </w:r>
      <w:bookmarkEnd w:id="14"/>
      <w:r>
        <w:t xml:space="preserve"> предметы, не имеющие подлоко</w:t>
      </w:r>
      <w:bookmarkStart w:id="15" w:name="OCRUncertain387"/>
      <w:r>
        <w:t>т</w:t>
      </w:r>
      <w:bookmarkEnd w:id="15"/>
      <w:r>
        <w:t>ников. Последняя категория и будет представлять собой стулья.</w:t>
      </w:r>
    </w:p>
    <w:p w:rsidR="005E73FD" w:rsidRDefault="005E73FD">
      <w:pPr>
        <w:pStyle w:val="Mystyle"/>
      </w:pPr>
      <w:r>
        <w:t>Теперь мы можем получить определение понятия «стул», суммировав признаки, по которым проводилось последовательное дихо</w:t>
      </w:r>
      <w:bookmarkStart w:id="16" w:name="OCRUncertain388"/>
      <w:r>
        <w:t>т</w:t>
      </w:r>
      <w:bookmarkEnd w:id="16"/>
      <w:r>
        <w:t>омическое деление.</w:t>
      </w:r>
    </w:p>
    <w:p w:rsidR="005E73FD" w:rsidRDefault="005E73FD">
      <w:pPr>
        <w:pStyle w:val="Mystyle"/>
      </w:pPr>
      <w:r>
        <w:t xml:space="preserve">При подготовке этой работы были использованы материалы с сайта </w:t>
      </w:r>
      <w:r w:rsidRPr="00DB72B4">
        <w:t>http://www.studentu.ru</w:t>
      </w:r>
      <w:r>
        <w:t xml:space="preserve"> </w:t>
      </w:r>
    </w:p>
    <w:p w:rsidR="005E73FD" w:rsidRDefault="005E73FD">
      <w:pPr>
        <w:pStyle w:val="Mystyle"/>
        <w:rPr>
          <w:sz w:val="20"/>
          <w:szCs w:val="20"/>
        </w:rPr>
      </w:pPr>
      <w:bookmarkStart w:id="17" w:name="_GoBack"/>
      <w:bookmarkEnd w:id="17"/>
    </w:p>
    <w:sectPr w:rsidR="005E73FD">
      <w:pgSz w:w="11906" w:h="16838" w:code="9"/>
      <w:pgMar w:top="1134" w:right="1134" w:bottom="1134" w:left="1134" w:header="709" w:footer="709" w:gutter="0"/>
      <w:cols w:space="70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5B96173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2E0A62A9"/>
    <w:multiLevelType w:val="singleLevel"/>
    <w:tmpl w:val="7D1ABFDA"/>
    <w:lvl w:ilvl="0">
      <w:start w:val="2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  <w:u w:val="none"/>
      </w:rPr>
    </w:lvl>
  </w:abstractNum>
  <w:abstractNum w:abstractNumId="2">
    <w:nsid w:val="3DFB7B17"/>
    <w:multiLevelType w:val="singleLevel"/>
    <w:tmpl w:val="E4E273B8"/>
    <w:lvl w:ilvl="0">
      <w:start w:val="1"/>
      <w:numFmt w:val="decimal"/>
      <w:lvlText w:val="%1)"/>
      <w:lvlJc w:val="left"/>
      <w:pPr>
        <w:tabs>
          <w:tab w:val="num" w:pos="585"/>
        </w:tabs>
        <w:ind w:left="585" w:hanging="435"/>
      </w:pPr>
      <w:rPr>
        <w:rFonts w:hint="default"/>
      </w:rPr>
    </w:lvl>
  </w:abstractNum>
  <w:abstractNum w:abstractNumId="3">
    <w:nsid w:val="52C50826"/>
    <w:multiLevelType w:val="singleLevel"/>
    <w:tmpl w:val="7D1ABFDA"/>
    <w:lvl w:ilvl="0">
      <w:start w:val="2"/>
      <w:numFmt w:val="decimal"/>
      <w:lvlText w:val="%1. "/>
      <w:legacy w:legacy="1" w:legacySpace="0" w:legacyIndent="283"/>
      <w:lvlJc w:val="left"/>
      <w:pPr>
        <w:ind w:left="358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  <w:u w:val="none"/>
      </w:rPr>
    </w:lvl>
  </w:abstractNum>
  <w:abstractNum w:abstractNumId="4">
    <w:nsid w:val="5DF72958"/>
    <w:multiLevelType w:val="singleLevel"/>
    <w:tmpl w:val="8C88A3F4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  <w:u w:val="none"/>
      </w:r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B72B4"/>
    <w:rsid w:val="005E73FD"/>
    <w:rsid w:val="0060464E"/>
    <w:rsid w:val="00CB57F8"/>
    <w:rsid w:val="00DB72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  <w14:defaultImageDpi w14:val="0"/>
  <w15:chartTrackingRefBased/>
  <w15:docId w15:val="{3C7A6E11-B36C-45E2-9071-033824EC68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</w:pPr>
    <w:rPr>
      <w:rFonts w:ascii="Times New Roman" w:hAnsi="Times New Roman"/>
      <w:sz w:val="24"/>
      <w:szCs w:val="24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аголовок 1"/>
    <w:basedOn w:val="a"/>
    <w:next w:val="a"/>
    <w:uiPriority w:val="99"/>
    <w:pPr>
      <w:keepNext/>
      <w:widowControl/>
      <w:spacing w:before="240" w:after="60"/>
    </w:pPr>
    <w:rPr>
      <w:rFonts w:ascii="Arial" w:hAnsi="Arial" w:cs="Arial"/>
      <w:b/>
      <w:bCs/>
      <w:kern w:val="28"/>
      <w:sz w:val="28"/>
      <w:szCs w:val="28"/>
      <w:lang w:val="ru-RU"/>
    </w:rPr>
  </w:style>
  <w:style w:type="paragraph" w:customStyle="1" w:styleId="2">
    <w:name w:val="заголовок 2"/>
    <w:basedOn w:val="a"/>
    <w:next w:val="a"/>
    <w:uiPriority w:val="99"/>
    <w:pPr>
      <w:keepNext/>
      <w:widowControl/>
      <w:spacing w:before="240" w:after="60"/>
      <w:outlineLvl w:val="1"/>
    </w:pPr>
    <w:rPr>
      <w:rFonts w:ascii="Arial" w:hAnsi="Arial" w:cs="Arial"/>
      <w:b/>
      <w:bCs/>
      <w:i/>
      <w:iCs/>
      <w:lang w:val="ru-RU"/>
    </w:rPr>
  </w:style>
  <w:style w:type="paragraph" w:customStyle="1" w:styleId="3">
    <w:name w:val="заголовок 3"/>
    <w:basedOn w:val="a"/>
    <w:next w:val="a"/>
    <w:uiPriority w:val="99"/>
    <w:pPr>
      <w:keepNext/>
      <w:widowControl/>
      <w:jc w:val="both"/>
      <w:outlineLvl w:val="2"/>
    </w:pPr>
    <w:rPr>
      <w:sz w:val="28"/>
      <w:szCs w:val="28"/>
      <w:lang w:val="ru-RU"/>
    </w:rPr>
  </w:style>
  <w:style w:type="paragraph" w:customStyle="1" w:styleId="4">
    <w:name w:val="заголовок 4"/>
    <w:basedOn w:val="a"/>
    <w:next w:val="a"/>
    <w:uiPriority w:val="99"/>
    <w:pPr>
      <w:keepNext/>
      <w:widowControl/>
      <w:jc w:val="center"/>
      <w:outlineLvl w:val="3"/>
    </w:pPr>
    <w:rPr>
      <w:b/>
      <w:bCs/>
      <w:sz w:val="28"/>
      <w:szCs w:val="28"/>
      <w:lang w:val="ru-RU"/>
    </w:rPr>
  </w:style>
  <w:style w:type="paragraph" w:customStyle="1" w:styleId="8">
    <w:name w:val="заголовок 8"/>
    <w:basedOn w:val="a"/>
    <w:next w:val="a"/>
    <w:uiPriority w:val="99"/>
    <w:pPr>
      <w:widowControl/>
      <w:spacing w:before="240" w:after="60"/>
    </w:pPr>
    <w:rPr>
      <w:rFonts w:ascii="Arial" w:hAnsi="Arial" w:cs="Arial"/>
      <w:i/>
      <w:iCs/>
      <w:sz w:val="20"/>
      <w:szCs w:val="20"/>
      <w:lang w:val="ru-RU"/>
    </w:rPr>
  </w:style>
  <w:style w:type="character" w:customStyle="1" w:styleId="a3">
    <w:name w:val="Основной шрифт"/>
    <w:uiPriority w:val="99"/>
  </w:style>
  <w:style w:type="paragraph" w:styleId="a4">
    <w:name w:val="Body Text"/>
    <w:basedOn w:val="a"/>
    <w:link w:val="a5"/>
    <w:uiPriority w:val="99"/>
    <w:pPr>
      <w:widowControl/>
      <w:jc w:val="both"/>
    </w:pPr>
    <w:rPr>
      <w:rFonts w:ascii="Courier New" w:hAnsi="Courier New" w:cs="Courier New"/>
      <w:b/>
      <w:bCs/>
      <w:lang w:val="ru-RU"/>
    </w:rPr>
  </w:style>
  <w:style w:type="character" w:customStyle="1" w:styleId="a5">
    <w:name w:val="Основной текст Знак"/>
    <w:link w:val="a4"/>
    <w:uiPriority w:val="99"/>
    <w:semiHidden/>
    <w:rPr>
      <w:rFonts w:ascii="Times New Roman" w:hAnsi="Times New Roman" w:cs="Times New Roman"/>
      <w:sz w:val="24"/>
      <w:szCs w:val="24"/>
      <w:lang w:val="en-US"/>
    </w:rPr>
  </w:style>
  <w:style w:type="paragraph" w:styleId="20">
    <w:name w:val="Body Text 2"/>
    <w:basedOn w:val="a"/>
    <w:link w:val="21"/>
    <w:uiPriority w:val="99"/>
    <w:pPr>
      <w:widowControl/>
      <w:jc w:val="both"/>
    </w:pPr>
    <w:rPr>
      <w:lang w:val="ru-RU"/>
    </w:rPr>
  </w:style>
  <w:style w:type="character" w:customStyle="1" w:styleId="21">
    <w:name w:val="Основной текст 2 Знак"/>
    <w:link w:val="20"/>
    <w:uiPriority w:val="99"/>
    <w:semiHidden/>
    <w:rPr>
      <w:rFonts w:ascii="Times New Roman" w:hAnsi="Times New Roman" w:cs="Times New Roman"/>
      <w:sz w:val="24"/>
      <w:szCs w:val="24"/>
      <w:lang w:val="en-US"/>
    </w:rPr>
  </w:style>
  <w:style w:type="paragraph" w:customStyle="1" w:styleId="Mystyle">
    <w:name w:val="Mystyle"/>
    <w:basedOn w:val="a4"/>
    <w:uiPriority w:val="99"/>
    <w:pPr>
      <w:spacing w:before="120"/>
      <w:ind w:firstLine="567"/>
    </w:pPr>
    <w:rPr>
      <w:rFonts w:ascii="Times New Roman" w:hAnsi="Times New Roman" w:cs="Times New Roman"/>
      <w:b w:val="0"/>
      <w:bCs w:val="0"/>
    </w:rPr>
  </w:style>
  <w:style w:type="paragraph" w:styleId="22">
    <w:name w:val="Body Text Indent 2"/>
    <w:basedOn w:val="a"/>
    <w:link w:val="23"/>
    <w:uiPriority w:val="99"/>
    <w:pPr>
      <w:widowControl/>
      <w:spacing w:line="240" w:lineRule="atLeast"/>
      <w:ind w:right="-2812" w:firstLine="320"/>
    </w:pPr>
    <w:rPr>
      <w:lang w:val="ru-RU"/>
    </w:rPr>
  </w:style>
  <w:style w:type="character" w:customStyle="1" w:styleId="23">
    <w:name w:val="Основной текст с отступом 2 Знак"/>
    <w:link w:val="22"/>
    <w:uiPriority w:val="99"/>
    <w:semiHidden/>
    <w:rPr>
      <w:rFonts w:ascii="Times New Roman" w:hAnsi="Times New Roman" w:cs="Times New Roman"/>
      <w:sz w:val="24"/>
      <w:szCs w:val="24"/>
      <w:lang w:val="en-US"/>
    </w:rPr>
  </w:style>
  <w:style w:type="paragraph" w:styleId="30">
    <w:name w:val="Body Text Indent 3"/>
    <w:basedOn w:val="a"/>
    <w:link w:val="31"/>
    <w:uiPriority w:val="99"/>
    <w:pPr>
      <w:widowControl/>
      <w:spacing w:before="40" w:line="240" w:lineRule="atLeast"/>
      <w:ind w:right="-2812" w:firstLine="360"/>
    </w:pPr>
    <w:rPr>
      <w:lang w:val="ru-RU"/>
    </w:rPr>
  </w:style>
  <w:style w:type="character" w:customStyle="1" w:styleId="31">
    <w:name w:val="Основной текст с отступом 3 Знак"/>
    <w:link w:val="30"/>
    <w:uiPriority w:val="99"/>
    <w:semiHidden/>
    <w:rPr>
      <w:rFonts w:ascii="Times New Roman" w:hAnsi="Times New Roman" w:cs="Times New Roman"/>
      <w:sz w:val="16"/>
      <w:szCs w:val="16"/>
      <w:lang w:val="en-US"/>
    </w:rPr>
  </w:style>
  <w:style w:type="paragraph" w:styleId="a6">
    <w:name w:val="footer"/>
    <w:basedOn w:val="a"/>
    <w:link w:val="a7"/>
    <w:uiPriority w:val="99"/>
    <w:pPr>
      <w:widowControl/>
      <w:tabs>
        <w:tab w:val="center" w:pos="4153"/>
        <w:tab w:val="right" w:pos="8306"/>
      </w:tabs>
    </w:pPr>
    <w:rPr>
      <w:sz w:val="20"/>
      <w:szCs w:val="20"/>
      <w:lang w:val="ru-RU"/>
    </w:rPr>
  </w:style>
  <w:style w:type="character" w:customStyle="1" w:styleId="a7">
    <w:name w:val="Нижний колонтитул Знак"/>
    <w:link w:val="a6"/>
    <w:uiPriority w:val="99"/>
    <w:semiHidden/>
    <w:rPr>
      <w:rFonts w:ascii="Times New Roman" w:hAnsi="Times New Roman" w:cs="Times New Roman"/>
      <w:sz w:val="24"/>
      <w:szCs w:val="24"/>
      <w:lang w:val="en-US"/>
    </w:rPr>
  </w:style>
  <w:style w:type="character" w:customStyle="1" w:styleId="a8">
    <w:name w:val="номер страницы"/>
    <w:uiPriority w:val="99"/>
  </w:style>
  <w:style w:type="paragraph" w:customStyle="1" w:styleId="10">
    <w:name w:val="оглавление 1"/>
    <w:basedOn w:val="a"/>
    <w:next w:val="a"/>
    <w:autoRedefine/>
    <w:uiPriority w:val="99"/>
    <w:pPr>
      <w:widowControl/>
    </w:pPr>
    <w:rPr>
      <w:sz w:val="20"/>
      <w:szCs w:val="20"/>
      <w:lang w:val="ru-RU"/>
    </w:rPr>
  </w:style>
  <w:style w:type="paragraph" w:customStyle="1" w:styleId="24">
    <w:name w:val="оглавление 2"/>
    <w:basedOn w:val="a"/>
    <w:next w:val="a"/>
    <w:autoRedefine/>
    <w:uiPriority w:val="99"/>
    <w:pPr>
      <w:widowControl/>
      <w:tabs>
        <w:tab w:val="right" w:leader="dot" w:pos="4536"/>
      </w:tabs>
      <w:ind w:left="142"/>
    </w:pPr>
    <w:rPr>
      <w:noProof/>
      <w:sz w:val="10"/>
      <w:szCs w:val="10"/>
    </w:rPr>
  </w:style>
  <w:style w:type="paragraph" w:customStyle="1" w:styleId="32">
    <w:name w:val="оглавление 3"/>
    <w:basedOn w:val="a"/>
    <w:next w:val="a"/>
    <w:autoRedefine/>
    <w:uiPriority w:val="99"/>
    <w:pPr>
      <w:widowControl/>
      <w:ind w:left="400"/>
    </w:pPr>
    <w:rPr>
      <w:sz w:val="20"/>
      <w:szCs w:val="20"/>
      <w:lang w:val="ru-RU"/>
    </w:rPr>
  </w:style>
  <w:style w:type="paragraph" w:customStyle="1" w:styleId="40">
    <w:name w:val="оглавление 4"/>
    <w:basedOn w:val="a"/>
    <w:next w:val="a"/>
    <w:autoRedefine/>
    <w:uiPriority w:val="99"/>
    <w:pPr>
      <w:widowControl/>
      <w:ind w:left="600"/>
    </w:pPr>
    <w:rPr>
      <w:sz w:val="20"/>
      <w:szCs w:val="20"/>
      <w:lang w:val="ru-RU"/>
    </w:rPr>
  </w:style>
  <w:style w:type="paragraph" w:customStyle="1" w:styleId="5">
    <w:name w:val="оглавление 5"/>
    <w:basedOn w:val="a"/>
    <w:next w:val="a"/>
    <w:autoRedefine/>
    <w:uiPriority w:val="99"/>
    <w:pPr>
      <w:widowControl/>
      <w:ind w:left="800"/>
    </w:pPr>
    <w:rPr>
      <w:sz w:val="20"/>
      <w:szCs w:val="20"/>
      <w:lang w:val="ru-RU"/>
    </w:rPr>
  </w:style>
  <w:style w:type="paragraph" w:customStyle="1" w:styleId="6">
    <w:name w:val="оглавление 6"/>
    <w:basedOn w:val="a"/>
    <w:next w:val="a"/>
    <w:autoRedefine/>
    <w:uiPriority w:val="99"/>
    <w:pPr>
      <w:widowControl/>
      <w:ind w:left="1000"/>
    </w:pPr>
    <w:rPr>
      <w:sz w:val="20"/>
      <w:szCs w:val="20"/>
      <w:lang w:val="ru-RU"/>
    </w:rPr>
  </w:style>
  <w:style w:type="paragraph" w:customStyle="1" w:styleId="7">
    <w:name w:val="оглавление 7"/>
    <w:basedOn w:val="a"/>
    <w:next w:val="a"/>
    <w:autoRedefine/>
    <w:uiPriority w:val="99"/>
    <w:pPr>
      <w:widowControl/>
      <w:ind w:left="1200"/>
    </w:pPr>
    <w:rPr>
      <w:sz w:val="20"/>
      <w:szCs w:val="20"/>
      <w:lang w:val="ru-RU"/>
    </w:rPr>
  </w:style>
  <w:style w:type="paragraph" w:customStyle="1" w:styleId="80">
    <w:name w:val="оглавление 8"/>
    <w:basedOn w:val="a"/>
    <w:next w:val="a"/>
    <w:autoRedefine/>
    <w:uiPriority w:val="99"/>
    <w:pPr>
      <w:widowControl/>
      <w:ind w:left="1400"/>
    </w:pPr>
    <w:rPr>
      <w:sz w:val="20"/>
      <w:szCs w:val="20"/>
      <w:lang w:val="ru-RU"/>
    </w:rPr>
  </w:style>
  <w:style w:type="paragraph" w:customStyle="1" w:styleId="9">
    <w:name w:val="оглавление 9"/>
    <w:basedOn w:val="a"/>
    <w:next w:val="a"/>
    <w:autoRedefine/>
    <w:uiPriority w:val="99"/>
    <w:pPr>
      <w:widowControl/>
      <w:ind w:left="1600"/>
    </w:pPr>
    <w:rPr>
      <w:sz w:val="20"/>
      <w:szCs w:val="20"/>
      <w:lang w:val="ru-RU"/>
    </w:rPr>
  </w:style>
  <w:style w:type="paragraph" w:styleId="a9">
    <w:name w:val="header"/>
    <w:basedOn w:val="a"/>
    <w:link w:val="aa"/>
    <w:uiPriority w:val="99"/>
    <w:pPr>
      <w:widowControl/>
      <w:tabs>
        <w:tab w:val="center" w:pos="4153"/>
        <w:tab w:val="right" w:pos="8306"/>
      </w:tabs>
    </w:pPr>
    <w:rPr>
      <w:sz w:val="20"/>
      <w:szCs w:val="20"/>
      <w:lang w:val="ru-RU"/>
    </w:rPr>
  </w:style>
  <w:style w:type="character" w:customStyle="1" w:styleId="aa">
    <w:name w:val="Верхний колонтитул Знак"/>
    <w:link w:val="a9"/>
    <w:uiPriority w:val="99"/>
    <w:semiHidden/>
    <w:rPr>
      <w:rFonts w:ascii="Times New Roman" w:hAnsi="Times New Roman" w:cs="Times New Roman"/>
      <w:sz w:val="24"/>
      <w:szCs w:val="24"/>
      <w:lang w:val="en-US"/>
    </w:rPr>
  </w:style>
  <w:style w:type="character" w:styleId="ab">
    <w:name w:val="Hyperlink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2798</Words>
  <Characters>1596</Characters>
  <Application>Microsoft Office Word</Application>
  <DocSecurity>0</DocSecurity>
  <Lines>13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Государство и право Англии в период сословно-представительной монархии</vt:lpstr>
    </vt:vector>
  </TitlesOfParts>
  <Company>ГУУ</Company>
  <LinksUpToDate>false</LinksUpToDate>
  <CharactersWithSpaces>4386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Государство и право Англии в период сословно-представительной монархии</dc:title>
  <dc:subject/>
  <dc:creator>Севостьянов Иван Олегович</dc:creator>
  <cp:keywords/>
  <dc:description/>
  <cp:lastModifiedBy>admin</cp:lastModifiedBy>
  <cp:revision>2</cp:revision>
  <dcterms:created xsi:type="dcterms:W3CDTF">2014-01-27T08:45:00Z</dcterms:created>
  <dcterms:modified xsi:type="dcterms:W3CDTF">2014-01-27T08:45:00Z</dcterms:modified>
</cp:coreProperties>
</file>