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626D5" w:rsidRDefault="00B626D5">
      <w:pPr>
        <w:widowControl w:val="0"/>
        <w:spacing w:before="120"/>
        <w:jc w:val="center"/>
        <w:rPr>
          <w:b/>
          <w:bCs/>
          <w:color w:val="000000"/>
          <w:sz w:val="32"/>
          <w:szCs w:val="32"/>
        </w:rPr>
      </w:pPr>
      <w:r>
        <w:rPr>
          <w:b/>
          <w:bCs/>
          <w:color w:val="000000"/>
          <w:sz w:val="32"/>
          <w:szCs w:val="32"/>
        </w:rPr>
        <w:t>Временник Ивана Тимофеева.</w:t>
      </w:r>
    </w:p>
    <w:p w:rsidR="00B626D5" w:rsidRDefault="00B626D5">
      <w:pPr>
        <w:widowControl w:val="0"/>
        <w:spacing w:before="120"/>
        <w:ind w:firstLine="567"/>
        <w:jc w:val="both"/>
        <w:rPr>
          <w:color w:val="000000"/>
          <w:sz w:val="24"/>
          <w:szCs w:val="24"/>
        </w:rPr>
      </w:pPr>
      <w:r>
        <w:rPr>
          <w:color w:val="000000"/>
          <w:sz w:val="24"/>
          <w:szCs w:val="24"/>
        </w:rPr>
        <w:t>Наиболее яркое и полное выражение политические идеи конца XVI --первой четверти XVIIb. получили во “Временнике”  Ивана Тимофеева (Семенова), который В. О. Ключевский охарактеризовал как политический трактат, обнаруживающий в своем содержании исторические идеи и политические принципы  целой эпохи. Действительно, Тимофеев высказался практически  по всем острым политическим проблемам современности, сформулировав оригинальные суждения по наиболее значимым политическим сюжетам, сопровождая их к тому же анализом исторической ситуации, при помощи которого он старался раскрыть политическое содержание современных ему событий</w:t>
      </w:r>
    </w:p>
    <w:p w:rsidR="00B626D5" w:rsidRDefault="00B626D5">
      <w:pPr>
        <w:widowControl w:val="0"/>
        <w:spacing w:before="120"/>
        <w:ind w:firstLine="567"/>
        <w:jc w:val="both"/>
        <w:rPr>
          <w:color w:val="000000"/>
          <w:sz w:val="24"/>
          <w:szCs w:val="24"/>
        </w:rPr>
      </w:pPr>
      <w:r>
        <w:rPr>
          <w:color w:val="000000"/>
          <w:sz w:val="24"/>
          <w:szCs w:val="24"/>
        </w:rPr>
        <w:t xml:space="preserve">Наиболее законным вариантом происхождения власти Тимофееву  традиционно представляется наследственное восприемство престола. Однако замещение престола не в наследственном порядке стало реальным фактом. В такой ситуации законным происхождением высшей верховной власти Тимофеев считает волеизъявление всего народа, выраженное в форме общего, “из всех городов собранного народного совета”, представляющего “соизволение людей всей земли”, которое единственно правомочно  поставить “царя всей великой России”. Все остальные лица, приобретающие трон, минуя указанный порядок, должны считаться “захватчиками”, а не царями. </w:t>
      </w:r>
    </w:p>
    <w:p w:rsidR="00B626D5" w:rsidRDefault="00B626D5">
      <w:pPr>
        <w:widowControl w:val="0"/>
        <w:spacing w:before="120"/>
        <w:ind w:firstLine="567"/>
        <w:jc w:val="both"/>
        <w:rPr>
          <w:color w:val="000000"/>
          <w:sz w:val="24"/>
          <w:szCs w:val="24"/>
        </w:rPr>
      </w:pPr>
      <w:r>
        <w:rPr>
          <w:color w:val="000000"/>
          <w:sz w:val="24"/>
          <w:szCs w:val="24"/>
        </w:rPr>
        <w:t xml:space="preserve">По мнению Тимофеева, именно вследствие нарушения правил замещения престола страной незаконно и злокозненно правили лица, совершенно не подходящие для царского венца и державного  скипетра. </w:t>
      </w:r>
    </w:p>
    <w:p w:rsidR="00B626D5" w:rsidRDefault="00B626D5">
      <w:pPr>
        <w:widowControl w:val="0"/>
        <w:spacing w:before="120"/>
        <w:ind w:firstLine="567"/>
        <w:jc w:val="both"/>
        <w:rPr>
          <w:color w:val="000000"/>
          <w:sz w:val="24"/>
          <w:szCs w:val="24"/>
        </w:rPr>
      </w:pPr>
      <w:r>
        <w:rPr>
          <w:color w:val="000000"/>
          <w:sz w:val="24"/>
          <w:szCs w:val="24"/>
        </w:rPr>
        <w:t xml:space="preserve">Выборное учреждение верховной власти, по мнению Тимофеева,  не просто единоразовое действие, а определенная система организационных мероприятий, предусматривающая порядок образования и реализации высших властных полномочий в стране. </w:t>
      </w:r>
    </w:p>
    <w:p w:rsidR="00B626D5" w:rsidRDefault="00B626D5">
      <w:pPr>
        <w:widowControl w:val="0"/>
        <w:spacing w:before="120"/>
        <w:ind w:firstLine="567"/>
        <w:jc w:val="both"/>
        <w:rPr>
          <w:color w:val="000000"/>
          <w:sz w:val="24"/>
          <w:szCs w:val="24"/>
        </w:rPr>
      </w:pPr>
      <w:r>
        <w:rPr>
          <w:color w:val="000000"/>
          <w:sz w:val="24"/>
          <w:szCs w:val="24"/>
        </w:rPr>
        <w:t xml:space="preserve">Тимофеев подробно осветил тему “плохих советников” и “злого совета”. </w:t>
      </w:r>
    </w:p>
    <w:p w:rsidR="00B626D5" w:rsidRDefault="00B626D5">
      <w:pPr>
        <w:widowControl w:val="0"/>
        <w:spacing w:before="120"/>
        <w:ind w:firstLine="567"/>
        <w:jc w:val="both"/>
        <w:rPr>
          <w:color w:val="000000"/>
          <w:sz w:val="24"/>
          <w:szCs w:val="24"/>
        </w:rPr>
      </w:pPr>
      <w:r>
        <w:rPr>
          <w:color w:val="000000"/>
          <w:sz w:val="24"/>
          <w:szCs w:val="24"/>
        </w:rPr>
        <w:t xml:space="preserve">В своих теоретических схемах он четко различает такие понятия, как самодержавие и самовластие. Самодержавие (единодержавие)  связывается им скорее с формой государственного устройства, а самовластие трактуется как произвольный незаконный  способ реализации высших властных полномочий и оценивается как тяжкий грех властителя, законопреступный по своей природе. Причем Тимофеев осуждал как самовластие царей законных, так и “наскочивших на трон”. </w:t>
      </w:r>
    </w:p>
    <w:p w:rsidR="00B626D5" w:rsidRDefault="00B626D5">
      <w:pPr>
        <w:widowControl w:val="0"/>
        <w:spacing w:before="120"/>
        <w:ind w:firstLine="567"/>
        <w:jc w:val="both"/>
        <w:rPr>
          <w:color w:val="000000"/>
          <w:sz w:val="24"/>
          <w:szCs w:val="24"/>
        </w:rPr>
      </w:pPr>
      <w:r>
        <w:rPr>
          <w:color w:val="000000"/>
          <w:sz w:val="24"/>
          <w:szCs w:val="24"/>
        </w:rPr>
        <w:t xml:space="preserve">Особенное внимание Тимофеев уделяет разоблачению тиранического  правления Ивана IV, которое, по его мнению, и положило начало развитию порочного и пагубного для страны самовластия. </w:t>
      </w:r>
    </w:p>
    <w:p w:rsidR="00B626D5" w:rsidRDefault="00B626D5">
      <w:pPr>
        <w:widowControl w:val="0"/>
        <w:spacing w:before="120"/>
        <w:ind w:firstLine="567"/>
        <w:jc w:val="both"/>
        <w:rPr>
          <w:color w:val="000000"/>
          <w:sz w:val="24"/>
          <w:szCs w:val="24"/>
        </w:rPr>
      </w:pPr>
      <w:r>
        <w:rPr>
          <w:color w:val="000000"/>
          <w:sz w:val="24"/>
          <w:szCs w:val="24"/>
        </w:rPr>
        <w:t xml:space="preserve">В опричных мероприятиях он, современник событий, видел “замысел презельной ярости против рабов своих”, в результате реализации которого вся страна “зашаталась”, а царь так “возненавидел все города земли своей”, что “в гневе своем разделил единый народ на две половины, сделав как бы двоеверным... а всякое царство, разделившееся в себе самом, не может устоять”. </w:t>
      </w:r>
    </w:p>
    <w:p w:rsidR="00B626D5" w:rsidRDefault="00B626D5">
      <w:pPr>
        <w:widowControl w:val="0"/>
        <w:spacing w:before="120"/>
        <w:ind w:firstLine="567"/>
        <w:jc w:val="both"/>
        <w:rPr>
          <w:color w:val="000000"/>
          <w:sz w:val="24"/>
          <w:szCs w:val="24"/>
        </w:rPr>
      </w:pPr>
      <w:r>
        <w:rPr>
          <w:color w:val="000000"/>
          <w:sz w:val="24"/>
          <w:szCs w:val="24"/>
        </w:rPr>
        <w:t xml:space="preserve">Злонамеренность власти он усматривает прежде всего в покушении на физическую, правовую и имущественную безопасность  личности, а также в формах внесудебной расправы с подданными--в нарушении всего порядка государственной и общественной жизни. Гражданский долг подданных выражается  в праве народа на оказание сопротивления подобной власти. </w:t>
      </w:r>
    </w:p>
    <w:p w:rsidR="00B626D5" w:rsidRDefault="00B626D5">
      <w:pPr>
        <w:widowControl w:val="0"/>
        <w:spacing w:before="120"/>
        <w:ind w:firstLine="567"/>
        <w:jc w:val="both"/>
        <w:rPr>
          <w:color w:val="000000"/>
          <w:sz w:val="24"/>
          <w:szCs w:val="24"/>
        </w:rPr>
      </w:pPr>
      <w:r>
        <w:rPr>
          <w:color w:val="000000"/>
          <w:sz w:val="24"/>
          <w:szCs w:val="24"/>
        </w:rPr>
        <w:t xml:space="preserve">Такая схема рассуждений представляет все основания для вывода о том, что теория о праве на оказание сопротивления злонамеренному властителю, законопреступному в своей практике  реализации власти, была Тимофеевым не только воспринята,  но и развита. Намеки Иосифа, продолженные Курбским, были разработаны Тимофеевым, который воспринял идею, расширил ее социальную и политическую базу, ввел новую терминологию для выражения своих взглядов. </w:t>
      </w:r>
    </w:p>
    <w:p w:rsidR="00B626D5" w:rsidRDefault="00B626D5">
      <w:pPr>
        <w:widowControl w:val="0"/>
        <w:spacing w:before="120"/>
        <w:ind w:firstLine="567"/>
        <w:jc w:val="both"/>
        <w:rPr>
          <w:color w:val="000000"/>
          <w:sz w:val="24"/>
          <w:szCs w:val="24"/>
        </w:rPr>
      </w:pPr>
      <w:r>
        <w:rPr>
          <w:color w:val="000000"/>
          <w:sz w:val="24"/>
          <w:szCs w:val="24"/>
        </w:rPr>
        <w:t xml:space="preserve">Тимофеев обстоятельно и последовательно проводит мысль о том, что в основу всей государственной практики должен быть положен “законный и нормальный порядок”, и прежде всего царский престол должен замешаться “законно” и “святолепно”. Нарушение закона в этом главном основании государственной жизни ведет к повсеместному падению уважения ко всем уставам верховной власти. Тимофеев приходит к мысли о небезопасности для государства нарушения законов, предвидя за этим тяжкие последствия для страны и ее народа. Сам верховей глава государства--царь, несомненно, ограничен не только божественными и естественными законами, но и “уставным законодательством”. </w:t>
      </w:r>
    </w:p>
    <w:p w:rsidR="00B626D5" w:rsidRDefault="00B626D5">
      <w:pPr>
        <w:widowControl w:val="0"/>
        <w:spacing w:before="120"/>
        <w:ind w:firstLine="567"/>
        <w:jc w:val="both"/>
        <w:rPr>
          <w:color w:val="000000"/>
          <w:sz w:val="24"/>
          <w:szCs w:val="24"/>
        </w:rPr>
      </w:pPr>
      <w:r>
        <w:rPr>
          <w:color w:val="000000"/>
          <w:sz w:val="24"/>
          <w:szCs w:val="24"/>
        </w:rPr>
        <w:t xml:space="preserve">Особенностью его политических взглядов является не только всесторонняя критика тиранического правления и тех обстоятельств,  благодаря которым оно стало возможным, но и определение  сущности такого правления как беззаконного. Мучительекая власть (тираническая), по определению Тимофеева, это власть, прежде всего, законопреступная. Юридический характер  такого анализа очевиден. </w:t>
      </w:r>
    </w:p>
    <w:p w:rsidR="00B626D5" w:rsidRDefault="00B626D5">
      <w:pPr>
        <w:widowControl w:val="0"/>
        <w:spacing w:before="120"/>
        <w:ind w:firstLine="567"/>
        <w:jc w:val="both"/>
        <w:rPr>
          <w:color w:val="000000"/>
          <w:sz w:val="24"/>
          <w:szCs w:val="24"/>
        </w:rPr>
      </w:pPr>
      <w:r>
        <w:rPr>
          <w:color w:val="000000"/>
          <w:sz w:val="24"/>
          <w:szCs w:val="24"/>
        </w:rPr>
        <w:t>В политической теории Тимофеева учение о сословно-представительной  монархии как форме правления русского государства  достигло пика своего развития. Политико-социальная действительность  этому активно способствовала, ибо на рубеже веков система сословно-представительных учреждений, возглавляемая  Земским собором, явно шла на подъем. Затем постепенно начинают складываться другие экономические и политические условия в стране, подготавливая почву для представлений  о “полном самовладстве”, т. е. абсолютной монархии.</w:t>
      </w:r>
    </w:p>
    <w:p w:rsidR="00B626D5" w:rsidRDefault="00B626D5">
      <w:pPr>
        <w:widowControl w:val="0"/>
        <w:spacing w:before="120"/>
        <w:ind w:firstLine="590"/>
        <w:jc w:val="both"/>
        <w:rPr>
          <w:color w:val="000000"/>
          <w:sz w:val="24"/>
          <w:szCs w:val="24"/>
        </w:rPr>
      </w:pPr>
      <w:bookmarkStart w:id="0" w:name="_GoBack"/>
      <w:bookmarkEnd w:id="0"/>
    </w:p>
    <w:sectPr w:rsidR="00B626D5">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50B3E"/>
    <w:rsid w:val="00913A31"/>
    <w:rsid w:val="00B626D5"/>
    <w:rsid w:val="00E50B3E"/>
    <w:rsid w:val="00FD450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EA0362D4-8215-45D0-AC01-A87FF2D27B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1">
    <w:name w:val="heading 1"/>
    <w:basedOn w:val="a"/>
    <w:next w:val="a"/>
    <w:link w:val="10"/>
    <w:uiPriority w:val="99"/>
    <w:qFormat/>
    <w:pPr>
      <w:keepNext/>
      <w:widowControl w:val="0"/>
      <w:ind w:firstLine="720"/>
      <w:jc w:val="both"/>
      <w:outlineLvl w:val="0"/>
    </w:pPr>
    <w:rPr>
      <w:b/>
      <w:bCs/>
    </w:rPr>
  </w:style>
  <w:style w:type="paragraph" w:styleId="2">
    <w:name w:val="heading 2"/>
    <w:basedOn w:val="a"/>
    <w:next w:val="a"/>
    <w:link w:val="20"/>
    <w:uiPriority w:val="99"/>
    <w:qFormat/>
    <w:pPr>
      <w:keepNext/>
      <w:spacing w:line="220" w:lineRule="auto"/>
      <w:jc w:val="both"/>
      <w:outlineLvl w:val="1"/>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customStyle="1" w:styleId="FR1">
    <w:name w:val="FR1"/>
    <w:uiPriority w:val="99"/>
    <w:pPr>
      <w:widowControl w:val="0"/>
      <w:jc w:val="center"/>
    </w:pPr>
    <w:rPr>
      <w:rFonts w:ascii="Arial Narrow" w:hAnsi="Arial Narrow" w:cs="Arial Narrow"/>
      <w:b/>
      <w:bCs/>
      <w:sz w:val="18"/>
      <w:szCs w:val="18"/>
      <w:lang w:val="ru-RU" w:eastAsia="ru-RU"/>
    </w:rPr>
  </w:style>
  <w:style w:type="paragraph" w:styleId="a3">
    <w:name w:val="footer"/>
    <w:basedOn w:val="a"/>
    <w:link w:val="a4"/>
    <w:uiPriority w:val="99"/>
    <w:pPr>
      <w:tabs>
        <w:tab w:val="center" w:pos="4153"/>
        <w:tab w:val="right" w:pos="8306"/>
      </w:tabs>
    </w:pPr>
  </w:style>
  <w:style w:type="character" w:customStyle="1" w:styleId="a4">
    <w:name w:val="Нижний колонтитул Знак"/>
    <w:link w:val="a3"/>
    <w:uiPriority w:val="99"/>
    <w:semiHidden/>
    <w:rPr>
      <w:rFonts w:ascii="Times New Roman" w:hAnsi="Times New Roman" w:cs="Times New Roman"/>
      <w:sz w:val="20"/>
      <w:szCs w:val="20"/>
    </w:rPr>
  </w:style>
  <w:style w:type="character" w:styleId="a5">
    <w:name w:val="page number"/>
    <w:uiPriority w:val="99"/>
  </w:style>
  <w:style w:type="paragraph" w:styleId="21">
    <w:name w:val="Body Text 2"/>
    <w:basedOn w:val="a"/>
    <w:link w:val="22"/>
    <w:uiPriority w:val="99"/>
    <w:pPr>
      <w:widowControl w:val="0"/>
      <w:ind w:firstLine="720"/>
      <w:jc w:val="both"/>
    </w:pPr>
  </w:style>
  <w:style w:type="character" w:customStyle="1" w:styleId="22">
    <w:name w:val="Основной текст 2 Знак"/>
    <w:link w:val="21"/>
    <w:uiPriority w:val="99"/>
    <w:semiHidden/>
    <w:rPr>
      <w:rFonts w:ascii="Times New Roman" w:hAnsi="Times New Roman" w:cs="Times New Roman"/>
      <w:sz w:val="20"/>
      <w:szCs w:val="20"/>
    </w:rPr>
  </w:style>
  <w:style w:type="paragraph" w:styleId="23">
    <w:name w:val="Body Text Indent 2"/>
    <w:basedOn w:val="a"/>
    <w:link w:val="24"/>
    <w:uiPriority w:val="99"/>
    <w:pPr>
      <w:widowControl w:val="0"/>
      <w:ind w:right="1409" w:firstLine="720"/>
      <w:jc w:val="both"/>
    </w:pPr>
  </w:style>
  <w:style w:type="character" w:customStyle="1" w:styleId="24">
    <w:name w:val="Основной текст с отступом 2 Знак"/>
    <w:link w:val="23"/>
    <w:uiPriority w:val="99"/>
    <w:semiHidden/>
    <w:rPr>
      <w:rFonts w:ascii="Times New Roman" w:hAnsi="Times New Roman" w:cs="Times New Roman"/>
      <w:sz w:val="20"/>
      <w:szCs w:val="20"/>
    </w:rPr>
  </w:style>
  <w:style w:type="paragraph" w:styleId="3">
    <w:name w:val="Body Text Indent 3"/>
    <w:basedOn w:val="a"/>
    <w:link w:val="30"/>
    <w:uiPriority w:val="99"/>
    <w:pPr>
      <w:spacing w:before="220"/>
      <w:ind w:firstLine="284"/>
      <w:jc w:val="both"/>
    </w:pPr>
  </w:style>
  <w:style w:type="character" w:customStyle="1" w:styleId="30">
    <w:name w:val="Основной текст с отступом 3 Знак"/>
    <w:link w:val="3"/>
    <w:uiPriority w:val="99"/>
    <w:semiHidden/>
    <w:rPr>
      <w:rFonts w:ascii="Times New Roman" w:hAnsi="Times New Roman" w:cs="Times New Roman"/>
      <w:sz w:val="16"/>
      <w:szCs w:val="16"/>
    </w:rPr>
  </w:style>
  <w:style w:type="paragraph" w:styleId="a6">
    <w:name w:val="header"/>
    <w:basedOn w:val="a"/>
    <w:link w:val="a7"/>
    <w:uiPriority w:val="99"/>
    <w:pPr>
      <w:tabs>
        <w:tab w:val="center" w:pos="4677"/>
        <w:tab w:val="right" w:pos="9355"/>
      </w:tabs>
    </w:pPr>
  </w:style>
  <w:style w:type="character" w:customStyle="1" w:styleId="a7">
    <w:name w:val="Верхний колонтитул Знак"/>
    <w:link w:val="a6"/>
    <w:uiPriority w:val="99"/>
    <w:semiHidden/>
    <w:rPr>
      <w:rFonts w:ascii="Times New Roman" w:hAnsi="Times New Roman" w:cs="Times New Roman"/>
      <w:sz w:val="20"/>
      <w:szCs w:val="20"/>
    </w:rPr>
  </w:style>
  <w:style w:type="character" w:styleId="a8">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3241</Words>
  <Characters>1848</Characters>
  <Application>Microsoft Office Word</Application>
  <DocSecurity>0</DocSecurity>
  <Lines>15</Lines>
  <Paragraphs>10</Paragraphs>
  <ScaleCrop>false</ScaleCrop>
  <HeadingPairs>
    <vt:vector size="2" baseType="variant">
      <vt:variant>
        <vt:lpstr>Название</vt:lpstr>
      </vt:variant>
      <vt:variant>
        <vt:i4>1</vt:i4>
      </vt:variant>
    </vt:vector>
  </HeadingPairs>
  <TitlesOfParts>
    <vt:vector size="1" baseType="lpstr">
      <vt:lpstr>Временник Ивана Тимофеева</vt:lpstr>
    </vt:vector>
  </TitlesOfParts>
  <Company>PERSONAL COMPUTERS</Company>
  <LinksUpToDate>false</LinksUpToDate>
  <CharactersWithSpaces>5079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Временник Ивана Тимофеева</dc:title>
  <dc:subject/>
  <dc:creator>USER</dc:creator>
  <cp:keywords/>
  <dc:description/>
  <cp:lastModifiedBy>admin</cp:lastModifiedBy>
  <cp:revision>2</cp:revision>
  <dcterms:created xsi:type="dcterms:W3CDTF">2014-01-26T16:26:00Z</dcterms:created>
  <dcterms:modified xsi:type="dcterms:W3CDTF">2014-01-26T16:26:00Z</dcterms:modified>
</cp:coreProperties>
</file>