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DF" w:rsidRPr="005806DF" w:rsidRDefault="005806DF" w:rsidP="005806DF">
      <w:pPr>
        <w:spacing w:before="120"/>
        <w:jc w:val="center"/>
        <w:rPr>
          <w:sz w:val="32"/>
          <w:szCs w:val="32"/>
        </w:rPr>
      </w:pPr>
      <w:r w:rsidRPr="005806DF">
        <w:rPr>
          <w:sz w:val="32"/>
          <w:szCs w:val="32"/>
        </w:rPr>
        <w:t xml:space="preserve">Языковая игра </w:t>
      </w:r>
    </w:p>
    <w:p w:rsidR="005806DF" w:rsidRPr="001344B5" w:rsidRDefault="005806DF" w:rsidP="005806DF">
      <w:pPr>
        <w:spacing w:before="120"/>
        <w:ind w:firstLine="567"/>
        <w:jc w:val="both"/>
        <w:rPr>
          <w:sz w:val="28"/>
          <w:szCs w:val="28"/>
        </w:rPr>
      </w:pPr>
      <w:r w:rsidRPr="001344B5">
        <w:rPr>
          <w:sz w:val="28"/>
          <w:szCs w:val="28"/>
        </w:rPr>
        <w:t>Вадим Руднев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Языковая игра - понятие, введенное Витгенштейном в "Философских исследованиях" (1953) и оказавшее значительное влияние на последующую философскую традицию.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В 1930-е гг., после того как Витгенштейн проработал шесть лет учителем начальной школы в деревне, его взгляды на язык существенно изменились. Исследователь его биографии и творчества считает, что стихия народного языка (недаром Витгенштейн написал и издал учебник немецкого языка для народных школ) во многом опосредовала его переход от жесткой модели языка к мягкой.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Так или иначе, но если в "Логико-философском трактате" (1921) язык представляется как проекция фактов (см. атомарный факт) и предложение всегда либо истинно, либо ложно - третьего не дано, то в 1930-е гг. происходит поворот в сторону прагматики (см.), то есть слушающего и реальной речевой ситуации. Витгенштейн теперь со свойственным ему жаром отвергает свою старую концепцию языка: язык не констатация фактов и не всегда высказывание истины и лжи.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В "Философских исследованиях" он приводит знаменитое сравнение языка с городом: "Наш язык можно рассматривать как старинный город: лабиринт маленьких улочек и площадей, старых и новых домов, домов с пристройками разных эпох; и все это окружено множеством новых районов с прямыми улицами регулярной планировки и стандартными домами". И далее: "Представить себе какойнибудь язык - значит представить некоторую форму жизни".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Что же такое Я. и.? Уже Ф. де Соссюр, основоположник структурной лингвистики, сравнивал язык с игрой в шахматы. Но в витгенштейновском понимании Я. и. - это не то, что делают люди, когда хотят развлечься. Он считает весь язык в целом совокупностью языковых игр. Вот что он пишет по этому поводу в "Философских исследованиях":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"23. Сколько же существует типов предложения? Скажем, утверждение, вопрос, поведение? - Имеется бесчисленное множество таких типов - бесконечно разнообразны виды употребления всего того, что мы называем "знаками", "словами", "предложениями". И эта множественность не представляет собой чего-то устойчивого, наоборот, возникают новые типы языков, или, можно сказать, новые языковые игры, а старые устаревают и забываются [...].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Термин "языковая игра" призван подчеркнуть, что говорить на языке - компонент деятельности, или форма жизни.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 xml:space="preserve">Представь себе все многообразие языковых игр на таких вот и других примерах: 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Отдавать приказы или выполнять их -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Описывать внешний вид предмета или его размеры -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Изготавливать предмет по его описанию (чертежу) -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Информировать о событии -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Размышлять о событии -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Выдвигать и проверять гипотезу -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Представлять результаты некоторого эксперимента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в таблицах и диаграммах -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Сочинять рассказ и читать его -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Играть в театре -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Распевать хороводные песни -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Разгадывать загадки -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Острить; рассказывать забавные истории -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Решать арифметические задачи -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Переводить с одного языка на другой -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 xml:space="preserve">Просить, благодарить, проклинать, приветствовать, молить". 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И ниже в No 25: "Приказывать, спрашивать, рассказывать, болтать - в той же мере часть нашей натуральной истории, как ходьба, еда, питье, игра" (курсив Витгенштейна. - В. Р.).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Концепция языка как Я. и. повлияла в первую очередь на теорию речевых актов (равно как, впрочем, и на лингвистическую апологетику, лингвистическую терапию, философию вымысла, семантику возможных миров, концепцию семантических примитивов). И как сторонники теории речевых актов в конце концов пришли к выводу, что вся речевая деятельность, а не только отдельные ее фрагменты состоит из речевых актов, или действий, так и Витгенштейн считал, что Я. и. - это формы самой жизни и что не только язык, а сама реальность, которую мы воспринимаем только через призму языка (ср. гипотеза лингвистической относительности), является совокупностью языковых игр.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Человек встает утром по звонку будильника, кипятит воду, ест определенную пищу из определенной посуды, пишет себе задание на день, слушает радио или смотрит телевизор, читает газету, гладит собаку и разговаривает с ней, ругает правительство, едет в троллейбусе, опаздывает на работу. Все это - Я. и.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 xml:space="preserve">Вся человеческая жизнь - совокупность Я. и., как прекрасно описал это С. Соколов в "Школе для дураков": "девочка станет взрослой и станет жить взрослой жизнью; выйдет замуж, будет читать серьезные книги, спешить и опаздывать на работу, покупать мебель, часами говорить по телефону, стирать чулки, готовить есть себе и другим, ходить в гости и пьянеть от вина, завидовать соседям и птицам, следить за метеосводками, вытирать пыль, считать копейки, ждать ребенка, ходить к зубному, отдавать туфли в ремонт, нравиться мужчинам, смотреть в окно на проезжающие автомобили, посещать концерты и музеи, смеяться, когда не смешно, краснеть, когда стыдно [...] платить пени, расписываться в получении переводов, листать журналы, встречать на улице старых знакомых, выступать на собрании, хоронить родственников, греметь на кухне посудой [...] любить Шопена, мечтать о поездке за границу, думать о самоубийстве, ругать неисправные лифты, копить на черный день, петь романсы, хранить давние фотографии, визжать от ужаса, осуждающе качать головой, сетовать на бесконечные дожди, сожалеть об утраченном...". </w:t>
      </w:r>
    </w:p>
    <w:p w:rsidR="005806DF" w:rsidRDefault="005806DF" w:rsidP="005806DF">
      <w:pPr>
        <w:spacing w:before="120"/>
        <w:jc w:val="center"/>
        <w:rPr>
          <w:b/>
          <w:bCs/>
          <w:sz w:val="28"/>
          <w:szCs w:val="28"/>
        </w:rPr>
      </w:pPr>
      <w:r w:rsidRPr="001344B5">
        <w:rPr>
          <w:b/>
          <w:bCs/>
          <w:sz w:val="28"/>
          <w:szCs w:val="28"/>
        </w:rPr>
        <w:t>Список литературы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Вишгеншшейн Л. Философские исследования // Витгенштейн Л. Избр. философские работы. - М., 1994. - Ч. 1.</w:t>
      </w:r>
    </w:p>
    <w:p w:rsidR="005806DF" w:rsidRPr="0039791F" w:rsidRDefault="005806DF" w:rsidP="005806DF">
      <w:pPr>
        <w:spacing w:before="120"/>
        <w:ind w:firstLine="567"/>
        <w:jc w:val="both"/>
      </w:pPr>
      <w:r w:rsidRPr="0039791F">
        <w:t>Бартли У. Витгенштейн // Людвиг Витгенштейн: Человек и мыслитель. - М., 1994.</w:t>
      </w:r>
    </w:p>
    <w:p w:rsidR="005806DF" w:rsidRDefault="005806DF" w:rsidP="005806DF">
      <w:pPr>
        <w:spacing w:before="120"/>
        <w:ind w:firstLine="567"/>
        <w:jc w:val="both"/>
      </w:pPr>
      <w:r w:rsidRPr="0039791F">
        <w:t xml:space="preserve">Руднев В. Морфология реальности: Исследование по "философии текста". - М., 1996. </w:t>
      </w:r>
    </w:p>
    <w:p w:rsidR="00B42C45" w:rsidRPr="005806DF" w:rsidRDefault="00B42C45">
      <w:pPr>
        <w:rPr>
          <w:b/>
          <w:bCs/>
        </w:rPr>
      </w:pPr>
      <w:bookmarkStart w:id="0" w:name="_GoBack"/>
      <w:bookmarkEnd w:id="0"/>
    </w:p>
    <w:sectPr w:rsidR="00B42C45" w:rsidRPr="005806DF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6DF"/>
    <w:rsid w:val="00002B5A"/>
    <w:rsid w:val="0010437E"/>
    <w:rsid w:val="001344B5"/>
    <w:rsid w:val="00316F32"/>
    <w:rsid w:val="0039791F"/>
    <w:rsid w:val="003D5EF7"/>
    <w:rsid w:val="00534E2C"/>
    <w:rsid w:val="005806DF"/>
    <w:rsid w:val="005B387F"/>
    <w:rsid w:val="00616072"/>
    <w:rsid w:val="006A5004"/>
    <w:rsid w:val="00710178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677F2A-A34A-41F7-A2D7-D03E27FE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80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Языковая игра </vt:lpstr>
    </vt:vector>
  </TitlesOfParts>
  <Company>Home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Языковая игра </dc:title>
  <dc:subject/>
  <dc:creator>User</dc:creator>
  <cp:keywords/>
  <dc:description/>
  <cp:lastModifiedBy>admin</cp:lastModifiedBy>
  <cp:revision>2</cp:revision>
  <dcterms:created xsi:type="dcterms:W3CDTF">2014-02-14T21:57:00Z</dcterms:created>
  <dcterms:modified xsi:type="dcterms:W3CDTF">2014-02-14T21:57:00Z</dcterms:modified>
</cp:coreProperties>
</file>