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8D506F" w:rsidRPr="002A5D04" w:rsidRDefault="008D506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8D506F" w:rsidRPr="002A5D04" w:rsidRDefault="008D506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8D506F" w:rsidRPr="002A5D04" w:rsidRDefault="008D506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8D506F" w:rsidRPr="002A5D04" w:rsidRDefault="008D506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8D506F" w:rsidRPr="002A5D04" w:rsidRDefault="002A5D04" w:rsidP="002A5D04">
      <w:pPr>
        <w:spacing w:line="360" w:lineRule="auto"/>
        <w:ind w:firstLine="720"/>
        <w:jc w:val="center"/>
        <w:rPr>
          <w:rFonts w:cs="Tahoma"/>
          <w:b/>
          <w:sz w:val="28"/>
          <w:lang w:val="ru-RU"/>
        </w:rPr>
      </w:pPr>
      <w:r w:rsidRPr="002A5D04">
        <w:rPr>
          <w:rFonts w:cs="Tahoma"/>
          <w:b/>
          <w:sz w:val="28"/>
          <w:lang w:val="ru-RU"/>
        </w:rPr>
        <w:t>Для бухгалтеров</w:t>
      </w:r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</w:rPr>
      </w:pPr>
      <w:bookmarkStart w:id="0" w:name="_Toc22016770"/>
      <w:bookmarkStart w:id="1" w:name="_Toc22029711"/>
      <w:bookmarkStart w:id="2" w:name="_Toc22029915"/>
      <w:bookmarkStart w:id="3" w:name="_Toc22030023"/>
      <w:bookmarkStart w:id="4" w:name="_Toc22359290"/>
    </w:p>
    <w:bookmarkEnd w:id="0"/>
    <w:bookmarkEnd w:id="1"/>
    <w:bookmarkEnd w:id="2"/>
    <w:bookmarkEnd w:id="3"/>
    <w:bookmarkEnd w:id="4"/>
    <w:p w:rsidR="002A5D04" w:rsidRPr="002A5D04" w:rsidRDefault="002A5D04" w:rsidP="002A5D04">
      <w:pPr>
        <w:tabs>
          <w:tab w:val="left" w:pos="360"/>
        </w:tabs>
        <w:spacing w:line="360" w:lineRule="auto"/>
        <w:ind w:firstLine="720"/>
        <w:jc w:val="center"/>
        <w:rPr>
          <w:rFonts w:cs="Tahoma"/>
          <w:b/>
          <w:sz w:val="28"/>
          <w:lang w:val="ru-RU"/>
        </w:rPr>
      </w:pPr>
      <w:r w:rsidRPr="002A5D04">
        <w:rPr>
          <w:rFonts w:cs="Tahoma"/>
          <w:b/>
          <w:sz w:val="28"/>
          <w:lang w:val="ru-RU"/>
        </w:rPr>
        <w:t>Сравнительный анализ основных требований</w:t>
      </w:r>
      <w:r w:rsidR="00A32B74">
        <w:rPr>
          <w:rFonts w:cs="Tahoma"/>
          <w:b/>
          <w:sz w:val="28"/>
          <w:lang w:val="ru-RU"/>
        </w:rPr>
        <w:t xml:space="preserve"> </w:t>
      </w:r>
      <w:r w:rsidRPr="002A5D04">
        <w:rPr>
          <w:rFonts w:cs="Tahoma"/>
          <w:b/>
          <w:sz w:val="28"/>
          <w:lang w:val="ru-RU"/>
        </w:rPr>
        <w:t>к бухгалтерской (финансовой) отчетности</w:t>
      </w:r>
      <w:r w:rsidR="00A32B74">
        <w:rPr>
          <w:rFonts w:cs="Tahoma"/>
          <w:b/>
          <w:sz w:val="28"/>
          <w:lang w:val="ru-RU"/>
        </w:rPr>
        <w:t xml:space="preserve"> </w:t>
      </w:r>
      <w:r w:rsidRPr="002A5D04">
        <w:rPr>
          <w:rFonts w:cs="Tahoma"/>
          <w:b/>
          <w:sz w:val="28"/>
          <w:lang w:val="ru-RU"/>
        </w:rPr>
        <w:t>в МСФО и РПБУ</w:t>
      </w:r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E4303F" w:rsidRPr="00A32B7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  <w:sectPr w:rsidR="00E4303F" w:rsidRPr="00A32B74" w:rsidSect="002A5D04">
          <w:footerReference w:type="even" r:id="rId7"/>
          <w:footerReference w:type="default" r:id="rId8"/>
          <w:type w:val="oddPage"/>
          <w:pgSz w:w="16834" w:h="11909" w:orient="landscape" w:code="9"/>
          <w:pgMar w:top="1701" w:right="1134" w:bottom="851" w:left="1134" w:header="720" w:footer="720" w:gutter="0"/>
          <w:cols w:sep="1" w:space="720"/>
          <w:titlePg/>
          <w:docGrid w:linePitch="360"/>
        </w:sectPr>
      </w:pPr>
      <w:bookmarkStart w:id="5" w:name="_Toc21318256"/>
      <w:bookmarkStart w:id="6" w:name="_Toc22016772"/>
      <w:bookmarkStart w:id="7" w:name="_Toc22029713"/>
      <w:bookmarkStart w:id="8" w:name="_Toc22029917"/>
      <w:bookmarkStart w:id="9" w:name="_Toc22030025"/>
      <w:bookmarkStart w:id="10" w:name="_Toc22380345"/>
      <w:bookmarkStart w:id="11" w:name="_Toc23749039"/>
    </w:p>
    <w:bookmarkEnd w:id="5"/>
    <w:bookmarkEnd w:id="6"/>
    <w:bookmarkEnd w:id="7"/>
    <w:bookmarkEnd w:id="8"/>
    <w:bookmarkEnd w:id="9"/>
    <w:bookmarkEnd w:id="10"/>
    <w:bookmarkEnd w:id="11"/>
    <w:p w:rsidR="00E4303F" w:rsidRDefault="00E4303F" w:rsidP="002A5D04">
      <w:pPr>
        <w:tabs>
          <w:tab w:val="left" w:pos="360"/>
        </w:tabs>
        <w:spacing w:line="360" w:lineRule="auto"/>
        <w:ind w:firstLine="720"/>
        <w:jc w:val="center"/>
        <w:rPr>
          <w:rFonts w:cs="Tahoma"/>
          <w:b/>
          <w:bCs/>
          <w:sz w:val="28"/>
          <w:lang w:val="ru-RU"/>
        </w:rPr>
      </w:pPr>
      <w:r w:rsidRPr="002A5D04">
        <w:rPr>
          <w:rFonts w:cs="Tahoma"/>
          <w:b/>
          <w:bCs/>
          <w:sz w:val="28"/>
          <w:lang w:val="ru-RU"/>
        </w:rPr>
        <w:t>Содержание</w:t>
      </w:r>
    </w:p>
    <w:p w:rsidR="002A5D04" w:rsidRPr="002A5D04" w:rsidRDefault="002A5D04" w:rsidP="002A5D04">
      <w:pPr>
        <w:tabs>
          <w:tab w:val="left" w:pos="360"/>
        </w:tabs>
        <w:spacing w:line="360" w:lineRule="auto"/>
        <w:ind w:firstLine="720"/>
        <w:jc w:val="center"/>
        <w:rPr>
          <w:rFonts w:cs="Tahoma"/>
          <w:b/>
          <w:bCs/>
          <w:sz w:val="28"/>
          <w:lang w:val="ru-RU"/>
        </w:rPr>
      </w:pPr>
    </w:p>
    <w:p w:rsidR="00E4303F" w:rsidRPr="002A5D04" w:rsidRDefault="00E4303F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r w:rsidRPr="002A5D04">
        <w:rPr>
          <w:rFonts w:ascii="Times New Roman" w:hAnsi="Times New Roman"/>
          <w:b w:val="0"/>
          <w:caps w:val="0"/>
          <w:sz w:val="28"/>
          <w:lang w:val="ru-RU"/>
        </w:rPr>
        <w:fldChar w:fldCharType="begin"/>
      </w:r>
      <w:r w:rsidRPr="002A5D04">
        <w:rPr>
          <w:rFonts w:ascii="Times New Roman" w:hAnsi="Times New Roman"/>
          <w:b w:val="0"/>
          <w:caps w:val="0"/>
          <w:sz w:val="28"/>
          <w:lang w:val="ru-RU"/>
        </w:rPr>
        <w:instrText xml:space="preserve"> TOC \o "1-1" \h \z </w:instrText>
      </w:r>
      <w:r w:rsidRPr="002A5D04">
        <w:rPr>
          <w:rFonts w:ascii="Times New Roman" w:hAnsi="Times New Roman"/>
          <w:b w:val="0"/>
          <w:caps w:val="0"/>
          <w:sz w:val="28"/>
          <w:lang w:val="ru-RU"/>
        </w:rPr>
        <w:fldChar w:fldCharType="separate"/>
      </w:r>
      <w:hyperlink w:anchor="_Toc109814491" w:history="1">
        <w:r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1</w:t>
        </w:r>
        <w:r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1 Основные положения регулирования финансовой (бухгалтерской) отчетности</w:t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_Toc109814491 \h </w:instrText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  <w:t>4</w:t>
        </w:r>
        <w:r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2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2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2 Сравнительный анализ соответствия допущений РПБУ положениям МСФО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_Toc109814492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6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3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3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3 Сравнительный анализ соответствия требований РПБУ положениям МСФО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_Toc109814493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7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4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4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4 Сравнительный анализ соответствия правил составления финансовой отчетности по МСФО положениям РПБУ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_Toc109814494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9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5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5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5 Понятийный аппарат финансовой (бухгалтерской) отчетности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_Toc109814495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12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6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6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6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  <w:lang w:val="en-US"/>
          </w:rPr>
          <w:t xml:space="preserve"> 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Состав финансовой (бухгалтерской) отчетности и особенности определения состава включаемой информации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_Toc109814496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14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7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7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7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  <w:lang w:val="en-US"/>
          </w:rPr>
          <w:t xml:space="preserve"> 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Структура и состав показателей бухгалтерского баланса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_Toc109814497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17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8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8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8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  <w:lang w:val="en-US"/>
          </w:rPr>
          <w:t xml:space="preserve"> 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Структура и состав показателей отчета о прибылях и убытках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_Toc109814498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18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48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499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9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9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  <w:lang w:val="en-US"/>
          </w:rPr>
          <w:t xml:space="preserve"> 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Структура и состав показателей отчета об изменениях капитала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_Toc109814499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19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72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500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10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10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  <w:lang w:val="en-US"/>
          </w:rPr>
          <w:t xml:space="preserve"> 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Структура и состав показателей отчета о движении денежных средств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_Toc109814500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20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4746B9" w:rsidP="002A5D04">
      <w:pPr>
        <w:pStyle w:val="11"/>
        <w:tabs>
          <w:tab w:val="clear" w:pos="14760"/>
          <w:tab w:val="left" w:pos="720"/>
          <w:tab w:val="right" w:leader="dot" w:pos="14601"/>
        </w:tabs>
        <w:spacing w:before="0" w:line="360" w:lineRule="auto"/>
        <w:jc w:val="both"/>
        <w:rPr>
          <w:rFonts w:ascii="Times New Roman" w:hAnsi="Times New Roman" w:cs="Times New Roman"/>
          <w:b w:val="0"/>
          <w:bCs w:val="0"/>
          <w:caps w:val="0"/>
          <w:sz w:val="28"/>
          <w:szCs w:val="24"/>
        </w:rPr>
      </w:pPr>
      <w:hyperlink w:anchor="_Toc109814501" w:history="1"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11</w:t>
        </w:r>
        <w:r w:rsidR="00E4303F" w:rsidRPr="002A5D04">
          <w:rPr>
            <w:rFonts w:ascii="Times New Roman" w:hAnsi="Times New Roman" w:cs="Times New Roman"/>
            <w:b w:val="0"/>
            <w:bCs w:val="0"/>
            <w:caps w:val="0"/>
            <w:sz w:val="28"/>
            <w:szCs w:val="24"/>
          </w:rPr>
          <w:tab/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Таблица 11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  <w:lang w:val="en-US"/>
          </w:rPr>
          <w:t xml:space="preserve"> </w:t>
        </w:r>
        <w:r w:rsidR="00E4303F" w:rsidRPr="002A5D04">
          <w:rPr>
            <w:rStyle w:val="ae"/>
            <w:rFonts w:ascii="Times New Roman" w:hAnsi="Times New Roman" w:cs="Tahoma"/>
            <w:b w:val="0"/>
            <w:caps w:val="0"/>
            <w:color w:val="auto"/>
            <w:sz w:val="28"/>
            <w:szCs w:val="32"/>
            <w:u w:val="none"/>
          </w:rPr>
          <w:t>Пояснительная записка к финансовой (бухгалтерской) отчетности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ab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begin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instrText xml:space="preserve"> PAGEREF _Toc109814501 \h </w:instrTex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separate"/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t>25</w:t>
        </w:r>
        <w:r w:rsidR="00E4303F" w:rsidRPr="002A5D04">
          <w:rPr>
            <w:rFonts w:ascii="Times New Roman" w:hAnsi="Times New Roman"/>
            <w:b w:val="0"/>
            <w:caps w:val="0"/>
            <w:webHidden/>
            <w:sz w:val="28"/>
          </w:rPr>
          <w:fldChar w:fldCharType="end"/>
        </w:r>
      </w:hyperlink>
    </w:p>
    <w:p w:rsidR="00E4303F" w:rsidRPr="002A5D04" w:rsidRDefault="00E4303F" w:rsidP="002A5D04">
      <w:pPr>
        <w:tabs>
          <w:tab w:val="left" w:pos="360"/>
          <w:tab w:val="right" w:leader="dot" w:pos="9720"/>
          <w:tab w:val="right" w:leader="dot" w:pos="14601"/>
        </w:tabs>
        <w:spacing w:line="360" w:lineRule="auto"/>
        <w:jc w:val="both"/>
        <w:rPr>
          <w:rFonts w:cs="Tahoma"/>
          <w:sz w:val="28"/>
          <w:lang w:val="ru-RU"/>
        </w:rPr>
      </w:pPr>
      <w:r w:rsidRPr="002A5D04">
        <w:rPr>
          <w:b/>
          <w:caps/>
          <w:sz w:val="28"/>
          <w:lang w:val="ru-RU"/>
        </w:rPr>
        <w:fldChar w:fldCharType="end"/>
      </w:r>
    </w:p>
    <w:p w:rsidR="00E4303F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12" w:name="_Toc94355902"/>
      <w:bookmarkStart w:id="13" w:name="_Toc94356020"/>
      <w:bookmarkStart w:id="14" w:name="_Toc109814491"/>
      <w:r w:rsidRPr="002A5D04">
        <w:rPr>
          <w:rFonts w:ascii="Times New Roman" w:hAnsi="Times New Roman" w:cs="Tahoma"/>
          <w:sz w:val="28"/>
          <w:lang w:val="ru-RU"/>
        </w:rPr>
        <w:t>Таблица 1</w:t>
      </w:r>
      <w:r w:rsidRPr="002A5D04">
        <w:rPr>
          <w:rFonts w:ascii="Times New Roman" w:hAnsi="Times New Roman" w:cs="Tahoma"/>
          <w:sz w:val="28"/>
          <w:lang w:val="ru-RU"/>
        </w:rPr>
        <w:tab/>
        <w:t>Основные положения регулирования финансовой (бухгалтерской) отчетности</w:t>
      </w:r>
      <w:bookmarkEnd w:id="12"/>
      <w:bookmarkEnd w:id="13"/>
      <w:bookmarkEnd w:id="14"/>
    </w:p>
    <w:p w:rsidR="002A5D04" w:rsidRPr="002A5D04" w:rsidRDefault="002A5D04" w:rsidP="002A5D04">
      <w:pPr>
        <w:rPr>
          <w:lang w:val="ru-RU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4140"/>
        <w:gridCol w:w="4500"/>
        <w:gridCol w:w="4320"/>
      </w:tblGrid>
      <w:tr w:rsidR="00E4303F" w:rsidRPr="002A5D04">
        <w:trPr>
          <w:cantSplit/>
          <w:trHeight w:val="500"/>
        </w:trPr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>
        <w:trPr>
          <w:cantSplit/>
        </w:trPr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Определение бухгалтерской (финансовой) отчетности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Бухгалтерская отчетность – единая система данных об имущественном и финансовом положении организации и о результатах ее хозяйственной деятельности, составляемая на основе данных бухгалтерского учета по установленным формам (ст. 2 Закона № 129-ФЗ «О бухгалтерском учете»). </w:t>
            </w:r>
            <w:r w:rsidRPr="002A5D04">
              <w:rPr>
                <w:rFonts w:cs="Tahoma"/>
                <w:sz w:val="20"/>
                <w:szCs w:val="20"/>
              </w:rPr>
              <w:t>Аналогичное определение содержится в п.4 ПБУ 4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>/99</w:t>
            </w:r>
            <w:r w:rsidRPr="002A5D04">
              <w:rPr>
                <w:rFonts w:cs="Tahoma"/>
                <w:sz w:val="20"/>
                <w:szCs w:val="20"/>
              </w:rPr>
              <w:t>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Финансовая отчетность представляет собой структурированное представление финансового положения и операций, осуществленных компанией (п.7 МСФО 1).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Зависимость финансовой отчетности по МСФО от бухгалтерского учета более гибкая, чем в РПБУ.</w:t>
            </w:r>
          </w:p>
        </w:tc>
      </w:tr>
      <w:tr w:rsidR="00E4303F" w:rsidRPr="002A5D04"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Цель бухгалтерской (финансовой) отчетности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Бухгалтерская отчетность должна давать достоверное и полное представление о финансовом положении организации, финансовых результатах ее деятельности и изменениях в ее финансовом положении (п.6 ПБУ 4/99).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Целью финансовой отчетности общего назначения является представление информации о финансовом положении, финансовых результатах деятельности и движении денежных средств компании, полезной для широкого круга пользователей при принятии экономических решений. Финансовая отчетность также показывает результаты управления ресурсами, доверенными руководству компании (п.7 МСФО 1).</w:t>
            </w: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РПБУ нет четкого указания, что цель финансовой отчетности состоит в представлении информации об организации, полезной для широкого круга пользователей при принятии экономических решений.</w:t>
            </w:r>
          </w:p>
        </w:tc>
      </w:tr>
      <w:tr w:rsidR="00E4303F" w:rsidRPr="002A5D04">
        <w:trPr>
          <w:trHeight w:val="329"/>
        </w:trPr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Отчетная дата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Отчетная дата по состоянию на которую организация должна составлять бухгалтерскую отчетность, является фиксированной и определяется в соответствии с п.2 ст.14 Закона «О бухгалтерском учете».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Отчетная дата для финансовой отчетности по МСФО не является фиксированной.</w:t>
            </w: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В отличие от РПБУ, в МСФО отсутствует жесткое закрепление отчетной даты. </w:t>
            </w:r>
          </w:p>
        </w:tc>
      </w:tr>
      <w:tr w:rsidR="00E4303F" w:rsidRPr="002A5D04"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Продолжительность отчетного периода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В соответствии с Положением по ведению бухгалтерского учета и бухгалтерской отчетности в РФ: 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Бухгалтерская отчетность составляется за отчетный год. Отчетным годом считается период с 1 января по 31 декабря календарного года включительно (п.36).</w:t>
            </w:r>
          </w:p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Отчетной датой считается последний календарный день отчетного периода (п.37).</w:t>
            </w:r>
          </w:p>
          <w:p w:rsidR="00E4303F" w:rsidRPr="002A5D04" w:rsidRDefault="00E4303F" w:rsidP="002A5D0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2A5D04">
              <w:rPr>
                <w:rFonts w:ascii="Times New Roman" w:hAnsi="Times New Roman" w:cs="Tahoma"/>
              </w:rPr>
              <w:t>В соответствии с п. 13 ПБУ 4/99 (Приказ Минфина России № 34н) при составлении бухгалтерской отчетности за отчетный год отчетным годом является календарный год с 1 января по 31 декабря включительно.</w:t>
            </w:r>
          </w:p>
          <w:p w:rsidR="00E4303F" w:rsidRPr="002A5D04" w:rsidRDefault="00E4303F" w:rsidP="002A5D0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2A5D04">
              <w:rPr>
                <w:rFonts w:ascii="Times New Roman" w:hAnsi="Times New Roman" w:cs="Tahoma"/>
              </w:rPr>
              <w:t>Первым отчетным годом для вновь созданных организаций считается период с даты их государственной регистрации по 31 декабря соответствующего года, а для организаций, созданных после 1 октября, - по 31 декабря следующего года.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Финансовая отчетность должна представляться как минимум ежегодно. Когда в исключительных обстоятельствах отчетная дата компании изменяется и годовая финансовая отчетность представляется за период продолжительнее или короче, чем один год, компания должна раскрыть в дополнение к периоду, охваченному финансовой отчетностью:</w:t>
            </w:r>
          </w:p>
          <w:p w:rsidR="00E4303F" w:rsidRPr="002A5D04" w:rsidRDefault="00E4303F" w:rsidP="00A32B74">
            <w:pPr>
              <w:numPr>
                <w:ilvl w:val="0"/>
                <w:numId w:val="5"/>
              </w:numPr>
              <w:tabs>
                <w:tab w:val="num" w:pos="5040"/>
              </w:tabs>
              <w:spacing w:line="360" w:lineRule="auto"/>
              <w:ind w:left="0" w:firstLine="0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причину выбора периода отличающегося от одного года; и</w:t>
            </w:r>
          </w:p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(б) факт того, что сравнительные суммы для отчетов о прибылях и убытках, об изменениях в капитале, о движении денежных средств и соответствующих примечаний не сопоставимы.</w:t>
            </w:r>
          </w:p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(п. 49 МСФО 1).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4320" w:type="dxa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В РПБУ изменение продолжительности отчетного периода возможно только в случае, когда момент создания (регистрации) юридического лица (п.13 ПБУ 4/99) приходится на период после 1 октября или при прекращении его деятельности                       (п.9 Методических указаний по формированию бухгалтерской отчетности при осуществлении реорганизации организации утв. приказом Минфина России от 20.05.2003 № 44н).</w:t>
            </w:r>
          </w:p>
        </w:tc>
      </w:tr>
    </w:tbl>
    <w:p w:rsidR="00E4303F" w:rsidRPr="002A5D04" w:rsidRDefault="00E4303F" w:rsidP="002A5D0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15" w:name="_Toc109814492"/>
      <w:r w:rsidRPr="002A5D04">
        <w:rPr>
          <w:rFonts w:ascii="Times New Roman" w:hAnsi="Times New Roman" w:cs="Tahoma"/>
          <w:sz w:val="28"/>
          <w:lang w:val="ru-RU"/>
        </w:rPr>
        <w:t>Таблица 2</w:t>
      </w:r>
      <w:r w:rsidRPr="002A5D04">
        <w:rPr>
          <w:rFonts w:ascii="Times New Roman" w:hAnsi="Times New Roman" w:cs="Tahoma"/>
          <w:sz w:val="28"/>
          <w:lang w:val="ru-RU"/>
        </w:rPr>
        <w:tab/>
        <w:t>Сравнительный анализ соответствия допущений РПБУ положениям МСФО</w:t>
      </w:r>
      <w:bookmarkEnd w:id="15"/>
    </w:p>
    <w:p w:rsidR="00E4303F" w:rsidRPr="002A5D04" w:rsidRDefault="00E4303F" w:rsidP="002A5D04">
      <w:pPr>
        <w:pStyle w:val="a7"/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3420"/>
        <w:gridCol w:w="3240"/>
        <w:gridCol w:w="5580"/>
      </w:tblGrid>
      <w:tr w:rsidR="00E4303F" w:rsidRPr="002A5D04">
        <w:trPr>
          <w:cantSplit/>
          <w:trHeight w:val="500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34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32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55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Комментарий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</w:t>
            </w:r>
            <w:r w:rsidRPr="002A5D04">
              <w:rPr>
                <w:rFonts w:cs="Tahoma"/>
                <w:sz w:val="20"/>
                <w:szCs w:val="20"/>
              </w:rPr>
              <w:t>опущение имущественной обособленности</w:t>
            </w:r>
          </w:p>
        </w:tc>
        <w:tc>
          <w:tcPr>
            <w:tcW w:w="34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Активы и обязательства организации существуют обособленно от активов и обязательств собственников этой организации и активов и обязательств других организаций (п.6 ПБУ 1/98).</w:t>
            </w:r>
          </w:p>
        </w:tc>
        <w:tc>
          <w:tcPr>
            <w:tcW w:w="32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МСФО допущение имущественной обособленности прямо не определено.</w:t>
            </w:r>
          </w:p>
        </w:tc>
        <w:tc>
          <w:tcPr>
            <w:tcW w:w="55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Допущение имущественной обособленности в МСФО реализовано косвенно, путем указания на экономические ресурсы, контролируемые предприятием (п.16 Принципов подготовки и составления финансовой отчетности).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</w:rPr>
              <w:t>Допущение непрерывности деятельности</w:t>
            </w:r>
          </w:p>
        </w:tc>
        <w:tc>
          <w:tcPr>
            <w:tcW w:w="34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Организация будет продолжать свою деятельность в обозримом будущем и у нее отсутствуют намерения и необходимость ликвидации или существенного сокращения деятельности и, следовательно, обязательства будут погашаться в установленном порядке (п.6 ПБУ 1/98).</w:t>
            </w:r>
          </w:p>
        </w:tc>
        <w:tc>
          <w:tcPr>
            <w:tcW w:w="32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Организация будет продолжать свою деятельность в обозримом будущем и у нее отсутствуют намерения и необходимость ликвидации или существенного сокращения деятельности ( п. 23 Принципов подготовки и составления финансовой отчетности)</w:t>
            </w:r>
          </w:p>
        </w:tc>
        <w:tc>
          <w:tcPr>
            <w:tcW w:w="5580" w:type="dxa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Различий нет.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Допущение последовательности применения учетной политики</w:t>
            </w:r>
          </w:p>
        </w:tc>
        <w:tc>
          <w:tcPr>
            <w:tcW w:w="3420" w:type="dxa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Принятая организацией учетная политика применяется последовательно от одного отчетного года к другому (п.6 ПБУ 1/98).</w:t>
            </w:r>
          </w:p>
        </w:tc>
        <w:tc>
          <w:tcPr>
            <w:tcW w:w="3240" w:type="dxa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Предприятие выбирает и применяет учетную политику последовательно для одинаковых операций, прочих событий и условий (п.13 МСФО 8).</w:t>
            </w:r>
          </w:p>
        </w:tc>
        <w:tc>
          <w:tcPr>
            <w:tcW w:w="55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Различий нет.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Допущение временной определенности фактов хозяйственной деятельности</w:t>
            </w:r>
          </w:p>
        </w:tc>
        <w:tc>
          <w:tcPr>
            <w:tcW w:w="34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Факты хозяйственной деятельности организации относятся к тому отчетному периоду, в котором они имели место, независимо от фактического времени поступления или выплаты денежных средств, связанных с этими фактами (п.6 ПБУ 1/98).</w:t>
            </w:r>
          </w:p>
        </w:tc>
        <w:tc>
          <w:tcPr>
            <w:tcW w:w="32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Результаты операций и прочих событий признаются по факту их совершения (а не тогда, когда денежные средства или их эквиваленты получены или выплачены) – принцип начисления. Они отражаются в учетных записях и включаются в финансовую отчетность периодов, к которым относятся (п.22 Принципов подготовки и составления финансовой отчетности).</w:t>
            </w:r>
          </w:p>
        </w:tc>
        <w:tc>
          <w:tcPr>
            <w:tcW w:w="55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Различный подход МСФО и РПБУ к допущению временной определенности фактов хозяйственной деятельности, выражающийся в том, что прибыли и убытки прошлых лет, выявленные в отчетном году, согласно МСФО могут учитываться в качестве ретроспективной корректировки нераспределенной прибыли (п.100 МСФО 1, МСФО 8), в отличие от РПБУ. </w:t>
            </w:r>
          </w:p>
        </w:tc>
      </w:tr>
    </w:tbl>
    <w:p w:rsidR="00E4303F" w:rsidRPr="002A5D04" w:rsidRDefault="00E4303F" w:rsidP="002A5D0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2A5D04" w:rsidRDefault="00E4303F" w:rsidP="002A5D04">
      <w:pPr>
        <w:spacing w:line="360" w:lineRule="auto"/>
        <w:ind w:firstLine="720"/>
        <w:jc w:val="center"/>
        <w:rPr>
          <w:rFonts w:cs="Tahoma"/>
          <w:b/>
          <w:sz w:val="28"/>
          <w:lang w:val="ru-RU"/>
        </w:rPr>
      </w:pPr>
      <w:r w:rsidRPr="002A5D04">
        <w:rPr>
          <w:rFonts w:cs="Tahoma"/>
          <w:sz w:val="28"/>
          <w:lang w:val="ru-RU"/>
        </w:rPr>
        <w:br w:type="page"/>
      </w:r>
      <w:bookmarkStart w:id="16" w:name="_Toc109814493"/>
      <w:r w:rsidRPr="002A5D04">
        <w:rPr>
          <w:rFonts w:cs="Tahoma"/>
          <w:b/>
          <w:sz w:val="28"/>
          <w:lang w:val="ru-RU"/>
        </w:rPr>
        <w:t>Таблица 3</w:t>
      </w:r>
      <w:r w:rsidRPr="002A5D04">
        <w:rPr>
          <w:rFonts w:cs="Tahoma"/>
          <w:b/>
          <w:sz w:val="28"/>
          <w:lang w:val="ru-RU"/>
        </w:rPr>
        <w:tab/>
        <w:t>Сравнительный анализ соответствия требований РПБУ положениям МСФО</w:t>
      </w:r>
      <w:bookmarkEnd w:id="16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3600"/>
        <w:gridCol w:w="4500"/>
        <w:gridCol w:w="4140"/>
      </w:tblGrid>
      <w:tr w:rsidR="00E4303F" w:rsidRPr="002A5D04" w:rsidTr="002A5D04">
        <w:trPr>
          <w:cantSplit/>
          <w:trHeight w:val="164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Комментарий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</w:rPr>
              <w:t>Требование полноты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Полнота отражения в бухгалтерском учете всех факторов хозяйственной деятельности (п.7 ПБУ 1/98).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Информация в финансовой отчетности должна быть полной с учетом существенности и затрат на ее создание (п.38 Принципов подготовки и составления финансовой отчетности).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Различий нет.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Тр</w:t>
            </w:r>
            <w:r w:rsidRPr="002A5D04">
              <w:rPr>
                <w:rFonts w:cs="Tahoma"/>
                <w:sz w:val="20"/>
                <w:szCs w:val="20"/>
              </w:rPr>
              <w:t>ебование своевременности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Своевременное отражение фактов хозяйственной деятельности в бухгалтерском учете и бухгалтерской отчетности (п.7 ПБУ 1/98).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Своевременное отражение информации в отчетности с учетом соблюдения баланса между уместностью и надежностью информации (см. п.43 Принципов подготовки и составления финансовой отчетности).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Различий нет.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</w:rPr>
              <w:t>Требование осмотрительности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Большая готовность к признанию в бухгалтерском учете расходов и обязательств, чем возможных доходов и активов, не допуская создания скрытых резервов (п.7 ПБУ 1/98).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Требование осмотрительности изложено в п.37 Принципов подготовки и составления финансовой отчетности.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Различий нет.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Требование приоритета содержания перед формой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Отражение в бухгалтерском учете факторов хозяйственной деятельности исходя не столько из их правовой формы, сколько из экономического содержания фактов и условий хозяйствования (п.7 ПБУ 1/98).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Операции и другие события должны учитываться и представляться в соответствии с их сущностью и экономической реальностью, а не только в соответствии с юридической формой (п.35 Принципов подготовки и составления финансовой отчетности.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Различий нет.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</w:t>
            </w:r>
            <w:r w:rsidRPr="002A5D04">
              <w:rPr>
                <w:rFonts w:cs="Tahoma"/>
                <w:sz w:val="20"/>
                <w:szCs w:val="20"/>
              </w:rPr>
              <w:t>ребование непротиворечивости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Тождество данных аналитического учета оборотам и остаткам по счетам синтетического учета на последний календарный день каждого месяца (п.7 ПБУ 1/98).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Требование непротиворечивости в МСФО не определено.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Отсутствие в МСФО определения требования непротиворечивости объясняется тем, что Международные стандарты в большей степени ориентированы на подготовку финансовой отчетности, чем на ведение бухгалтерского учета.</w:t>
            </w:r>
          </w:p>
        </w:tc>
      </w:tr>
      <w:tr w:rsidR="00E4303F" w:rsidRPr="002A5D04"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</w:rPr>
              <w:t>Требование рациональности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Рациональное ведение бухгалтерского учета, исходя из условий хозяйственной деятельности и величины организации (п.7 ПБУ 1/98).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Требование рациональности в отношении ведения бухгалтерского учета в МСФО не определено.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Отсутствие в МСФО определения требования рациональности объясняется тем, что Международные стандарты в большей степени ориентированы на подготовку финансовой отчетности, чем на ведение бухгалтерского учета.</w:t>
            </w:r>
          </w:p>
        </w:tc>
      </w:tr>
    </w:tbl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17" w:name="_Toc109814494"/>
      <w:r w:rsidRPr="002A5D04">
        <w:rPr>
          <w:rFonts w:ascii="Times New Roman" w:hAnsi="Times New Roman" w:cs="Tahoma"/>
          <w:sz w:val="28"/>
          <w:lang w:val="ru-RU"/>
        </w:rPr>
        <w:t>Таблица 4</w:t>
      </w:r>
      <w:r w:rsidRPr="002A5D04">
        <w:rPr>
          <w:rFonts w:ascii="Times New Roman" w:hAnsi="Times New Roman" w:cs="Tahoma"/>
          <w:sz w:val="28"/>
          <w:lang w:val="ru-RU"/>
        </w:rPr>
        <w:tab/>
        <w:t>Сравнительный анализ соответствия правил составления финансовой отчетности по МСФО положениям РПБУ</w:t>
      </w:r>
      <w:bookmarkEnd w:id="17"/>
    </w:p>
    <w:p w:rsidR="00E4303F" w:rsidRPr="002A5D04" w:rsidRDefault="00E4303F" w:rsidP="002A5D04">
      <w:pPr>
        <w:pStyle w:val="a7"/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3780"/>
        <w:gridCol w:w="900"/>
        <w:gridCol w:w="4860"/>
        <w:gridCol w:w="540"/>
        <w:gridCol w:w="2160"/>
      </w:tblGrid>
      <w:tr w:rsidR="00E4303F" w:rsidRPr="002A5D04" w:rsidTr="002A5D04">
        <w:trPr>
          <w:cantSplit/>
          <w:trHeight w:val="257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37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5760" w:type="dxa"/>
            <w:gridSpan w:val="2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2700" w:type="dxa"/>
            <w:gridSpan w:val="2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Комментарий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Справедливое представление и соответствие МСФО</w:t>
            </w:r>
          </w:p>
        </w:tc>
        <w:tc>
          <w:tcPr>
            <w:tcW w:w="37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Если при составлении бухгалтерской отчетности применение установленных правил бухгалтерского учета не позволяет сформировать достоверное и полное представление о финансовом положении организации, финансовых результатах ее деятельности и изменениях в ее финансовом положении, то организация в исключительных случаях (например, национализация имущества) может допустить отступление от этих правил. </w:t>
            </w:r>
            <w:r w:rsidRPr="002A5D04">
              <w:rPr>
                <w:rFonts w:cs="Tahoma"/>
                <w:sz w:val="20"/>
                <w:szCs w:val="20"/>
              </w:rPr>
              <w:t>(п.6 ПБУ 4/99).</w:t>
            </w:r>
          </w:p>
          <w:p w:rsidR="00E4303F" w:rsidRPr="002A5D04" w:rsidRDefault="00E4303F" w:rsidP="002A5D0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2A5D04">
              <w:rPr>
                <w:rFonts w:ascii="Times New Roman" w:hAnsi="Times New Roman" w:cs="Tahoma"/>
              </w:rPr>
              <w:t>Существенные отступления должны быть раскрыты в пояснениях к бухгалтерскому балансу и отчету о прибылях и убытках вместе с указанием причин, вызвавших эти отступления, и результата, который данные отступления оказали на понимание финансового положения организации и результатов ее деятельности (п.4 ст.13 Закона «О бухгалтерском учете», п.37 ПБУ 4/99).</w:t>
            </w:r>
          </w:p>
        </w:tc>
        <w:tc>
          <w:tcPr>
            <w:tcW w:w="5760" w:type="dxa"/>
            <w:gridSpan w:val="2"/>
          </w:tcPr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В соответствии с п.18 МСФО 1, когда руководство приходит к заключению, что соответствие требованиям определенного Стандарта МСФО будет вводить в заблуждение, и поэтому отступление от какого-либо требования необходимо для достижения достоверного представления, компания должна раскрывать: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</w:t>
            </w:r>
            <w:r w:rsidRPr="002A5D04">
              <w:rPr>
                <w:rFonts w:cs="Tahoma"/>
                <w:sz w:val="20"/>
                <w:szCs w:val="20"/>
              </w:rPr>
              <w:t>a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 тот факт, что руководство пришло к заключению, что финансовая отчетность не позволяет достоверно представить финансовое положение, финансовые результаты деятельности и движение денежных средств компании;</w:t>
            </w:r>
          </w:p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(</w:t>
            </w:r>
            <w:r w:rsidRPr="002A5D04">
              <w:rPr>
                <w:rFonts w:ascii="Times New Roman" w:hAnsi="Times New Roman" w:cs="Tahoma"/>
                <w:szCs w:val="20"/>
              </w:rPr>
              <w:t>b</w:t>
            </w:r>
            <w:r w:rsidRPr="002A5D04">
              <w:rPr>
                <w:rFonts w:ascii="Times New Roman" w:hAnsi="Times New Roman" w:cs="Tahoma"/>
                <w:szCs w:val="20"/>
                <w:lang w:val="ru-RU"/>
              </w:rPr>
              <w:t>) тот факт, что финансовая отчетность соответствует применимым Международным стандартам финансовой отчетности во всех существенных аспектах, за исключением отступления от какого-либо Стандарта в целях достижения достоверного представления;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</w:t>
            </w:r>
            <w:r w:rsidRPr="002A5D04">
              <w:rPr>
                <w:rFonts w:cs="Tahoma"/>
                <w:sz w:val="20"/>
                <w:szCs w:val="20"/>
              </w:rPr>
              <w:t>c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 Стандарт, от которого отступила компания, характер отступления, включая порядок учета, который требовался бы Стандартом, причины, по которым такой порядок учета вводил бы в заблуждение, и принятый порядок учета; и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</w:t>
            </w:r>
            <w:r w:rsidRPr="002A5D04">
              <w:rPr>
                <w:rFonts w:cs="Tahoma"/>
                <w:sz w:val="20"/>
                <w:szCs w:val="20"/>
              </w:rPr>
              <w:t>d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 финансовое воздействие отступления на чистую прибыль или убыток компании, ее активы, обязательства, капитал и движение денежных средств в каждом из представленных периодов.</w:t>
            </w:r>
          </w:p>
        </w:tc>
        <w:tc>
          <w:tcPr>
            <w:tcW w:w="2700" w:type="dxa"/>
            <w:gridSpan w:val="2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 не содержит указания на состав раскрываемой в отчетности информации, характеризующей отступление от требований нормативных актов по бухгалтерскому учету.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Последовательность представления финансовой отчетности</w:t>
            </w:r>
          </w:p>
        </w:tc>
        <w:tc>
          <w:tcPr>
            <w:tcW w:w="4680" w:type="dxa"/>
            <w:gridSpan w:val="2"/>
          </w:tcPr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 xml:space="preserve">В соответствии с п.9 ПБУ 4/99 изменение принятых содержания и формы бухгалтерского баланса, отчета о прибылях и убытках и пояснений к ним допускается в исключительных случаях, например при изменении вида деятельности. </w:t>
            </w:r>
          </w:p>
        </w:tc>
        <w:tc>
          <w:tcPr>
            <w:tcW w:w="5400" w:type="dxa"/>
            <w:gridSpan w:val="2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В п.27 МСФО 1 определено отступление от последовательного представления финансовой отчетности в случаях:</w:t>
            </w:r>
          </w:p>
          <w:p w:rsidR="00E4303F" w:rsidRPr="002A5D04" w:rsidRDefault="00E4303F" w:rsidP="00A32B74">
            <w:pPr>
              <w:numPr>
                <w:ilvl w:val="1"/>
                <w:numId w:val="6"/>
              </w:numPr>
              <w:tabs>
                <w:tab w:val="num" w:pos="3240"/>
              </w:tabs>
              <w:spacing w:line="360" w:lineRule="auto"/>
              <w:ind w:left="0" w:firstLine="0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значительного изменения в характере операций компании или когда анализ представления ею финансовой отчетности демонстрирует, что изменение приведет к более надлежащему представлению событий или операций с учетом критериев выбора и применения учетной политики согласно МСФО 8; или</w:t>
            </w:r>
          </w:p>
          <w:p w:rsidR="00E4303F" w:rsidRPr="002A5D04" w:rsidRDefault="00E4303F" w:rsidP="002A5D04">
            <w:pPr>
              <w:tabs>
                <w:tab w:val="num" w:pos="252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(б)   изменение в представлении требуется Международным стандартом финансовой отчетности или интерпретацией Постоянного комитета по интерпретациям (ПКИ).</w:t>
            </w:r>
          </w:p>
        </w:tc>
        <w:tc>
          <w:tcPr>
            <w:tcW w:w="216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 не содержат указания на то, в каких случаях допускаются отступления.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Существенность и агрегирование</w:t>
            </w:r>
          </w:p>
        </w:tc>
        <w:tc>
          <w:tcPr>
            <w:tcW w:w="4680" w:type="dxa"/>
            <w:gridSpan w:val="2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В соответствии с п.11 ПБУ 4/99 показатели могут приводиться в бухгалтерском балансе или отчете о прибылях и убытках общей суммой с раскрытием в пояснениях к бухгалтерскому балансу и отчету о прибылях и убытках, если каждый из этих показателей в отдельности несущественен.</w:t>
            </w:r>
          </w:p>
        </w:tc>
        <w:tc>
          <w:tcPr>
            <w:tcW w:w="5400" w:type="dxa"/>
            <w:gridSpan w:val="2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Если статья не является существенной в обособленном виде, она объединяется с другими статьями в самой финансовой отчетности или в примечаниях (пп.29,30 МСФО 1).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216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Различия отсутствуют.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2088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Зачет статей отчетности</w:t>
            </w:r>
          </w:p>
        </w:tc>
        <w:tc>
          <w:tcPr>
            <w:tcW w:w="4680" w:type="dxa"/>
            <w:gridSpan w:val="2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бухгалтерской отчетности не допускается зачет между статьями активов и пассивов, статьями прибылей и убытков, кроме случаев, когда такой зачет предусмотрен соответствующими положениями по бухгалтерскому учету (п.34 ПБУ 4/99).</w:t>
            </w:r>
          </w:p>
        </w:tc>
        <w:tc>
          <w:tcPr>
            <w:tcW w:w="5400" w:type="dxa"/>
            <w:gridSpan w:val="2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Активы и обязательства, а также доходы и расходы не должны взаимозачитываться, за исключением случаев, когда это требуется или разрешается Международным стандартом финансовой отчетности или Интерпретацией (п.32 МСФО 1).</w:t>
            </w:r>
          </w:p>
        </w:tc>
        <w:tc>
          <w:tcPr>
            <w:tcW w:w="216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Различия отсутствуют.</w:t>
            </w:r>
          </w:p>
        </w:tc>
      </w:tr>
    </w:tbl>
    <w:p w:rsidR="00E4303F" w:rsidRPr="002A5D04" w:rsidRDefault="00E4303F" w:rsidP="002A5D04">
      <w:pPr>
        <w:pStyle w:val="a7"/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2A5D04" w:rsidRDefault="00E4303F" w:rsidP="002A5D04">
      <w:pPr>
        <w:pStyle w:val="a7"/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18" w:name="_Toc109814495"/>
      <w:r w:rsidRPr="002A5D04">
        <w:rPr>
          <w:rFonts w:ascii="Times New Roman" w:hAnsi="Times New Roman" w:cs="Tahoma"/>
          <w:sz w:val="28"/>
          <w:lang w:val="ru-RU"/>
        </w:rPr>
        <w:t>Таблица 5</w:t>
      </w:r>
      <w:r w:rsidRPr="002A5D04">
        <w:rPr>
          <w:rFonts w:ascii="Times New Roman" w:hAnsi="Times New Roman" w:cs="Tahoma"/>
          <w:sz w:val="28"/>
          <w:lang w:val="ru-RU"/>
        </w:rPr>
        <w:tab/>
        <w:t>Понятийный аппарат финансовой (бухгалтерской) отчетности</w:t>
      </w:r>
      <w:bookmarkEnd w:id="18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6120"/>
        <w:gridCol w:w="4140"/>
        <w:gridCol w:w="2520"/>
      </w:tblGrid>
      <w:tr w:rsidR="00E4303F" w:rsidRPr="002A5D04" w:rsidTr="002A5D04">
        <w:trPr>
          <w:cantSplit/>
          <w:trHeight w:val="306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61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25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Активы</w:t>
            </w:r>
          </w:p>
        </w:tc>
        <w:tc>
          <w:tcPr>
            <w:tcW w:w="61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Определение активов отсутствует. Активы представляются в виде показателей разделов «Внеоборотные активы» и «Оборотные активы» автива бухгалтерского баланса.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Ресурсы, контролируемые компанией в результате событий прошлых периодов, от которых компания ожидает экономической выгоды в будущем (п. 49 Принципов подготовки и составления финансовой отчетности).</w:t>
            </w:r>
          </w:p>
        </w:tc>
        <w:tc>
          <w:tcPr>
            <w:tcW w:w="25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РПБУ в отличие от МСФО не содержится определения активов.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Обязательства</w:t>
            </w:r>
          </w:p>
        </w:tc>
        <w:tc>
          <w:tcPr>
            <w:tcW w:w="61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Определение обязательств отсутствует. Обязательства представляются в виде показателей бухгалтерского баланса в разделах «Долгосрочные обязательства» и «Краткосрочные обязательства».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Текущая задолженность компании, возникающая из событий прошлых периодов, погашение которой приведет к оттоку из компании ресурсов, приносящих экономическую выгоду (там же).</w:t>
            </w:r>
          </w:p>
        </w:tc>
        <w:tc>
          <w:tcPr>
            <w:tcW w:w="25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РПБУ в отличие от МСФО не содержится определения обязательств.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Капитал</w:t>
            </w:r>
          </w:p>
        </w:tc>
        <w:tc>
          <w:tcPr>
            <w:tcW w:w="61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Определение капитала отсутствует. Капитал представляется в виде показателей раздела «Капитал и резервы» бухгалтерского баланса.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Доля в активах компании, остающаяся после вычета всех ее обязательств (там же).</w:t>
            </w:r>
          </w:p>
        </w:tc>
        <w:tc>
          <w:tcPr>
            <w:tcW w:w="25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РПБУ в отличие от МСФО не содержится определения капитала.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Доходы</w:t>
            </w:r>
          </w:p>
        </w:tc>
        <w:tc>
          <w:tcPr>
            <w:tcW w:w="6120" w:type="dxa"/>
          </w:tcPr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Доходами организации признается увеличение экономических выгод в результате поступления активов (денежных средств, иного имущества) и (или) погашения обязательств, приводящее к увеличению капитала этой организации, за исключением вкладов участников (собственников имущества) (п.2 ПБУ 9/99 «Доходы организации»).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Приращение экономических выгод в течение отчетного периода, происходящее в форме притока или увеличения активов или уменьшения обязательств, что выражается в увеличении капитала, не связанного с вкладами участников акционерного капитала (подп.(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>a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 п.70 Принципов подготовки и составления финансовой отчетности).</w:t>
            </w:r>
          </w:p>
        </w:tc>
        <w:tc>
          <w:tcPr>
            <w:tcW w:w="25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Различия отсутствуют.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Расходы</w:t>
            </w:r>
          </w:p>
        </w:tc>
        <w:tc>
          <w:tcPr>
            <w:tcW w:w="6120" w:type="dxa"/>
          </w:tcPr>
          <w:p w:rsidR="00E4303F" w:rsidRPr="002A5D04" w:rsidRDefault="00E4303F" w:rsidP="002A5D0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2A5D04">
              <w:rPr>
                <w:rFonts w:ascii="Times New Roman" w:hAnsi="Times New Roman" w:cs="Tahoma"/>
              </w:rPr>
              <w:t>Расходами организации признается уменьшение экономических выгод в результате выбытия активов (денежных средств, иного имущества) и (или) возникновения обязательств, приводящее к уменьшению капитала этой организации, за исключением уменьшения вкладов по решению участников (собственников имущества) (п.2 ПБУ 10/99 «Расходы организации»).</w:t>
            </w:r>
          </w:p>
        </w:tc>
        <w:tc>
          <w:tcPr>
            <w:tcW w:w="41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Уменьшение экономических выгод в течение отчетного периода, происходящее в форме оттока или истощения активов или увеличения обязательств, ведущих к уменьшению капитала, не связанных  с его распределением между участниками акционерного капитала (подп.(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>b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 п.70 Принципов подготовки и составления финансовой отчетности).</w:t>
            </w:r>
          </w:p>
        </w:tc>
        <w:tc>
          <w:tcPr>
            <w:tcW w:w="252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Различия отсутствуют.</w:t>
            </w:r>
          </w:p>
        </w:tc>
      </w:tr>
    </w:tbl>
    <w:p w:rsidR="00E4303F" w:rsidRPr="002A5D04" w:rsidRDefault="00E4303F" w:rsidP="002A5D0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19" w:name="_Toc109814496"/>
      <w:r w:rsidRPr="002A5D04">
        <w:rPr>
          <w:rFonts w:ascii="Times New Roman" w:hAnsi="Times New Roman" w:cs="Tahoma"/>
          <w:sz w:val="28"/>
          <w:lang w:val="ru-RU"/>
        </w:rPr>
        <w:t>Таблица 6</w:t>
      </w:r>
      <w:r w:rsidRPr="002A5D04">
        <w:rPr>
          <w:rFonts w:ascii="Times New Roman" w:hAnsi="Times New Roman" w:cs="Tahoma"/>
          <w:sz w:val="28"/>
          <w:lang w:val="ru-RU"/>
        </w:rPr>
        <w:tab/>
        <w:t>Состав финансовой (бухгалтерской) отчетности и особенности определения состава включаемой информации</w:t>
      </w:r>
      <w:bookmarkEnd w:id="19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  <w:r w:rsidRPr="002A5D04">
        <w:rPr>
          <w:rFonts w:cs="Tahoma"/>
          <w:sz w:val="28"/>
          <w:lang w:val="ru-RU"/>
        </w:rPr>
        <w:t xml:space="preserve"> </w:t>
      </w: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3600"/>
        <w:gridCol w:w="3780"/>
        <w:gridCol w:w="5220"/>
      </w:tblGrid>
      <w:tr w:rsidR="00E4303F" w:rsidRPr="002A5D04" w:rsidTr="002A5D04">
        <w:trPr>
          <w:cantSplit/>
          <w:trHeight w:val="257"/>
        </w:trPr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378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52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Состав финансовой (бухгалтерской) отчетности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Бухгалтерская отчетность состоит из: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а) бухгалтерского баланса;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б) отчета о прибылях и убытках;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в) приложений к ним, предусмотренных нормативными актами;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г) аудиторского заключения, подтверждающего достоверность бухгалтерской отчетности организации, если она в соответствии с федеральными законами подлежит обязательному аудиту;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д) пояснительной записки.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(п.2 ст.13 Закона «О бухгалтерском учете»)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В соответствии с п. 28 ПБУ 4/99 пояснения к бухгалтерскому балансу и отчету о прибылях и убытках раскрывают информацию в виде отдельных отчетных форм (отчет о движении денежных средств, отчет об изменениях капитала и др.) и в виде пояснительной записки. В соответствии с п. 1 приказа Минфина России № 67н «О формах бухгалтерской отчетности организаций» включаемые в состав приложений к бухгалтерскому балансу и отчету о прибылях и убытках бухгалтерской отчетности Отчет об изменениях капитала считать формой № 3, Отчет о движении денежных средств - формой № 4, Приложение к бухгалтерскому балансу - формой № 5, Отчет о целевом использовании полученных средств - формой № 6.  </w:t>
            </w:r>
          </w:p>
        </w:tc>
        <w:tc>
          <w:tcPr>
            <w:tcW w:w="3780" w:type="dxa"/>
          </w:tcPr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Полный комплект финансовой отчетности включает следующие компоненты: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(а) бухгалтерский баланс;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(б) отчет о прибылях и убытках;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(в) отчет об изменениях капитала, показывающий: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</w:t>
            </w:r>
            <w:r w:rsidRPr="002A5D04">
              <w:rPr>
                <w:rFonts w:cs="Tahoma"/>
                <w:sz w:val="20"/>
                <w:szCs w:val="20"/>
              </w:rPr>
              <w:t>i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 все изменения в капитале; либо</w:t>
            </w:r>
          </w:p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(</w:t>
            </w: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</w:rPr>
              <w:t>ii</w:t>
            </w: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) изменения в капитале, отличные от операций с акционерами;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(г) отчет о движении денежных средств; и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(д) пояснения, включающие существенные положения использованной для подготовки финансовой отчетности учетной политики и прочие примечания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(п.8 МСФО 1)</w:t>
            </w:r>
          </w:p>
        </w:tc>
        <w:tc>
          <w:tcPr>
            <w:tcW w:w="52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1. В системе МСФО, в отличие от РПБУ, не существует определения формы бухгалтерской отчетности. В связи с этим отчеты, включаемые в полный комплект финансовой отчетности, могут формироваться исходя из предлагаемых в МСФО 1 вариантов построения финансовой отчетности и разрабатываться организациями самостоятельно. Российские формы отчетности, даже с учетом продекларированного подхода к самостоятельной разработке организациями форм отчетности на основе образцов форм, приведенных в приложении к приказу Минфина России № 67н (п.1 Указаний о порядке составления и представления форм бухгалтерской отчетности), обычно не отличаются от рекомендуемых.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2. В МСФО 1, в отличие от РПБУ, предусмотрено два варианта представления отчета об изменениях капитала: (а) отчет, показывающий все изменения в капитале; (б) отчет, не включающий операции с акционерами по вкладам в капитал и выплате дивидендов.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3. В российской системе регулирования бухгалтерского учета в отличие от МСФО существует требование составления Приложения к бухгалтерскому балансу (формы № 5), а также Отчета о целевом использовании полученных средств (форма №6). В них приводится информация, которая согласно МСФО включается в пояснительные примечания к финансовой отчетности.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4. МСФО не устанавливает прямого требования об обязательном включении в состав финансовой отчетности аудиторского заключения, подтверждающего достоверность отчетности организации.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</w:tr>
      <w:tr w:rsidR="00E4303F" w:rsidRPr="002A5D04"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Представление дополнительной информации, сопутствующей финансовой (бухгалтерской) отчетности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Организация может представлять дополнительную информацию, сопутствующую бухгалтерской отчетности, если исполнительный орган считает ее полезной для заинтересованных пользователей при принятии экономических решений (п.39 ПБУ 4/99).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37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Компании могут представлять, помимо финансовой отчетности, финансовые обзоры руководства, в которых описываются и объясняются основные характеристики финансовых результатов деятельности компании, ее финансового положения и основных неопределенностей, с которыми она сталкивается (п.9 МСФО 1).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частности, такой отчет может включать анализ ресурсов компании, ценность которых не отражена в бухгалтерском балансе, составленном согласно Международным стандартам финансовой отчетности (в соответствии с подп. (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>c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) </w:t>
            </w:r>
            <w:r w:rsidRPr="002A5D04">
              <w:rPr>
                <w:rFonts w:cs="Tahoma"/>
                <w:sz w:val="20"/>
                <w:szCs w:val="20"/>
              </w:rPr>
              <w:t>п.9 МСФО 1)</w:t>
            </w:r>
          </w:p>
        </w:tc>
        <w:tc>
          <w:tcPr>
            <w:tcW w:w="52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 не содержит ни требований по представлению, ни запрета на представление финансовых обзоров руководства.</w:t>
            </w:r>
          </w:p>
        </w:tc>
      </w:tr>
      <w:tr w:rsidR="00E4303F" w:rsidRPr="002A5D04">
        <w:tc>
          <w:tcPr>
            <w:tcW w:w="172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Объем информации, представляемой в бухгалтерской (финансовой) отчетности</w:t>
            </w:r>
          </w:p>
        </w:tc>
        <w:tc>
          <w:tcPr>
            <w:tcW w:w="360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 устанавливает возможности представления бухгалтерской отчетности в различном составе в зависимости от особенностей отчитывающихся организаций. Следующие виды организаций имеют право предоставлять бухгалтерскую отчетность в сокращенном составе форм отчетности: субъекты малого предпринимательства, некоммерческие организации, общественные организации (объединения).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(см. п.3,4 Указаний об объеме форм бухгалтерской отчетности (утв. Приказом Минфина РФ № 67н от 22.07.03, п.85 Положения по ведению бухгалтерского учета и бухгалтерской отчетности в РФ»).</w:t>
            </w:r>
          </w:p>
        </w:tc>
        <w:tc>
          <w:tcPr>
            <w:tcW w:w="3780" w:type="dxa"/>
          </w:tcPr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 не устанавливает зависимость объема раскрываемой информации от особенностей деятельности отчитывающейся организации.</w:t>
            </w:r>
          </w:p>
        </w:tc>
        <w:tc>
          <w:tcPr>
            <w:tcW w:w="52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До выхода МСФО по финансовой отчетности малых и средних предприятий, система МСФО не содержит специальных требований к раскрытию информации в отчетности отдельных видов компаний.</w:t>
            </w:r>
          </w:p>
        </w:tc>
      </w:tr>
    </w:tbl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20" w:name="_Toc109814497"/>
      <w:r w:rsidRPr="002A5D04">
        <w:rPr>
          <w:rFonts w:ascii="Times New Roman" w:hAnsi="Times New Roman" w:cs="Tahoma"/>
          <w:sz w:val="28"/>
          <w:lang w:val="ru-RU"/>
        </w:rPr>
        <w:t>Таблица 7</w:t>
      </w:r>
      <w:r w:rsidRPr="002A5D04">
        <w:rPr>
          <w:rFonts w:ascii="Times New Roman" w:hAnsi="Times New Roman" w:cs="Tahoma"/>
          <w:sz w:val="28"/>
          <w:lang w:val="ru-RU"/>
        </w:rPr>
        <w:tab/>
        <w:t>Структура и состав показателей бухгалтерского баланса</w:t>
      </w:r>
      <w:bookmarkEnd w:id="20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3296"/>
        <w:gridCol w:w="4320"/>
        <w:gridCol w:w="5040"/>
      </w:tblGrid>
      <w:tr w:rsidR="00E4303F" w:rsidRPr="002A5D04" w:rsidTr="002A5D04">
        <w:trPr>
          <w:cantSplit/>
          <w:trHeight w:val="306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3296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>
        <w:trPr>
          <w:cantSplit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Классификация активов и обязательств</w:t>
            </w:r>
          </w:p>
          <w:p w:rsidR="00E4303F" w:rsidRPr="002A5D04" w:rsidRDefault="00E4303F" w:rsidP="002A5D04">
            <w:pPr>
              <w:pStyle w:val="34"/>
              <w:tabs>
                <w:tab w:val="left" w:pos="360"/>
              </w:tabs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</w:p>
        </w:tc>
        <w:tc>
          <w:tcPr>
            <w:tcW w:w="3296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Активы в бухгалтерском балансе классифицируются как внеоборотные и оборотные. Обязательства классифицируются как долгосрочные и краткосрочные (п.19 ПБУ 4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>/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99).</w:t>
            </w: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Активы в бухгалтерском балансе представляются как внеоборотные и оборотные.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Возможно представление активов и обязательств в порядке ликвидности (убывание ликвидности - по активам, увеличение сроков погашения – по обязательствам) (п.51 МСФО 1).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Компании могут представлять активы и обязательства по срокам возможного погашения (анализ по срокам погашения) в соответствии с п.56 МСФО 1.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В РПБУ не установлена возможность представления активов и обязательств в порядке убывания ликвидности. 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отличие от РПБУ, МСФО предусматривает возможность компаний группировать активы и обязательства как долгосрочные и краткосрочные, с учетом внутренней группировки их по степени ликвидности.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</w:tr>
      <w:tr w:rsidR="00E4303F" w:rsidRPr="002A5D04"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Раскрытие информации о капитале</w:t>
            </w:r>
          </w:p>
        </w:tc>
        <w:tc>
          <w:tcPr>
            <w:tcW w:w="3296" w:type="dxa"/>
          </w:tcPr>
          <w:p w:rsidR="00E4303F" w:rsidRPr="002A5D04" w:rsidRDefault="00E4303F" w:rsidP="002A5D04">
            <w:pPr>
              <w:pStyle w:val="ConsTitle"/>
              <w:spacing w:line="360" w:lineRule="auto"/>
              <w:jc w:val="both"/>
              <w:rPr>
                <w:rFonts w:ascii="Times New Roman" w:hAnsi="Times New Roman" w:cs="Tahoma"/>
                <w:b w:val="0"/>
                <w:bCs w:val="0"/>
                <w:sz w:val="20"/>
                <w:szCs w:val="20"/>
              </w:rPr>
            </w:pPr>
            <w:r w:rsidRPr="002A5D04">
              <w:rPr>
                <w:rFonts w:ascii="Times New Roman" w:hAnsi="Times New Roman" w:cs="Tahoma"/>
                <w:b w:val="0"/>
                <w:bCs w:val="0"/>
                <w:sz w:val="20"/>
                <w:szCs w:val="20"/>
              </w:rPr>
              <w:t>В п.27 ПБУ 4/99 предусмотрено раскрытие в пояснениях к бухгалтерскому балансу и отчету о прибылях и убытках информации: о количестве акций, выпущенных акционерным обществом и полностью оплаченных; количестве акций, выпущенных, но не оплаченных или оплаченных частично; номинальной стоимости акций, находящихся в собственности акционерного общества, ее дочерних и зависимых обществ.</w:t>
            </w:r>
          </w:p>
        </w:tc>
        <w:tc>
          <w:tcPr>
            <w:tcW w:w="432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Организация должна раскрывать либо в составе бухгалтерского баланса либо в пояснениях к нему расшифровку акционерного капитала по видам прав участия акционеров (п.76 МСФО 1).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Согласно МСФО 1 в финансовой отчетности следует раскрывать виды информации, не указанные в РПБУ, а именно: существующие права, преференции и ограничения в отношении каждого типа акций; описание экономической сущности и назначения каждого вида созданного резерва в составе капитала организации.</w:t>
            </w:r>
          </w:p>
        </w:tc>
      </w:tr>
    </w:tbl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21" w:name="_Toc109814498"/>
      <w:r w:rsidRPr="002A5D04">
        <w:rPr>
          <w:rFonts w:ascii="Times New Roman" w:hAnsi="Times New Roman" w:cs="Tahoma"/>
          <w:sz w:val="28"/>
          <w:lang w:val="ru-RU"/>
        </w:rPr>
        <w:t>Таблица 8</w:t>
      </w:r>
      <w:r w:rsidRPr="002A5D04">
        <w:rPr>
          <w:rFonts w:ascii="Times New Roman" w:hAnsi="Times New Roman" w:cs="Tahoma"/>
          <w:sz w:val="28"/>
          <w:lang w:val="ru-RU"/>
        </w:rPr>
        <w:tab/>
        <w:t>Структура и состав показателей отчета о прибылях и убытках</w:t>
      </w:r>
      <w:bookmarkEnd w:id="21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2700"/>
        <w:gridCol w:w="5040"/>
        <w:gridCol w:w="5040"/>
      </w:tblGrid>
      <w:tr w:rsidR="00E4303F" w:rsidRPr="002A5D04" w:rsidTr="002A5D04">
        <w:trPr>
          <w:cantSplit/>
          <w:trHeight w:val="90"/>
        </w:trPr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27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>
        <w:trPr>
          <w:cantSplit/>
        </w:trPr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Состав статей отчета о прибылях и убытках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27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российской форме отчета о прибылях и убытках отсутствуют статьи, указанные в форме отчета в МСФО.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п.81 МСФО 1 установлен состав показателей, включаемых в отчет о прибылях и убытках, в частности: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- затраты по финансированию; </w:t>
            </w:r>
          </w:p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- доля прибылей и убытков ассоциированных компаний и совместной деятельности, учитываемых по методу долевого участия;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- прибыль или убыток до налогообложения, полученные в результате выбытия активов или погашения обязательств, относящихся к прекращаемой деятельности.</w:t>
            </w:r>
          </w:p>
          <w:p w:rsidR="00E4303F" w:rsidRPr="002A5D04" w:rsidRDefault="00E4303F" w:rsidP="002A5D0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соответствии с п.87 МСФО 1, следует учитывать обстоятельства, которые приводят к отдельному раскрытию в отчете о прибылях и убытках статей доходов и расходов:</w:t>
            </w:r>
          </w:p>
          <w:p w:rsidR="00E4303F" w:rsidRPr="002A5D04" w:rsidRDefault="00E4303F" w:rsidP="002A5D0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>a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)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ab/>
              <w:t>списание стоимости запасов до чистой продажной цены или основных средств до возмещаемой суммы, а также их полное или частичное восстановление после списаний;</w:t>
            </w:r>
          </w:p>
          <w:p w:rsidR="00E4303F" w:rsidRPr="002A5D04" w:rsidRDefault="00E4303F" w:rsidP="002A5D0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(б)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ab/>
              <w:t>реструктуризацию компании и полное или частичное восстановление резервов в связи с затратами на реструктуризации;</w:t>
            </w:r>
          </w:p>
          <w:p w:rsidR="00E4303F" w:rsidRPr="002A5D04" w:rsidRDefault="00E4303F" w:rsidP="002A5D04">
            <w:pPr>
              <w:tabs>
                <w:tab w:val="left" w:pos="432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(в)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ab/>
              <w:t>выбытие основных средств;</w:t>
            </w:r>
          </w:p>
          <w:p w:rsidR="00E4303F" w:rsidRPr="002A5D04" w:rsidRDefault="00E4303F" w:rsidP="002A5D0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(г)    выбытие инвестиций;</w:t>
            </w:r>
          </w:p>
          <w:p w:rsidR="00E4303F" w:rsidRPr="002A5D04" w:rsidRDefault="00E4303F" w:rsidP="002A5D0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(д)   прекращающуюся деятельность;</w:t>
            </w:r>
          </w:p>
          <w:p w:rsidR="00E4303F" w:rsidRPr="002A5D04" w:rsidRDefault="00E4303F" w:rsidP="002A5D0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(е)   судебные разбирательства; и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(ж)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ab/>
              <w:t>другие основания для полного или частичного восстановления сумм резервов.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Различается состав показателей отчета о прибылях и убытках. </w:t>
            </w:r>
          </w:p>
          <w:p w:rsidR="00E4303F" w:rsidRPr="002A5D04" w:rsidRDefault="00E4303F" w:rsidP="002A5D0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</w:tr>
      <w:tr w:rsidR="00E4303F" w:rsidRPr="002A5D04">
        <w:trPr>
          <w:cantSplit/>
        </w:trPr>
        <w:tc>
          <w:tcPr>
            <w:tcW w:w="154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Представление расходов 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27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отчете о прибылях и убытках информация о расходах представляется в группировки по их функциональному назначению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Компания должна представлять в отчете о прибылях и убытках или в примечаниях к нему анализ расходов, используя классификацию, основанную на характере доходов и расходов, или их функции в рамках компании (п.88 МСФО 1). Компании поощряются в предоставлении анализа расходов в самом отчете о прибылях и убытках (п. 89 МСФО 1).</w:t>
            </w:r>
          </w:p>
        </w:tc>
        <w:tc>
          <w:tcPr>
            <w:tcW w:w="5040" w:type="dxa"/>
          </w:tcPr>
          <w:p w:rsidR="00E4303F" w:rsidRPr="002A5D04" w:rsidRDefault="00E4303F" w:rsidP="002A5D0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2A5D04">
              <w:rPr>
                <w:rFonts w:ascii="Times New Roman" w:hAnsi="Times New Roman" w:cs="Tahoma"/>
              </w:rPr>
              <w:t>Форма российского отчета о прибылях и убытках не предусматривает возможность включения классификации расходов по экономическому содержанию (они подлежат раскрытию в пояснительной записке к бухгалтерской отчетности в соответствии с п.22 ПБУ 10/99).</w:t>
            </w:r>
          </w:p>
        </w:tc>
      </w:tr>
    </w:tbl>
    <w:p w:rsidR="00E4303F" w:rsidRPr="002A5D04" w:rsidRDefault="00E4303F" w:rsidP="002A5D0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2A5D04" w:rsidRDefault="002A5D04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bookmarkStart w:id="22" w:name="_Toc109814499"/>
      <w:r>
        <w:rPr>
          <w:rFonts w:ascii="Times New Roman" w:hAnsi="Times New Roman" w:cs="Tahoma"/>
          <w:b w:val="0"/>
          <w:sz w:val="28"/>
          <w:lang w:val="ru-RU"/>
        </w:rPr>
        <w:br w:type="page"/>
      </w:r>
      <w:r w:rsidR="00E4303F" w:rsidRPr="002A5D04">
        <w:rPr>
          <w:rFonts w:ascii="Times New Roman" w:hAnsi="Times New Roman" w:cs="Tahoma"/>
          <w:sz w:val="28"/>
          <w:lang w:val="ru-RU"/>
        </w:rPr>
        <w:t>Таблица 9</w:t>
      </w:r>
      <w:r w:rsidR="00E4303F" w:rsidRPr="002A5D04">
        <w:rPr>
          <w:rFonts w:ascii="Times New Roman" w:hAnsi="Times New Roman" w:cs="Tahoma"/>
          <w:sz w:val="28"/>
          <w:lang w:val="ru-RU"/>
        </w:rPr>
        <w:tab/>
        <w:t>Структура и состав показателей отчета об изменениях капитала</w:t>
      </w:r>
      <w:bookmarkEnd w:id="22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2880"/>
        <w:gridCol w:w="4860"/>
        <w:gridCol w:w="4860"/>
      </w:tblGrid>
      <w:tr w:rsidR="00E4303F" w:rsidRPr="002A5D04" w:rsidTr="002A5D04">
        <w:trPr>
          <w:cantSplit/>
          <w:trHeight w:val="164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288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Представление компонентов капитала организации</w:t>
            </w:r>
          </w:p>
        </w:tc>
        <w:tc>
          <w:tcPr>
            <w:tcW w:w="288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форме №3 предусмотрено раскрытие движения средств резервов организации (раздел 2)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Раскрытие резервов, создаваемых организацией в соответствии с требованиями МСФО, предусмотрено либо в бухгалтерском балансе, либо в пояснениях к финансовой отчетности. 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Различные способы раскрытия информации о резервах.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Раздельное представление компонентов капитала в части акционеров материнской компании и доли меньшинства</w:t>
            </w:r>
          </w:p>
        </w:tc>
        <w:tc>
          <w:tcPr>
            <w:tcW w:w="288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Форма отчета об изменениях капитала не предусматривает возможность обособленного представления капитала с учетом долей головной  (материнской) организации и доли меньшинства.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отчете об изменениях капитала предусмотрено раскрытие общей величины доходов и расходов в составе капитала, а также дивидендов, относящихся к доле акционеров материнской компании и доле меньшинства (подп. (c)</w:t>
            </w:r>
            <w:r w:rsidRPr="002A5D04">
              <w:rPr>
                <w:rFonts w:cs="Tahoma"/>
                <w:sz w:val="20"/>
                <w:szCs w:val="20"/>
                <w:lang w:val="en-US"/>
              </w:rPr>
              <w:t xml:space="preserve"> </w:t>
            </w:r>
            <w:r w:rsidRPr="002A5D04">
              <w:rPr>
                <w:rFonts w:cs="Tahoma"/>
                <w:sz w:val="20"/>
                <w:szCs w:val="20"/>
                <w:lang w:val="ru-RU"/>
              </w:rPr>
              <w:t>п.96 МСФО 1).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РПБУ отсутствуют положения о раздельном представлении информации в отчете об изменениях капитала, формируемого в рамках сводной (консолидированной) отчетности.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Корректировка входящего сальдо по компонентам капитала на 01.01.</w:t>
            </w:r>
          </w:p>
        </w:tc>
        <w:tc>
          <w:tcPr>
            <w:tcW w:w="2880" w:type="dxa"/>
          </w:tcPr>
          <w:p w:rsidR="00E4303F" w:rsidRPr="002A5D04" w:rsidRDefault="00E4303F" w:rsidP="002A5D04">
            <w:pPr>
              <w:tabs>
                <w:tab w:val="left" w:pos="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Не предусмотрена корректировка входящего сальдо по компонентам собственного капитала в связи с исправлением ошибок, относящихся к предыдущим отчетным периодам.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П.100 МСФО 1 устанавливает раскрытие корректировки для получения входящего сальдо капитала по компонентам с учетом требования МСФО 8 о возможности ретроспективной корректировки на величину ошибок ведения бухгалтерского учета, по операциям предыдущих отчетных периодов.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Представление в отчете об изменениях капитала корректировки на величину ошибок в бухгалтерском учете, относящихся к операциям предыдущих периодов в РПБУ не предусмотрено (см. п.3 ст. 10 Закона «О бухгалтерском учете», п.39 Положения по ведению бухгалтерского учета и бухгалтерской отчетности в РФ).</w:t>
            </w:r>
          </w:p>
        </w:tc>
      </w:tr>
      <w:tr w:rsidR="00E4303F" w:rsidRPr="002A5D0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Структура статей, характеризующих изменение компонентов капитала (кроме изменений, связанных с доходами и расходами)</w:t>
            </w:r>
          </w:p>
        </w:tc>
        <w:tc>
          <w:tcPr>
            <w:tcW w:w="288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Состав статей, связанных с изменением компонентов капитала, формирует раздел 1 формы № 3.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Статьи, характеризующие изменение компонентов капитала, в отчете об изменениях капитала, представлены следующими показателями: дивиденды, эмиссия капитала (увеличение), эмиссия опционов на приобретение акций.</w:t>
            </w:r>
          </w:p>
        </w:tc>
        <w:tc>
          <w:tcPr>
            <w:tcW w:w="486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Приводимый в приложении к МСФО 1 пример формирования отчета об изменениях капитала содержит два показателя, присутствующих в российской форме отчета, представляющие изменение капитала в связи с выплатой дивидендов и изменение вследствие выпуска акций.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Остальные показатели, характеризующие изменение компонентов капитала в разделе 1 российской формы №3, согласно п.76 МСФО 1 представляют изменения акционерного капитала и приводятся в бухгалтерском балансе или в пояснениях к нему.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форме №3 предусмотрено наличие строк, характеризующих изменения капитала в связи с реорганизацией, в отличие от МСФО (строки №№ 123,133) – см. приказ Минфина России № 102н от 14.11.2003.</w:t>
            </w:r>
          </w:p>
        </w:tc>
      </w:tr>
    </w:tbl>
    <w:p w:rsidR="00E4303F" w:rsidRPr="002A5D04" w:rsidRDefault="00E4303F" w:rsidP="002A5D0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bookmarkStart w:id="23" w:name="_Toc109814500"/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r w:rsidRPr="002A5D04">
        <w:rPr>
          <w:rFonts w:ascii="Times New Roman" w:hAnsi="Times New Roman" w:cs="Tahoma"/>
          <w:sz w:val="28"/>
          <w:lang w:val="ru-RU"/>
        </w:rPr>
        <w:t>Таблица 10</w:t>
      </w:r>
      <w:r w:rsidRPr="002A5D04">
        <w:rPr>
          <w:rFonts w:ascii="Times New Roman" w:hAnsi="Times New Roman" w:cs="Tahoma"/>
          <w:sz w:val="28"/>
          <w:lang w:val="ru-RU"/>
        </w:rPr>
        <w:tab/>
        <w:t>Структура и состав показателей отчета о движении денежных средств</w:t>
      </w:r>
      <w:bookmarkEnd w:id="23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5004"/>
        <w:gridCol w:w="36"/>
        <w:gridCol w:w="4500"/>
        <w:gridCol w:w="2835"/>
        <w:gridCol w:w="45"/>
      </w:tblGrid>
      <w:tr w:rsidR="00E4303F" w:rsidRPr="002A5D04" w:rsidTr="00A32B74">
        <w:trPr>
          <w:cantSplit/>
          <w:trHeight w:val="306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504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288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2A5D04" w:rsidTr="00A32B7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Представление движения денежных средств по инвестиционной деятельности</w:t>
            </w:r>
          </w:p>
        </w:tc>
        <w:tc>
          <w:tcPr>
            <w:tcW w:w="5040" w:type="dxa"/>
            <w:gridSpan w:val="2"/>
          </w:tcPr>
          <w:p w:rsidR="00E4303F" w:rsidRPr="002A5D04" w:rsidRDefault="00E4303F" w:rsidP="002A5D0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2A5D04">
              <w:rPr>
                <w:rFonts w:ascii="Times New Roman" w:hAnsi="Times New Roman" w:cs="Tahoma"/>
              </w:rPr>
              <w:t>В соответствии с п.15 Указаний о порядке составления и представления бухгалтерской отчетности, утв. приказом Минфина России № 67н, к информации по инвестиционной деятельности относится деятельность организации, связанная с осуществлением финансовых вложений (приобретение ценных бумаг других организаций, в том числе долговых, вклады в уставные (складочные) капиталы других организаций, предоставление другим организациям займов и т.п.).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4500" w:type="dxa"/>
          </w:tcPr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Инвестиционная деятельность - приобретение и продажа долгосрочных активов и других инвестиций, не относящихся к денежным эквивалентам (п.6 МСФО 7).</w:t>
            </w:r>
          </w:p>
          <w:p w:rsidR="00E4303F" w:rsidRPr="002A5D04" w:rsidRDefault="00E4303F" w:rsidP="002A5D0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szCs w:val="20"/>
                <w:lang w:val="ru-RU"/>
              </w:rPr>
              <w:t>МСФО 7 не включает в состав инвестиционной деятельности инвестиции, представляющие денежные эквиваленты. В соответствии с п.7 МСФО 7 инвестиция, чтобы квалифицироваться в качестве эквивалента денежных средств, должна быть легко обратимой в определенную сумму денежных средств, и подвергаться незначительному риску изменения стоимости (см. также п.15 МСФО 7).</w:t>
            </w:r>
          </w:p>
        </w:tc>
        <w:tc>
          <w:tcPr>
            <w:tcW w:w="288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Финансовые инвестиции краткосрочного характера в МСФО, в отличие от РПБУ, могут включаться в состав операционной (текущей) деятельности.</w:t>
            </w:r>
          </w:p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</w:tr>
      <w:tr w:rsidR="00E4303F" w:rsidRPr="002A5D04" w:rsidTr="00A32B7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Представление движения денежных средств по финансовой деятельности</w:t>
            </w:r>
          </w:p>
        </w:tc>
        <w:tc>
          <w:tcPr>
            <w:tcW w:w="504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соответствии с п.15 Указаний о порядке составления и представления бухгалтерской отчетности, утв. приказом Минфина России № 67н, к информации по финансовой деятельности относится деятельность организации, в результате которой изменяются величина и состав собственного капитала организации, заемных средств (поступления от выпуска акций, облигаций, предоставления другими организациями займов, погашение заемных средств и т.п.).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Банковские займы обычно рассматриваются как финансовая деятельность. Однако, банковские овердрафты, возмещаемые по требованию, составляют неотъемлемую часть управления денежными средствами компании и представляют операционную деятельность (п.8 МСФО 7).</w:t>
            </w:r>
          </w:p>
        </w:tc>
        <w:tc>
          <w:tcPr>
            <w:tcW w:w="288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Банковские овердрафты в МСФО могут представляться в составе операционной деятельности. В соответствии с РПБУ, являясь банковскими займами, овердрафты формально подлежат включению в состав денежного потока по финансовой деятельности.</w:t>
            </w:r>
          </w:p>
        </w:tc>
      </w:tr>
      <w:tr w:rsidR="00E4303F" w:rsidRPr="002A5D04" w:rsidTr="00A32B74">
        <w:trPr>
          <w:cantSplit/>
          <w:trHeight w:val="500"/>
        </w:trPr>
        <w:tc>
          <w:tcPr>
            <w:tcW w:w="1908" w:type="dxa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Представление денежных потоков по операционной деятельности</w:t>
            </w:r>
          </w:p>
        </w:tc>
        <w:tc>
          <w:tcPr>
            <w:tcW w:w="504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Предусмотрена возможность представления движения денежных средств по текущей деятельности с использованием прямого метода (в соответствии с формой №4 в приложении к приказу Минфина России № 67н).</w:t>
            </w:r>
          </w:p>
        </w:tc>
        <w:tc>
          <w:tcPr>
            <w:tcW w:w="4500" w:type="dxa"/>
          </w:tcPr>
          <w:p w:rsidR="00E4303F" w:rsidRPr="002A5D04" w:rsidRDefault="00E4303F" w:rsidP="002A5D0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2A5D0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Компания должна представлять потоки денежных средств от операционной деятельности, используя либо прямой метод, либо косвенный метод (п.18 МСФО 7).</w:t>
            </w:r>
          </w:p>
        </w:tc>
        <w:tc>
          <w:tcPr>
            <w:tcW w:w="2880" w:type="dxa"/>
            <w:gridSpan w:val="2"/>
          </w:tcPr>
          <w:p w:rsidR="00E4303F" w:rsidRPr="002A5D04" w:rsidRDefault="00E4303F" w:rsidP="002A5D0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2A5D04">
              <w:rPr>
                <w:rFonts w:cs="Tahoma"/>
                <w:sz w:val="20"/>
                <w:szCs w:val="20"/>
                <w:lang w:val="ru-RU"/>
              </w:rPr>
              <w:t>В отличие от РПБУ, МСФО предоставляет возможность компаниям выбрать метод представления денежных потоков (прямой или косвенный). В то же время, в п. 19 МСФО 7 приоритет отдается прямому методу представления денежных потоков.</w:t>
            </w:r>
          </w:p>
        </w:tc>
      </w:tr>
      <w:tr w:rsidR="00E4303F" w:rsidRPr="00A32B74" w:rsidTr="00A32B74">
        <w:trPr>
          <w:gridAfter w:val="1"/>
          <w:wAfter w:w="45" w:type="dxa"/>
          <w:cantSplit/>
          <w:trHeight w:val="500"/>
        </w:trPr>
        <w:tc>
          <w:tcPr>
            <w:tcW w:w="190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Возможность использования нетто-метода</w:t>
            </w:r>
          </w:p>
        </w:tc>
        <w:tc>
          <w:tcPr>
            <w:tcW w:w="5004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Возможность использования нетто-метода не предусмотрена.</w:t>
            </w:r>
          </w:p>
        </w:tc>
        <w:tc>
          <w:tcPr>
            <w:tcW w:w="4536" w:type="dxa"/>
            <w:gridSpan w:val="2"/>
          </w:tcPr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соответствии с п.22 МСФО 7 потоки денежных средств, возникающие в результате операционной, инвестиционной или финансовой деятельности могут представляться в отчете о движении денежных средств в нетто-оценке:</w:t>
            </w:r>
          </w:p>
          <w:p w:rsidR="00E4303F" w:rsidRPr="00A32B74" w:rsidRDefault="00E4303F" w:rsidP="00A32B7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A32B74">
              <w:rPr>
                <w:rFonts w:ascii="Times New Roman" w:hAnsi="Times New Roman" w:cs="Tahoma"/>
                <w:szCs w:val="20"/>
                <w:lang w:val="ru-RU"/>
              </w:rPr>
              <w:t>(</w:t>
            </w:r>
            <w:r w:rsidRPr="00A32B74">
              <w:rPr>
                <w:rFonts w:ascii="Times New Roman" w:hAnsi="Times New Roman" w:cs="Tahoma"/>
                <w:szCs w:val="20"/>
              </w:rPr>
              <w:t>a</w:t>
            </w:r>
            <w:r w:rsidRPr="00A32B74">
              <w:rPr>
                <w:rFonts w:ascii="Times New Roman" w:hAnsi="Times New Roman" w:cs="Tahoma"/>
                <w:szCs w:val="20"/>
                <w:lang w:val="ru-RU"/>
              </w:rPr>
              <w:t>) денежные поступления и платежи от имени клиентов, когда потоки денежных средств отражают скорее деятельность клиента, а не деятельность компании; и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(</w:t>
            </w:r>
            <w:r w:rsidRPr="00A32B74">
              <w:rPr>
                <w:rFonts w:cs="Tahoma"/>
                <w:sz w:val="20"/>
                <w:szCs w:val="20"/>
              </w:rPr>
              <w:t>b</w:t>
            </w:r>
            <w:r w:rsidRPr="00A32B74">
              <w:rPr>
                <w:rFonts w:cs="Tahoma"/>
                <w:sz w:val="20"/>
                <w:szCs w:val="20"/>
                <w:lang w:val="ru-RU"/>
              </w:rPr>
              <w:t>) денежные поступления и платежи по статьям, отличающимся быстрым оборотом, большими суммами, и короткими сроками погашения.</w:t>
            </w:r>
          </w:p>
        </w:tc>
        <w:tc>
          <w:tcPr>
            <w:tcW w:w="2835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В РПБУ не допускается зачет статей отчета о движении денежных средств. </w:t>
            </w:r>
          </w:p>
        </w:tc>
      </w:tr>
      <w:tr w:rsidR="00E4303F" w:rsidRPr="00A32B74" w:rsidTr="00A32B74">
        <w:trPr>
          <w:gridAfter w:val="1"/>
          <w:wAfter w:w="45" w:type="dxa"/>
          <w:cantSplit/>
          <w:trHeight w:val="500"/>
        </w:trPr>
        <w:tc>
          <w:tcPr>
            <w:tcW w:w="190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Раскрытие информации о выплате дивидендов</w:t>
            </w:r>
          </w:p>
        </w:tc>
        <w:tc>
          <w:tcPr>
            <w:tcW w:w="5004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Выплаченные дивиденды классифицируются в составе текущей деятельности (см. форму № 4 в приложении к приказу Минфина России № 67н).</w:t>
            </w:r>
          </w:p>
        </w:tc>
        <w:tc>
          <w:tcPr>
            <w:tcW w:w="4536" w:type="dxa"/>
            <w:gridSpan w:val="2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соответствии с п.34 МСФО 7, выплаченные дивиденды могут классифицироваться как финансовые потоки денежных средств, так как они являются затратами на привлечение финансовых ресурсов. В тоже время, для того, чтобы помочь пользователям в определении способности компании выплачивать дивиденды из операционных потоков денежных средств, выплачиваемые дивиденды могут классифицироваться как компонент денежных потоков от операционной деятельности.</w:t>
            </w:r>
          </w:p>
        </w:tc>
        <w:tc>
          <w:tcPr>
            <w:tcW w:w="2835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МСФО более гибко, чем РПБУ, подходит к вопросу классификации выплаченных дивидендов в отчете о движении денежных средств. </w:t>
            </w:r>
          </w:p>
        </w:tc>
      </w:tr>
      <w:tr w:rsidR="00E4303F" w:rsidRPr="00A32B74" w:rsidTr="00A32B74">
        <w:trPr>
          <w:gridAfter w:val="1"/>
          <w:wAfter w:w="45" w:type="dxa"/>
          <w:cantSplit/>
          <w:trHeight w:val="500"/>
        </w:trPr>
        <w:tc>
          <w:tcPr>
            <w:tcW w:w="190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Раскрытие информации о платежах по налогу на прибыль</w:t>
            </w:r>
          </w:p>
        </w:tc>
        <w:tc>
          <w:tcPr>
            <w:tcW w:w="5004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форме №4 предусмотрено раскрытие платежей по налогам и сборам в составе текущей деятельности.</w:t>
            </w:r>
          </w:p>
        </w:tc>
        <w:tc>
          <w:tcPr>
            <w:tcW w:w="4536" w:type="dxa"/>
            <w:gridSpan w:val="2"/>
          </w:tcPr>
          <w:p w:rsidR="00E4303F" w:rsidRPr="00A32B74" w:rsidRDefault="00E4303F" w:rsidP="00A32B74">
            <w:pPr>
              <w:pStyle w:val="34"/>
              <w:spacing w:line="360" w:lineRule="auto"/>
              <w:jc w:val="both"/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</w:pPr>
            <w:r w:rsidRPr="00A32B74">
              <w:rPr>
                <w:rFonts w:ascii="Times New Roman" w:hAnsi="Times New Roman" w:cs="Tahoma"/>
                <w:color w:val="auto"/>
                <w:sz w:val="20"/>
                <w:szCs w:val="20"/>
                <w:lang w:val="ru-RU"/>
              </w:rPr>
              <w:t>Денежные потоки, возникающие в связи с налогом на прибыль, должны раскрываться отдельно и классифицироваться как денежные потоки от операционной деятельности, если только они не могут быть конкретно увязаны с финансовой или инвестиционной деятельностью (п.35, 36 МСФО 7).</w:t>
            </w:r>
          </w:p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МСФО более гибко, чем РПБУ, подходит к вопросу классификации величины платежей по налогу на прибыль в отчете о движении денежных средств. </w:t>
            </w:r>
          </w:p>
        </w:tc>
      </w:tr>
      <w:tr w:rsidR="00E4303F" w:rsidRPr="00A32B74" w:rsidTr="00A32B74">
        <w:trPr>
          <w:gridAfter w:val="1"/>
          <w:wAfter w:w="45" w:type="dxa"/>
          <w:cantSplit/>
          <w:trHeight w:val="500"/>
        </w:trPr>
        <w:tc>
          <w:tcPr>
            <w:tcW w:w="190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Раскрытие средств, недоступных для использования </w:t>
            </w:r>
          </w:p>
        </w:tc>
        <w:tc>
          <w:tcPr>
            <w:tcW w:w="5004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РПБУ не предусмотрено раскрытие денежных средств и эквивалентов, недоступных  для использования.</w:t>
            </w:r>
          </w:p>
        </w:tc>
        <w:tc>
          <w:tcPr>
            <w:tcW w:w="4536" w:type="dxa"/>
            <w:gridSpan w:val="2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соответствии с п.48 МСФО 7 компания должна раскрывать, вместе с комментариями руководства, сумму значительных остатков денежных средств и эквивалентов денежных средств, имеющихся у нее, но недоступных для использования.</w:t>
            </w:r>
          </w:p>
        </w:tc>
        <w:tc>
          <w:tcPr>
            <w:tcW w:w="2835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Рекомендуется представление в составе пояснений к отчету о движении денежных средств или в пояснениях к нему величины денежных средств, недоступных для использования.</w:t>
            </w:r>
          </w:p>
        </w:tc>
      </w:tr>
      <w:tr w:rsidR="00E4303F" w:rsidRPr="00A32B74" w:rsidTr="00A32B74">
        <w:trPr>
          <w:gridAfter w:val="1"/>
          <w:wAfter w:w="45" w:type="dxa"/>
          <w:cantSplit/>
          <w:trHeight w:val="500"/>
        </w:trPr>
        <w:tc>
          <w:tcPr>
            <w:tcW w:w="190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Раскрытие информации о движении денежных средств по сегментам</w:t>
            </w:r>
          </w:p>
        </w:tc>
        <w:tc>
          <w:tcPr>
            <w:tcW w:w="5004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РПБУ не предусмотрено раскрытие движения денежных средств по отчетным сегментам.</w:t>
            </w:r>
          </w:p>
        </w:tc>
        <w:tc>
          <w:tcPr>
            <w:tcW w:w="4536" w:type="dxa"/>
            <w:gridSpan w:val="2"/>
          </w:tcPr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соответствии с подп. (</w:t>
            </w:r>
            <w:r w:rsidRPr="00A32B74">
              <w:rPr>
                <w:rFonts w:cs="Tahoma"/>
                <w:sz w:val="20"/>
                <w:szCs w:val="20"/>
                <w:lang w:val="en-US"/>
              </w:rPr>
              <w:t>d</w:t>
            </w:r>
            <w:r w:rsidRPr="00A32B74">
              <w:rPr>
                <w:rFonts w:cs="Tahoma"/>
                <w:sz w:val="20"/>
                <w:szCs w:val="20"/>
                <w:lang w:val="ru-RU"/>
              </w:rPr>
              <w:t>) п.50 МСФО 7 в отчете о движении денежных средств поощряется раскрытие дополнительной информации о сумме денежных потоков, возникающих от операционной, инвестиционной и финансовой деятельности каждой отраженной в отчетах отрасли или географического сегмента (см. также п.62 МСФО 14).</w:t>
            </w:r>
          </w:p>
        </w:tc>
        <w:tc>
          <w:tcPr>
            <w:tcW w:w="2835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</w:p>
        </w:tc>
      </w:tr>
    </w:tbl>
    <w:p w:rsidR="00E4303F" w:rsidRPr="00A32B74" w:rsidRDefault="00E4303F" w:rsidP="00A32B7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A32B74" w:rsidRDefault="00E4303F" w:rsidP="00A32B74">
      <w:pPr>
        <w:pStyle w:val="1"/>
        <w:spacing w:before="0" w:after="0" w:line="360" w:lineRule="auto"/>
        <w:ind w:left="0" w:firstLine="720"/>
        <w:jc w:val="center"/>
        <w:rPr>
          <w:rFonts w:ascii="Times New Roman" w:hAnsi="Times New Roman" w:cs="Tahoma"/>
          <w:sz w:val="28"/>
          <w:lang w:val="ru-RU"/>
        </w:rPr>
      </w:pPr>
      <w:r w:rsidRPr="002A5D04">
        <w:rPr>
          <w:rFonts w:ascii="Times New Roman" w:hAnsi="Times New Roman" w:cs="Tahoma"/>
          <w:b w:val="0"/>
          <w:sz w:val="28"/>
          <w:lang w:val="ru-RU"/>
        </w:rPr>
        <w:br w:type="page"/>
      </w:r>
      <w:bookmarkStart w:id="24" w:name="_Toc109814501"/>
      <w:r w:rsidRPr="00A32B74">
        <w:rPr>
          <w:rFonts w:ascii="Times New Roman" w:hAnsi="Times New Roman" w:cs="Tahoma"/>
          <w:sz w:val="28"/>
          <w:lang w:val="ru-RU"/>
        </w:rPr>
        <w:t>Таблица 11</w:t>
      </w:r>
      <w:r w:rsidRPr="00A32B74">
        <w:rPr>
          <w:rFonts w:ascii="Times New Roman" w:hAnsi="Times New Roman" w:cs="Tahoma"/>
          <w:sz w:val="28"/>
          <w:lang w:val="ru-RU"/>
        </w:rPr>
        <w:tab/>
        <w:t>Пояснительная записка к финансовой (бухгалтерской) отчетности</w:t>
      </w:r>
      <w:bookmarkEnd w:id="24"/>
    </w:p>
    <w:p w:rsidR="00E4303F" w:rsidRPr="002A5D04" w:rsidRDefault="00E4303F" w:rsidP="002A5D04">
      <w:pPr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3420"/>
        <w:gridCol w:w="6660"/>
        <w:gridCol w:w="2520"/>
      </w:tblGrid>
      <w:tr w:rsidR="00E4303F" w:rsidRPr="00A32B74" w:rsidTr="00A32B74">
        <w:trPr>
          <w:cantSplit/>
          <w:trHeight w:val="306"/>
        </w:trPr>
        <w:tc>
          <w:tcPr>
            <w:tcW w:w="172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Наименование </w:t>
            </w:r>
          </w:p>
        </w:tc>
        <w:tc>
          <w:tcPr>
            <w:tcW w:w="342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РПБУ</w:t>
            </w:r>
          </w:p>
        </w:tc>
        <w:tc>
          <w:tcPr>
            <w:tcW w:w="666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МСФО</w:t>
            </w:r>
          </w:p>
        </w:tc>
        <w:tc>
          <w:tcPr>
            <w:tcW w:w="252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Комментарий </w:t>
            </w:r>
          </w:p>
        </w:tc>
      </w:tr>
      <w:tr w:rsidR="00E4303F" w:rsidRPr="00A32B74">
        <w:trPr>
          <w:cantSplit/>
          <w:trHeight w:val="500"/>
        </w:trPr>
        <w:tc>
          <w:tcPr>
            <w:tcW w:w="172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Функции пояснительной записки</w:t>
            </w:r>
          </w:p>
        </w:tc>
        <w:tc>
          <w:tcPr>
            <w:tcW w:w="3420" w:type="dxa"/>
          </w:tcPr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Пояснения к бухгалтерскому балансу и отчету о прибылях и убытках должны раскрывать сведения, относящиеся к учетной политике организации, и обеспечивать пользователей дополнительными данными, которые нецелесообразно включать в бухгалтерский баланс и отчет о прибылях и убытках, но которые необходимы пользователям бухгалтерской отчетности для реальной оценки финансового положения организации, финансовых результатов ее деятельности и изменений в ее финансовом положении (п.24 ПБУ 4/99).</w:t>
            </w:r>
          </w:p>
        </w:tc>
        <w:tc>
          <w:tcPr>
            <w:tcW w:w="6660" w:type="dxa"/>
          </w:tcPr>
          <w:p w:rsidR="00E4303F" w:rsidRPr="00A32B74" w:rsidRDefault="00E4303F" w:rsidP="00A32B7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A32B74">
              <w:rPr>
                <w:rFonts w:ascii="Times New Roman" w:hAnsi="Times New Roman" w:cs="Tahoma"/>
                <w:szCs w:val="20"/>
                <w:lang w:val="ru-RU"/>
              </w:rPr>
              <w:t>Примечания к финансовой отчетности компании должны: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(a) представлять информацию об основе подготовки финансовой отчетности и конкретной учетной политике, используемой в соответствии с параграфами 108-115  МСФО 1;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(b) раскрывать информацию, требуемую Международными стандартами финансовой отчетности, которая не представлена непосредственно в бухгалтерском балансе, отчете о прибылях и убытках, отчете об изменениях в капитале или отчете о движении денежных средств; и</w:t>
            </w:r>
          </w:p>
          <w:p w:rsidR="00E4303F" w:rsidRPr="00A32B74" w:rsidRDefault="00E4303F" w:rsidP="00A32B7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A32B74">
              <w:rPr>
                <w:rFonts w:ascii="Times New Roman" w:hAnsi="Times New Roman" w:cs="Tahoma"/>
                <w:szCs w:val="20"/>
                <w:lang w:val="ru-RU"/>
              </w:rPr>
              <w:t>(c) обеспечивать дополнительную информацию, которая не представлена в непосредственно в бухгалтерском балансе, отчете о прибылях и убытках, отчете об изменениях в капитале или отчете о движении денежных средств, но необходима для достоверного представления какого-либо из этих отчетов.</w:t>
            </w:r>
          </w:p>
        </w:tc>
        <w:tc>
          <w:tcPr>
            <w:tcW w:w="252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Различий нет.</w:t>
            </w:r>
          </w:p>
        </w:tc>
      </w:tr>
      <w:tr w:rsidR="00E4303F" w:rsidRPr="00A32B74">
        <w:trPr>
          <w:cantSplit/>
          <w:trHeight w:val="500"/>
        </w:trPr>
        <w:tc>
          <w:tcPr>
            <w:tcW w:w="172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Порядок представления информации</w:t>
            </w:r>
          </w:p>
        </w:tc>
        <w:tc>
          <w:tcPr>
            <w:tcW w:w="342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Возможный состав пояснительной записки приведен в п.19 Указаний о порядке составления и представления бухгалтерской отчетности, утв. приказом Минфина России № 67н, однако не устанавливает порядок представления информации  в пояснительной записке.</w:t>
            </w:r>
          </w:p>
        </w:tc>
        <w:tc>
          <w:tcPr>
            <w:tcW w:w="6660" w:type="dxa"/>
          </w:tcPr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п.105 МСФО 1 дан порядок представления примечаний к финансовой отчетности: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(a) заявление о соответствии Международным стандартам финансовой отчетности (см. также п.14 МСФО 1);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(b) информация о применяемой учетной политике (см. также п.108 МСФО 1);</w:t>
            </w:r>
          </w:p>
          <w:p w:rsidR="00E4303F" w:rsidRPr="00A32B74" w:rsidRDefault="00E4303F" w:rsidP="00A32B7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A32B74">
              <w:rPr>
                <w:rFonts w:ascii="Times New Roman" w:hAnsi="Times New Roman" w:cs="Tahoma"/>
                <w:szCs w:val="20"/>
                <w:lang w:val="ru-RU"/>
              </w:rPr>
              <w:t>(c) вспомогательная информация для статей, представленных в бухгалтерском балансе, отчете о прибылях и убытках, отчете об изменениях в капитале и отчете о движении денежных средств в том порядке, в каком представлены каждая форма финансовой отчетности и каждая линейная статья; и</w:t>
            </w:r>
          </w:p>
          <w:p w:rsidR="00E4303F" w:rsidRPr="00A32B74" w:rsidRDefault="00E4303F" w:rsidP="00A32B74">
            <w:pPr>
              <w:pStyle w:val="24"/>
              <w:spacing w:line="360" w:lineRule="auto"/>
              <w:jc w:val="both"/>
              <w:rPr>
                <w:rFonts w:ascii="Times New Roman" w:hAnsi="Times New Roman" w:cs="Tahoma"/>
                <w:szCs w:val="20"/>
                <w:lang w:val="ru-RU"/>
              </w:rPr>
            </w:pPr>
            <w:r w:rsidRPr="00A32B74">
              <w:rPr>
                <w:rFonts w:ascii="Times New Roman" w:hAnsi="Times New Roman" w:cs="Tahoma"/>
                <w:szCs w:val="20"/>
                <w:lang w:val="ru-RU"/>
              </w:rPr>
              <w:t>(d) прочие раскрытия, в том числе: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    (i) условные обязательства (см. МСФО 37) и непризнанные контрактные обязательства; и</w:t>
            </w:r>
          </w:p>
          <w:p w:rsidR="00E4303F" w:rsidRPr="00A32B74" w:rsidRDefault="00E4303F" w:rsidP="00A32B74">
            <w:pPr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 xml:space="preserve">    (ii) раскрытия нефинансового характера, например, политика и цели компании в сфере управления финансовыми рисками.</w:t>
            </w:r>
          </w:p>
        </w:tc>
        <w:tc>
          <w:tcPr>
            <w:tcW w:w="252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Последовательность представления информации в составе пояснительной записки в РПБУ не установлена.</w:t>
            </w:r>
          </w:p>
        </w:tc>
      </w:tr>
    </w:tbl>
    <w:p w:rsidR="00E4303F" w:rsidRPr="00A32B74" w:rsidRDefault="00E4303F" w:rsidP="00A32B7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3420"/>
        <w:gridCol w:w="6660"/>
        <w:gridCol w:w="2520"/>
      </w:tblGrid>
      <w:tr w:rsidR="00E4303F" w:rsidRPr="00A32B74">
        <w:trPr>
          <w:cantSplit/>
          <w:trHeight w:val="500"/>
        </w:trPr>
        <w:tc>
          <w:tcPr>
            <w:tcW w:w="1728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Раскрытие информации об учетной политике</w:t>
            </w:r>
          </w:p>
        </w:tc>
        <w:tc>
          <w:tcPr>
            <w:tcW w:w="3420" w:type="dxa"/>
          </w:tcPr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В соответствии с п.15 ПБУ 1/98 cущественные способы ведения бухгалтерского учета подлежат раскрытию в пояснительной записке, входящей в состав бухгалтерской отчетности организации за отчетный год.</w:t>
            </w:r>
          </w:p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Изменения учетной политики на год, следующий за отчетным, объявляются в пояснительной записке в бухгалтерской отчетности организации (п.23 ПБУ 1/98).</w:t>
            </w:r>
          </w:p>
        </w:tc>
        <w:tc>
          <w:tcPr>
            <w:tcW w:w="6660" w:type="dxa"/>
          </w:tcPr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В соответствии с п.113 МСФО 1 организация должна раскрывать в разделе описания учетной политики или в примечаниях к финансовой отчетности решения, помимо тех, что связаны с оценкой (см. п. 116 МСФО 1), которые принимало руководство в процессе применения той или иной учетной политики, имеющей важное значение с точки зрения ее влияния на показатели финансовой отчетности.</w:t>
            </w:r>
          </w:p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В соответствии с п.116 МСФО 1 организация должна раскрывать в примечаниях информацию, представляющую основные предположения в отношении будущего. Необходимо раскрывать основные источники информации относительно оценки неопределенности, существующей на отчетную дату в отношении рисков существенной корректировки балансовой оценки активов и обязательств в течение следующего финансового года. В отношении указанных активов и обязательств организация раскрывает:</w:t>
            </w:r>
          </w:p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(а) их характер и</w:t>
            </w:r>
          </w:p>
          <w:p w:rsidR="00E4303F" w:rsidRPr="00A32B74" w:rsidRDefault="00E4303F" w:rsidP="00A32B74">
            <w:pPr>
              <w:pStyle w:val="ConsNormal"/>
              <w:spacing w:line="360" w:lineRule="auto"/>
              <w:ind w:firstLine="0"/>
              <w:jc w:val="both"/>
              <w:rPr>
                <w:rFonts w:ascii="Times New Roman" w:hAnsi="Times New Roman" w:cs="Tahoma"/>
              </w:rPr>
            </w:pPr>
            <w:r w:rsidRPr="00A32B74">
              <w:rPr>
                <w:rFonts w:ascii="Times New Roman" w:hAnsi="Times New Roman" w:cs="Tahoma"/>
              </w:rPr>
              <w:t>(b) балансовую стоимость на отчетную дату.</w:t>
            </w:r>
          </w:p>
        </w:tc>
        <w:tc>
          <w:tcPr>
            <w:tcW w:w="2520" w:type="dxa"/>
          </w:tcPr>
          <w:p w:rsidR="00E4303F" w:rsidRPr="00A32B74" w:rsidRDefault="00E4303F" w:rsidP="00A32B74">
            <w:pPr>
              <w:tabs>
                <w:tab w:val="left" w:pos="360"/>
              </w:tabs>
              <w:spacing w:line="360" w:lineRule="auto"/>
              <w:jc w:val="both"/>
              <w:rPr>
                <w:rFonts w:cs="Tahoma"/>
                <w:sz w:val="20"/>
                <w:szCs w:val="20"/>
                <w:lang w:val="ru-RU"/>
              </w:rPr>
            </w:pPr>
            <w:r w:rsidRPr="00A32B74">
              <w:rPr>
                <w:rFonts w:cs="Tahoma"/>
                <w:sz w:val="20"/>
                <w:szCs w:val="20"/>
                <w:lang w:val="ru-RU"/>
              </w:rPr>
              <w:t>В отличие от требований МСФО, раскрытие решений компаний в отношении отдельных групп учетных объектов в РПБУ не предусмотрено.</w:t>
            </w:r>
          </w:p>
        </w:tc>
      </w:tr>
    </w:tbl>
    <w:p w:rsidR="00E4303F" w:rsidRPr="00A32B74" w:rsidRDefault="00E4303F" w:rsidP="00A32B74">
      <w:pPr>
        <w:spacing w:line="360" w:lineRule="auto"/>
        <w:jc w:val="both"/>
        <w:rPr>
          <w:rFonts w:cs="Tahoma"/>
          <w:sz w:val="20"/>
          <w:szCs w:val="20"/>
          <w:lang w:val="ru-RU"/>
        </w:rPr>
      </w:pPr>
    </w:p>
    <w:p w:rsidR="00E4303F" w:rsidRPr="002A5D04" w:rsidRDefault="00E4303F" w:rsidP="002A5D04">
      <w:pPr>
        <w:pStyle w:val="a7"/>
        <w:tabs>
          <w:tab w:val="clear" w:pos="4153"/>
          <w:tab w:val="clear" w:pos="8306"/>
        </w:tabs>
        <w:spacing w:line="360" w:lineRule="auto"/>
        <w:ind w:firstLine="720"/>
        <w:jc w:val="both"/>
        <w:rPr>
          <w:rFonts w:cs="Tahoma"/>
          <w:sz w:val="28"/>
          <w:lang w:val="ru-RU"/>
        </w:rPr>
      </w:pPr>
    </w:p>
    <w:p w:rsidR="00E4303F" w:rsidRPr="002A5D04" w:rsidRDefault="00E4303F" w:rsidP="002A5D04">
      <w:pPr>
        <w:pStyle w:val="a7"/>
        <w:tabs>
          <w:tab w:val="clear" w:pos="4153"/>
          <w:tab w:val="clear" w:pos="8306"/>
        </w:tabs>
        <w:spacing w:line="360" w:lineRule="auto"/>
        <w:ind w:firstLine="720"/>
        <w:jc w:val="both"/>
        <w:rPr>
          <w:rFonts w:cs="Tahoma"/>
          <w:snapToGrid w:val="0"/>
          <w:sz w:val="28"/>
          <w:lang w:val="ru-RU"/>
        </w:rPr>
      </w:pPr>
      <w:r w:rsidRPr="002A5D04">
        <w:rPr>
          <w:rFonts w:cs="Tahoma"/>
          <w:sz w:val="28"/>
          <w:lang w:val="ru-RU"/>
        </w:rPr>
        <w:t>Данный материал опубликован при поддержке Европейского Союза. Содержание публикации является предметом ответственности ЗАО «ПрайсвотерхаусКуперс» и ООО «Росэкспертиза» и не отражает точку зрения Европейского Союза.</w:t>
      </w:r>
      <w:bookmarkStart w:id="25" w:name="_GoBack"/>
      <w:bookmarkEnd w:id="25"/>
    </w:p>
    <w:sectPr w:rsidR="00E4303F" w:rsidRPr="002A5D04" w:rsidSect="002A5D04">
      <w:pgSz w:w="16834" w:h="11909" w:orient="landscape" w:code="9"/>
      <w:pgMar w:top="1701" w:right="1134" w:bottom="851" w:left="1134" w:header="720" w:footer="720" w:gutter="0"/>
      <w:cols w:sep="1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2351" w:rsidRDefault="003F2351" w:rsidP="00A54CA1">
      <w:r>
        <w:separator/>
      </w:r>
    </w:p>
  </w:endnote>
  <w:endnote w:type="continuationSeparator" w:id="0">
    <w:p w:rsidR="003F2351" w:rsidRDefault="003F2351" w:rsidP="00A54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303F" w:rsidRDefault="00E4303F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4303F" w:rsidRDefault="00E4303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303F" w:rsidRDefault="00E4303F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0267A">
      <w:rPr>
        <w:rStyle w:val="a9"/>
        <w:noProof/>
      </w:rPr>
      <w:t>3</w:t>
    </w:r>
    <w:r>
      <w:rPr>
        <w:rStyle w:val="a9"/>
      </w:rPr>
      <w:fldChar w:fldCharType="end"/>
    </w:r>
  </w:p>
  <w:p w:rsidR="00E4303F" w:rsidRDefault="00E4303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2351" w:rsidRDefault="003F2351" w:rsidP="00A54CA1">
      <w:r>
        <w:separator/>
      </w:r>
    </w:p>
  </w:footnote>
  <w:footnote w:type="continuationSeparator" w:id="0">
    <w:p w:rsidR="003F2351" w:rsidRDefault="003F2351" w:rsidP="00A54C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85502"/>
    <w:multiLevelType w:val="multilevel"/>
    <w:tmpl w:val="E1806C82"/>
    <w:lvl w:ilvl="0">
      <w:start w:val="1"/>
      <w:numFmt w:val="decimal"/>
      <w:pStyle w:val="1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17AF5891"/>
    <w:multiLevelType w:val="hybridMultilevel"/>
    <w:tmpl w:val="4B1240CA"/>
    <w:lvl w:ilvl="0" w:tplc="8F042540">
      <w:start w:val="1"/>
      <w:numFmt w:val="lowerLetter"/>
      <w:lvlText w:val="(%1)"/>
      <w:lvlJc w:val="left"/>
      <w:pPr>
        <w:tabs>
          <w:tab w:val="num" w:pos="915"/>
        </w:tabs>
        <w:ind w:left="915" w:hanging="55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C01684D"/>
    <w:multiLevelType w:val="hybridMultilevel"/>
    <w:tmpl w:val="2206AF70"/>
    <w:lvl w:ilvl="0" w:tplc="FFFFFFFF">
      <w:start w:val="1"/>
      <w:numFmt w:val="decimal"/>
      <w:pStyle w:val="6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430F583F"/>
    <w:multiLevelType w:val="hybridMultilevel"/>
    <w:tmpl w:val="BA9C706C"/>
    <w:lvl w:ilvl="0" w:tplc="040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1EEF2A2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CDC32B6"/>
    <w:multiLevelType w:val="multilevel"/>
    <w:tmpl w:val="510E0980"/>
    <w:lvl w:ilvl="0">
      <w:start w:val="1"/>
      <w:numFmt w:val="decimal"/>
      <w:pStyle w:val="StyleHeading110ptNotBold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5">
    <w:nsid w:val="7DB54B31"/>
    <w:multiLevelType w:val="multilevel"/>
    <w:tmpl w:val="E67A57B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StyleHeading2Heading2CharLeft0cmFirstline0cm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506F"/>
    <w:rsid w:val="0010267A"/>
    <w:rsid w:val="002A5D04"/>
    <w:rsid w:val="003F2351"/>
    <w:rsid w:val="004746B9"/>
    <w:rsid w:val="008D506F"/>
    <w:rsid w:val="00A32B74"/>
    <w:rsid w:val="00A54CA1"/>
    <w:rsid w:val="00E4303F"/>
    <w:rsid w:val="00EF3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64A4D74-EB7E-4279-A22C-D98BBAF72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GB" w:eastAsia="en-US"/>
    </w:rPr>
  </w:style>
  <w:style w:type="paragraph" w:styleId="1">
    <w:name w:val="heading 1"/>
    <w:aliases w:val="Heading 1 Char"/>
    <w:basedOn w:val="a"/>
    <w:next w:val="a"/>
    <w:link w:val="10"/>
    <w:uiPriority w:val="9"/>
    <w:qFormat/>
    <w:pPr>
      <w:keepNext/>
      <w:numPr>
        <w:numId w:val="4"/>
      </w:numPr>
      <w:spacing w:before="240" w:after="60"/>
      <w:outlineLvl w:val="0"/>
    </w:pPr>
    <w:rPr>
      <w:rFonts w:ascii="Arial" w:hAnsi="Arial"/>
      <w:b/>
      <w:sz w:val="32"/>
    </w:rPr>
  </w:style>
  <w:style w:type="paragraph" w:styleId="2">
    <w:name w:val="heading 2"/>
    <w:aliases w:val="Heading 2 Char"/>
    <w:basedOn w:val="a"/>
    <w:next w:val="a"/>
    <w:link w:val="20"/>
    <w:uiPriority w:val="9"/>
    <w:qFormat/>
    <w:pPr>
      <w:keepNext/>
      <w:numPr>
        <w:ilvl w:val="1"/>
        <w:numId w:val="4"/>
      </w:numPr>
      <w:outlineLvl w:val="1"/>
    </w:pPr>
    <w:rPr>
      <w:rFonts w:ascii="Arial" w:hAnsi="Arial"/>
      <w:b/>
      <w:smallCaps/>
    </w:rPr>
  </w:style>
  <w:style w:type="paragraph" w:styleId="3">
    <w:name w:val="heading 3"/>
    <w:basedOn w:val="a"/>
    <w:next w:val="a"/>
    <w:link w:val="30"/>
    <w:uiPriority w:val="9"/>
    <w:qFormat/>
    <w:pPr>
      <w:keepNext/>
      <w:ind w:left="1440"/>
      <w:outlineLvl w:val="2"/>
    </w:pPr>
    <w:rPr>
      <w:sz w:val="48"/>
    </w:rPr>
  </w:style>
  <w:style w:type="paragraph" w:styleId="4">
    <w:name w:val="heading 4"/>
    <w:basedOn w:val="a"/>
    <w:next w:val="a"/>
    <w:link w:val="40"/>
    <w:uiPriority w:val="9"/>
    <w:qFormat/>
    <w:pPr>
      <w:keepNext/>
      <w:ind w:left="1440"/>
      <w:outlineLvl w:val="3"/>
    </w:pPr>
    <w:rPr>
      <w:sz w:val="44"/>
    </w:rPr>
  </w:style>
  <w:style w:type="paragraph" w:styleId="5">
    <w:name w:val="heading 5"/>
    <w:basedOn w:val="a"/>
    <w:next w:val="a"/>
    <w:link w:val="50"/>
    <w:uiPriority w:val="9"/>
    <w:qFormat/>
    <w:pPr>
      <w:keepNext/>
      <w:ind w:left="1440" w:firstLine="3240"/>
      <w:outlineLvl w:val="4"/>
    </w:pPr>
    <w:rPr>
      <w:sz w:val="44"/>
    </w:rPr>
  </w:style>
  <w:style w:type="paragraph" w:styleId="6">
    <w:name w:val="heading 6"/>
    <w:basedOn w:val="a"/>
    <w:next w:val="a"/>
    <w:link w:val="60"/>
    <w:uiPriority w:val="9"/>
    <w:qFormat/>
    <w:pPr>
      <w:keepNext/>
      <w:numPr>
        <w:numId w:val="1"/>
      </w:numPr>
      <w:tabs>
        <w:tab w:val="num" w:pos="1440"/>
      </w:tabs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qFormat/>
    <w:pPr>
      <w:keepNext/>
      <w:ind w:left="1440" w:hanging="720"/>
      <w:outlineLvl w:val="6"/>
    </w:pPr>
    <w:rPr>
      <w:sz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ind w:firstLine="720"/>
      <w:outlineLvl w:val="7"/>
    </w:pPr>
    <w:rPr>
      <w:sz w:val="28"/>
    </w:rPr>
  </w:style>
  <w:style w:type="paragraph" w:styleId="9">
    <w:name w:val="heading 9"/>
    <w:basedOn w:val="a"/>
    <w:next w:val="a"/>
    <w:link w:val="90"/>
    <w:uiPriority w:val="9"/>
    <w:qFormat/>
    <w:pPr>
      <w:keepNext/>
      <w:ind w:left="720" w:hanging="720"/>
      <w:outlineLvl w:val="8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eading 1 Char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GB" w:eastAsia="en-US"/>
    </w:rPr>
  </w:style>
  <w:style w:type="character" w:customStyle="1" w:styleId="20">
    <w:name w:val="Заголовок 2 Знак"/>
    <w:aliases w:val="Heading 2 Char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GB" w:eastAsia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GB" w:eastAsia="en-US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val="en-GB" w:eastAsia="en-US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val="en-GB" w:eastAsia="en-US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  <w:lang w:val="en-GB" w:eastAsia="en-US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  <w:lang w:val="en-GB" w:eastAsia="en-US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  <w:lang w:val="en-GB" w:eastAsia="en-US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  <w:lang w:val="en-GB" w:eastAsia="en-US"/>
    </w:rPr>
  </w:style>
  <w:style w:type="paragraph" w:styleId="a3">
    <w:name w:val="Body Text Indent"/>
    <w:basedOn w:val="a"/>
    <w:link w:val="a4"/>
    <w:uiPriority w:val="99"/>
    <w:pPr>
      <w:ind w:left="1440"/>
    </w:pPr>
  </w:style>
  <w:style w:type="character" w:customStyle="1" w:styleId="a4">
    <w:name w:val="Основной текст с отступом Знак"/>
    <w:link w:val="a3"/>
    <w:uiPriority w:val="99"/>
    <w:semiHidden/>
    <w:rPr>
      <w:sz w:val="24"/>
      <w:szCs w:val="24"/>
      <w:lang w:val="en-GB" w:eastAsia="en-US"/>
    </w:rPr>
  </w:style>
  <w:style w:type="paragraph" w:styleId="21">
    <w:name w:val="Body Text Indent 2"/>
    <w:basedOn w:val="a"/>
    <w:link w:val="22"/>
    <w:uiPriority w:val="99"/>
    <w:pPr>
      <w:ind w:left="3600" w:hanging="2160"/>
    </w:p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  <w:lang w:val="en-GB" w:eastAsia="en-US"/>
    </w:rPr>
  </w:style>
  <w:style w:type="paragraph" w:styleId="31">
    <w:name w:val="Body Text Indent 3"/>
    <w:basedOn w:val="a"/>
    <w:link w:val="32"/>
    <w:uiPriority w:val="99"/>
    <w:pPr>
      <w:ind w:left="3060" w:hanging="1620"/>
    </w:p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  <w:lang w:val="en-GB" w:eastAsia="en-US"/>
    </w:rPr>
  </w:style>
  <w:style w:type="paragraph" w:styleId="a5">
    <w:name w:val="Document Map"/>
    <w:basedOn w:val="a"/>
    <w:link w:val="a6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rPr>
      <w:rFonts w:ascii="Tahoma" w:hAnsi="Tahoma" w:cs="Tahoma"/>
      <w:sz w:val="16"/>
      <w:szCs w:val="16"/>
      <w:lang w:val="en-GB" w:eastAsia="en-US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  <w:rPr>
      <w:lang w:val="en-US"/>
    </w:r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  <w:lang w:val="en-GB" w:eastAsia="en-US"/>
    </w:rPr>
  </w:style>
  <w:style w:type="character" w:styleId="a9">
    <w:name w:val="page number"/>
    <w:uiPriority w:val="99"/>
    <w:rPr>
      <w:rFonts w:ascii="Arial" w:hAnsi="Arial" w:cs="Times New Roman"/>
      <w:sz w:val="20"/>
      <w:szCs w:val="20"/>
    </w:rPr>
  </w:style>
  <w:style w:type="paragraph" w:styleId="aa">
    <w:name w:val="header"/>
    <w:basedOn w:val="a"/>
    <w:link w:val="ab"/>
    <w:uiPriority w:val="99"/>
    <w:pPr>
      <w:tabs>
        <w:tab w:val="center" w:pos="4320"/>
        <w:tab w:val="right" w:pos="8640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4"/>
      <w:szCs w:val="24"/>
      <w:lang w:val="en-GB" w:eastAsia="en-US"/>
    </w:rPr>
  </w:style>
  <w:style w:type="paragraph" w:styleId="ac">
    <w:name w:val="caption"/>
    <w:basedOn w:val="a"/>
    <w:next w:val="a"/>
    <w:uiPriority w:val="35"/>
    <w:qFormat/>
    <w:pPr>
      <w:ind w:firstLine="1080"/>
    </w:pPr>
    <w:rPr>
      <w:rFonts w:ascii="Arial" w:hAnsi="Arial"/>
      <w:b/>
      <w:bCs/>
    </w:rPr>
  </w:style>
  <w:style w:type="paragraph" w:styleId="ad">
    <w:name w:val="Block Text"/>
    <w:basedOn w:val="a"/>
    <w:uiPriority w:val="99"/>
    <w:pPr>
      <w:ind w:left="1440" w:right="86" w:hanging="1080"/>
    </w:pPr>
    <w:rPr>
      <w:rFonts w:ascii="Arial" w:hAnsi="Arial"/>
    </w:rPr>
  </w:style>
  <w:style w:type="character" w:customStyle="1" w:styleId="Heading3CharCharCharCharCharChar">
    <w:name w:val="Heading 3 Char Char Char Char Char Char"/>
    <w:rPr>
      <w:rFonts w:ascii="Arial" w:hAnsi="Arial" w:cs="Arial"/>
      <w:b/>
      <w:bCs/>
      <w:sz w:val="24"/>
      <w:szCs w:val="24"/>
      <w:lang w:val="en-US" w:eastAsia="en-US" w:bidi="ar-SA"/>
    </w:rPr>
  </w:style>
  <w:style w:type="character" w:styleId="ae">
    <w:name w:val="Hyperlink"/>
    <w:uiPriority w:val="99"/>
    <w:rPr>
      <w:rFonts w:cs="Times New Roman"/>
      <w:color w:val="0000FF"/>
      <w:u w:val="single"/>
    </w:rPr>
  </w:style>
  <w:style w:type="character" w:styleId="af">
    <w:name w:val="FollowedHyperlink"/>
    <w:uiPriority w:val="99"/>
    <w:rPr>
      <w:rFonts w:cs="Times New Roman"/>
      <w:color w:val="800080"/>
      <w:u w:val="single"/>
    </w:rPr>
  </w:style>
  <w:style w:type="paragraph" w:styleId="11">
    <w:name w:val="toc 1"/>
    <w:basedOn w:val="a"/>
    <w:next w:val="a"/>
    <w:autoRedefine/>
    <w:uiPriority w:val="39"/>
    <w:semiHidden/>
    <w:pPr>
      <w:tabs>
        <w:tab w:val="right" w:leader="dot" w:pos="14760"/>
      </w:tabs>
      <w:spacing w:before="360"/>
    </w:pPr>
    <w:rPr>
      <w:rFonts w:ascii="Tahoma" w:hAnsi="Tahoma" w:cs="Tahoma"/>
      <w:b/>
      <w:bCs/>
      <w:caps/>
      <w:noProof/>
      <w:szCs w:val="28"/>
    </w:rPr>
  </w:style>
  <w:style w:type="paragraph" w:styleId="23">
    <w:name w:val="toc 2"/>
    <w:basedOn w:val="a"/>
    <w:next w:val="a"/>
    <w:autoRedefine/>
    <w:uiPriority w:val="39"/>
    <w:semiHidden/>
    <w:pPr>
      <w:spacing w:before="240"/>
    </w:pPr>
    <w:rPr>
      <w:b/>
      <w:bCs/>
    </w:rPr>
  </w:style>
  <w:style w:type="paragraph" w:styleId="33">
    <w:name w:val="toc 3"/>
    <w:basedOn w:val="a"/>
    <w:next w:val="a"/>
    <w:autoRedefine/>
    <w:uiPriority w:val="39"/>
    <w:semiHidden/>
    <w:pPr>
      <w:ind w:left="240"/>
    </w:pPr>
  </w:style>
  <w:style w:type="paragraph" w:styleId="41">
    <w:name w:val="toc 4"/>
    <w:basedOn w:val="a"/>
    <w:next w:val="a"/>
    <w:autoRedefine/>
    <w:uiPriority w:val="39"/>
    <w:semiHidden/>
    <w:pPr>
      <w:ind w:left="480"/>
    </w:pPr>
  </w:style>
  <w:style w:type="paragraph" w:styleId="51">
    <w:name w:val="toc 5"/>
    <w:basedOn w:val="a"/>
    <w:next w:val="a"/>
    <w:autoRedefine/>
    <w:uiPriority w:val="39"/>
    <w:semiHidden/>
    <w:pPr>
      <w:ind w:left="720"/>
    </w:pPr>
  </w:style>
  <w:style w:type="paragraph" w:styleId="61">
    <w:name w:val="toc 6"/>
    <w:basedOn w:val="a"/>
    <w:next w:val="a"/>
    <w:autoRedefine/>
    <w:uiPriority w:val="39"/>
    <w:semiHidden/>
    <w:pPr>
      <w:ind w:left="960"/>
    </w:pPr>
  </w:style>
  <w:style w:type="paragraph" w:styleId="71">
    <w:name w:val="toc 7"/>
    <w:basedOn w:val="a"/>
    <w:next w:val="a"/>
    <w:autoRedefine/>
    <w:uiPriority w:val="39"/>
    <w:semiHidden/>
    <w:pPr>
      <w:ind w:left="1200"/>
    </w:pPr>
  </w:style>
  <w:style w:type="paragraph" w:styleId="81">
    <w:name w:val="toc 8"/>
    <w:basedOn w:val="a"/>
    <w:next w:val="a"/>
    <w:autoRedefine/>
    <w:uiPriority w:val="39"/>
    <w:semiHidden/>
    <w:pPr>
      <w:ind w:left="1440"/>
    </w:pPr>
  </w:style>
  <w:style w:type="paragraph" w:styleId="91">
    <w:name w:val="toc 9"/>
    <w:basedOn w:val="a"/>
    <w:next w:val="a"/>
    <w:autoRedefine/>
    <w:uiPriority w:val="39"/>
    <w:semiHidden/>
    <w:pPr>
      <w:ind w:left="1680"/>
    </w:pPr>
  </w:style>
  <w:style w:type="paragraph" w:styleId="af0">
    <w:name w:val="Body Text"/>
    <w:basedOn w:val="a"/>
    <w:link w:val="af1"/>
    <w:uiPriority w:val="99"/>
    <w:rPr>
      <w:b/>
      <w:sz w:val="32"/>
    </w:rPr>
  </w:style>
  <w:style w:type="character" w:customStyle="1" w:styleId="af1">
    <w:name w:val="Основной текст Знак"/>
    <w:link w:val="af0"/>
    <w:uiPriority w:val="99"/>
    <w:semiHidden/>
    <w:rPr>
      <w:sz w:val="24"/>
      <w:szCs w:val="24"/>
      <w:lang w:val="en-GB" w:eastAsia="en-US"/>
    </w:rPr>
  </w:style>
  <w:style w:type="paragraph" w:styleId="24">
    <w:name w:val="Body Text 2"/>
    <w:basedOn w:val="a"/>
    <w:link w:val="25"/>
    <w:uiPriority w:val="99"/>
    <w:rPr>
      <w:rFonts w:ascii="Arial" w:hAnsi="Arial"/>
      <w:sz w:val="20"/>
    </w:rPr>
  </w:style>
  <w:style w:type="character" w:customStyle="1" w:styleId="25">
    <w:name w:val="Основной текст 2 Знак"/>
    <w:link w:val="24"/>
    <w:uiPriority w:val="99"/>
    <w:semiHidden/>
    <w:rPr>
      <w:sz w:val="24"/>
      <w:szCs w:val="24"/>
      <w:lang w:val="en-GB" w:eastAsia="en-US"/>
    </w:rPr>
  </w:style>
  <w:style w:type="paragraph" w:styleId="34">
    <w:name w:val="Body Text 3"/>
    <w:basedOn w:val="a"/>
    <w:link w:val="35"/>
    <w:uiPriority w:val="99"/>
    <w:rPr>
      <w:rFonts w:ascii="Arial" w:hAnsi="Arial"/>
      <w:color w:val="0000FF"/>
    </w:rPr>
  </w:style>
  <w:style w:type="character" w:customStyle="1" w:styleId="35">
    <w:name w:val="Основной текст 3 Знак"/>
    <w:link w:val="34"/>
    <w:uiPriority w:val="99"/>
    <w:semiHidden/>
    <w:rPr>
      <w:sz w:val="16"/>
      <w:szCs w:val="16"/>
      <w:lang w:val="en-GB" w:eastAsia="en-US"/>
    </w:rPr>
  </w:style>
  <w:style w:type="paragraph" w:customStyle="1" w:styleId="StyleHeading110ptNotBold">
    <w:name w:val="Style Heading 1 + 10 pt Not Bold"/>
    <w:basedOn w:val="1"/>
    <w:pPr>
      <w:numPr>
        <w:numId w:val="3"/>
      </w:numPr>
    </w:pPr>
    <w:rPr>
      <w:b w:val="0"/>
      <w:sz w:val="20"/>
    </w:rPr>
  </w:style>
  <w:style w:type="character" w:customStyle="1" w:styleId="Heading1CharChar">
    <w:name w:val="Heading 1 Char Char"/>
    <w:rPr>
      <w:rFonts w:ascii="Arial" w:hAnsi="Arial" w:cs="Times New Roman"/>
      <w:b/>
      <w:snapToGrid w:val="0"/>
      <w:sz w:val="24"/>
      <w:szCs w:val="24"/>
      <w:lang w:val="en-GB" w:eastAsia="en-US" w:bidi="ar-SA"/>
    </w:rPr>
  </w:style>
  <w:style w:type="character" w:customStyle="1" w:styleId="StyleHeading110ptNotBoldChar">
    <w:name w:val="Style Heading 1 + 10 pt Not Bold Char"/>
  </w:style>
  <w:style w:type="paragraph" w:customStyle="1" w:styleId="StyleHeading1Gray-80Allcaps">
    <w:name w:val="Style Heading 1 + Gray-80% All caps"/>
    <w:basedOn w:val="1"/>
    <w:autoRedefine/>
    <w:rPr>
      <w:bCs/>
      <w:caps/>
      <w:color w:val="333333"/>
      <w:kern w:val="32"/>
    </w:rPr>
  </w:style>
  <w:style w:type="paragraph" w:customStyle="1" w:styleId="StyleHeading2Heading2CharLeft0cmFirstline0cm">
    <w:name w:val="Style Heading 2Heading 2 Char + Left:  0 cm First line:  0 cm"/>
    <w:basedOn w:val="a"/>
    <w:pPr>
      <w:numPr>
        <w:ilvl w:val="1"/>
        <w:numId w:val="2"/>
      </w:numPr>
    </w:pPr>
  </w:style>
  <w:style w:type="character" w:styleId="af2">
    <w:name w:val="annotation reference"/>
    <w:uiPriority w:val="99"/>
    <w:semiHidden/>
    <w:rPr>
      <w:rFonts w:cs="Times New Roman"/>
      <w:sz w:val="16"/>
    </w:rPr>
  </w:style>
  <w:style w:type="paragraph" w:styleId="af3">
    <w:name w:val="annotation text"/>
    <w:basedOn w:val="a"/>
    <w:link w:val="af4"/>
    <w:uiPriority w:val="99"/>
    <w:semiHidden/>
    <w:rPr>
      <w:sz w:val="20"/>
      <w:szCs w:val="20"/>
      <w:lang w:val="en-AU"/>
    </w:rPr>
  </w:style>
  <w:style w:type="character" w:customStyle="1" w:styleId="af4">
    <w:name w:val="Текст примечания Знак"/>
    <w:link w:val="af3"/>
    <w:uiPriority w:val="99"/>
    <w:semiHidden/>
    <w:rPr>
      <w:lang w:val="en-GB" w:eastAsia="en-US"/>
    </w:rPr>
  </w:style>
  <w:style w:type="paragraph" w:styleId="af5">
    <w:name w:val="Normal (Web)"/>
    <w:basedOn w:val="a"/>
    <w:uiPriority w:val="99"/>
    <w:pPr>
      <w:spacing w:before="100" w:beforeAutospacing="1" w:after="100" w:afterAutospacing="1"/>
    </w:pPr>
    <w:rPr>
      <w:rFonts w:ascii="Arial" w:eastAsia="Arial Unicode MS" w:hAnsi="Arial" w:cs="Arial"/>
      <w:color w:val="000000"/>
      <w:sz w:val="20"/>
      <w:szCs w:val="20"/>
    </w:rPr>
  </w:style>
  <w:style w:type="paragraph" w:customStyle="1" w:styleId="xl24">
    <w:name w:val="xl24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25">
    <w:name w:val="xl25"/>
    <w:basedOn w:val="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6">
    <w:name w:val="xl26"/>
    <w:basedOn w:val="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27">
    <w:name w:val="xl27"/>
    <w:basedOn w:val="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28">
    <w:name w:val="xl28"/>
    <w:basedOn w:val="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9">
    <w:name w:val="xl29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30">
    <w:name w:val="xl30"/>
    <w:basedOn w:val="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1">
    <w:name w:val="xl31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2">
    <w:name w:val="xl32"/>
    <w:basedOn w:val="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3">
    <w:name w:val="xl33"/>
    <w:basedOn w:val="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4">
    <w:name w:val="xl34"/>
    <w:basedOn w:val="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af6">
    <w:name w:val="footnote text"/>
    <w:basedOn w:val="a"/>
    <w:link w:val="af7"/>
    <w:uiPriority w:val="99"/>
    <w:semiHidden/>
    <w:rPr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Pr>
      <w:lang w:val="en-GB" w:eastAsia="en-US"/>
    </w:rPr>
  </w:style>
  <w:style w:type="character" w:styleId="af8">
    <w:name w:val="footnote reference"/>
    <w:uiPriority w:val="99"/>
    <w:semiHidden/>
    <w:rPr>
      <w:rFonts w:cs="Times New Roman"/>
      <w:vertAlign w:val="superscript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  <w:lang w:eastAsia="en-US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5827</Words>
  <Characters>33216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SELF-STUDY  WORKBOOKS</vt:lpstr>
    </vt:vector>
  </TitlesOfParts>
  <Company>Datrontech Group Plc</Company>
  <LinksUpToDate>false</LinksUpToDate>
  <CharactersWithSpaces>38966</CharactersWithSpaces>
  <SharedDoc>false</SharedDoc>
  <HLinks>
    <vt:vector size="66" baseType="variant">
      <vt:variant>
        <vt:i4>1769532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_Toc109814501</vt:lpwstr>
      </vt:variant>
      <vt:variant>
        <vt:i4>1769532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_Toc109814500</vt:lpwstr>
      </vt:variant>
      <vt:variant>
        <vt:i4>1179709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_Toc109814499</vt:lpwstr>
      </vt:variant>
      <vt:variant>
        <vt:i4>1179709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_Toc109814498</vt:lpwstr>
      </vt:variant>
      <vt:variant>
        <vt:i4>1179709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_Toc109814497</vt:lpwstr>
      </vt:variant>
      <vt:variant>
        <vt:i4>1179709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_Toc109814496</vt:lpwstr>
      </vt:variant>
      <vt:variant>
        <vt:i4>1179709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_Toc109814495</vt:lpwstr>
      </vt:variant>
      <vt:variant>
        <vt:i4>1179709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_Toc109814494</vt:lpwstr>
      </vt:variant>
      <vt:variant>
        <vt:i4>1179709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_Toc109814493</vt:lpwstr>
      </vt:variant>
      <vt:variant>
        <vt:i4>1179709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_Toc109814492</vt:lpwstr>
      </vt:variant>
      <vt:variant>
        <vt:i4>1179709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_Toc109814491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SELF-STUDY  WORKBOOKS</dc:title>
  <dc:subject/>
  <dc:creator>Archie Smith</dc:creator>
  <cp:keywords/>
  <dc:description/>
  <cp:lastModifiedBy>admin</cp:lastModifiedBy>
  <cp:revision>2</cp:revision>
  <cp:lastPrinted>2004-08-23T08:17:00Z</cp:lastPrinted>
  <dcterms:created xsi:type="dcterms:W3CDTF">2014-06-23T06:47:00Z</dcterms:created>
  <dcterms:modified xsi:type="dcterms:W3CDTF">2014-06-23T06:47:00Z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-1110114837</vt:i4>
  </property>
  <property fmtid="{D5CDD505-2E9C-101B-9397-08002B2CF9AE}" pid="3" name="_EmailSubject">
    <vt:lpwstr>Translation</vt:lpwstr>
  </property>
  <property fmtid="{D5CDD505-2E9C-101B-9397-08002B2CF9AE}" pid="4" name="_AuthorEmail">
    <vt:lpwstr>eberesneva@fors.ru</vt:lpwstr>
  </property>
  <property fmtid="{D5CDD505-2E9C-101B-9397-08002B2CF9AE}" pid="5" name="_AuthorEmailDisplayName">
    <vt:lpwstr>Ekaterina I. Beresneva</vt:lpwstr>
  </property>
  <property fmtid="{D5CDD505-2E9C-101B-9397-08002B2CF9AE}" pid="6" name="_ReviewingToolsShownOnce">
    <vt:lpwstr/>
  </property>
</Properties>
</file>