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AA" w:rsidRDefault="00EC2D97" w:rsidP="00253E9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</w:pPr>
      <w:r w:rsidRPr="00253E93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СОДЕРЖАНИЕ</w:t>
      </w:r>
    </w:p>
    <w:p w:rsidR="006B2598" w:rsidRPr="006B2598" w:rsidRDefault="006B2598" w:rsidP="00253E9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</w:pPr>
    </w:p>
    <w:p w:rsidR="00EC2D97" w:rsidRPr="00253E93" w:rsidRDefault="00EC2D97" w:rsidP="00253E93">
      <w:pPr>
        <w:pStyle w:val="11"/>
        <w:tabs>
          <w:tab w:val="right" w:leader="dot" w:pos="9344"/>
        </w:tabs>
        <w:jc w:val="both"/>
        <w:rPr>
          <w:rFonts w:ascii="Times New Roman" w:hAnsi="Times New Roman"/>
          <w:bCs w:val="0"/>
          <w:caps w:val="0"/>
          <w:noProof/>
          <w:color w:val="000000"/>
          <w:sz w:val="28"/>
          <w:szCs w:val="28"/>
          <w:lang w:eastAsia="ru-RU"/>
        </w:rPr>
      </w:pPr>
      <w:r w:rsidRPr="00D728BF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  <w:r w:rsidRPr="00253E93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480789" w:rsidRPr="00253E93">
        <w:rPr>
          <w:rFonts w:ascii="Times New Roman" w:hAnsi="Times New Roman"/>
          <w:noProof/>
          <w:webHidden/>
          <w:color w:val="000000"/>
          <w:sz w:val="28"/>
          <w:szCs w:val="28"/>
        </w:rPr>
        <w:t>3</w:t>
      </w:r>
    </w:p>
    <w:p w:rsidR="00EC2D97" w:rsidRPr="00253E93" w:rsidRDefault="00EC2D97" w:rsidP="00253E93">
      <w:pPr>
        <w:pStyle w:val="11"/>
        <w:tabs>
          <w:tab w:val="right" w:leader="dot" w:pos="9344"/>
        </w:tabs>
        <w:jc w:val="both"/>
        <w:rPr>
          <w:rFonts w:ascii="Times New Roman" w:hAnsi="Times New Roman"/>
          <w:bCs w:val="0"/>
          <w:caps w:val="0"/>
          <w:noProof/>
          <w:color w:val="000000"/>
          <w:sz w:val="28"/>
          <w:szCs w:val="28"/>
          <w:lang w:eastAsia="ru-RU"/>
        </w:rPr>
      </w:pPr>
      <w:r w:rsidRPr="00D728BF">
        <w:rPr>
          <w:rFonts w:ascii="Times New Roman" w:hAnsi="Times New Roman"/>
          <w:noProof/>
          <w:color w:val="000000"/>
          <w:sz w:val="28"/>
          <w:szCs w:val="28"/>
        </w:rPr>
        <w:t>1. Сущность и формы аккредитивов</w:t>
      </w:r>
      <w:r w:rsidRPr="00253E93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480789" w:rsidRPr="00253E93">
        <w:rPr>
          <w:rFonts w:ascii="Times New Roman" w:hAnsi="Times New Roman"/>
          <w:noProof/>
          <w:webHidden/>
          <w:color w:val="000000"/>
          <w:sz w:val="28"/>
          <w:szCs w:val="28"/>
        </w:rPr>
        <w:t>4</w:t>
      </w:r>
    </w:p>
    <w:p w:rsidR="00EC2D97" w:rsidRPr="00253E93" w:rsidRDefault="00EC2D97" w:rsidP="00253E93">
      <w:pPr>
        <w:pStyle w:val="11"/>
        <w:tabs>
          <w:tab w:val="right" w:leader="dot" w:pos="9344"/>
        </w:tabs>
        <w:jc w:val="both"/>
        <w:rPr>
          <w:rFonts w:ascii="Times New Roman" w:hAnsi="Times New Roman"/>
          <w:bCs w:val="0"/>
          <w:caps w:val="0"/>
          <w:noProof/>
          <w:color w:val="000000"/>
          <w:sz w:val="28"/>
          <w:szCs w:val="28"/>
          <w:lang w:eastAsia="ru-RU"/>
        </w:rPr>
      </w:pPr>
      <w:r w:rsidRPr="00D728B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2. Нормативная база операций с аккредитивами</w:t>
      </w:r>
      <w:r w:rsidRPr="00253E93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480789" w:rsidRPr="00253E93">
        <w:rPr>
          <w:rFonts w:ascii="Times New Roman" w:hAnsi="Times New Roman"/>
          <w:noProof/>
          <w:webHidden/>
          <w:color w:val="000000"/>
          <w:sz w:val="28"/>
          <w:szCs w:val="28"/>
        </w:rPr>
        <w:t>9</w:t>
      </w:r>
    </w:p>
    <w:p w:rsidR="00EC2D97" w:rsidRPr="00253E93" w:rsidRDefault="00EC2D97" w:rsidP="00253E93">
      <w:pPr>
        <w:pStyle w:val="11"/>
        <w:tabs>
          <w:tab w:val="right" w:leader="dot" w:pos="9344"/>
        </w:tabs>
        <w:jc w:val="both"/>
        <w:rPr>
          <w:rFonts w:ascii="Times New Roman" w:hAnsi="Times New Roman"/>
          <w:bCs w:val="0"/>
          <w:caps w:val="0"/>
          <w:noProof/>
          <w:color w:val="000000"/>
          <w:sz w:val="28"/>
          <w:szCs w:val="28"/>
          <w:lang w:eastAsia="ru-RU"/>
        </w:rPr>
      </w:pPr>
      <w:r w:rsidRPr="00D728B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2. Учёт расчётов аккредитивами</w:t>
      </w:r>
      <w:r w:rsidRPr="00253E93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480789" w:rsidRPr="00253E93">
        <w:rPr>
          <w:rFonts w:ascii="Times New Roman" w:hAnsi="Times New Roman"/>
          <w:noProof/>
          <w:webHidden/>
          <w:color w:val="000000"/>
          <w:sz w:val="28"/>
          <w:szCs w:val="28"/>
        </w:rPr>
        <w:t>11</w:t>
      </w:r>
    </w:p>
    <w:p w:rsidR="00EC2D97" w:rsidRPr="00253E93" w:rsidRDefault="00EC2D97" w:rsidP="00253E93">
      <w:pPr>
        <w:pStyle w:val="11"/>
        <w:tabs>
          <w:tab w:val="right" w:leader="dot" w:pos="9344"/>
        </w:tabs>
        <w:jc w:val="both"/>
        <w:rPr>
          <w:rFonts w:ascii="Times New Roman" w:hAnsi="Times New Roman"/>
          <w:bCs w:val="0"/>
          <w:caps w:val="0"/>
          <w:noProof/>
          <w:color w:val="000000"/>
          <w:sz w:val="28"/>
          <w:szCs w:val="28"/>
          <w:lang w:eastAsia="ru-RU"/>
        </w:rPr>
      </w:pPr>
      <w:r w:rsidRPr="00D728B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Заключение</w:t>
      </w:r>
      <w:r w:rsidRPr="00253E93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480789" w:rsidRPr="00253E93">
        <w:rPr>
          <w:rFonts w:ascii="Times New Roman" w:hAnsi="Times New Roman"/>
          <w:noProof/>
          <w:webHidden/>
          <w:color w:val="000000"/>
          <w:sz w:val="28"/>
          <w:szCs w:val="28"/>
        </w:rPr>
        <w:t>14</w:t>
      </w:r>
    </w:p>
    <w:p w:rsidR="00EC2D97" w:rsidRPr="00253E93" w:rsidRDefault="00EC2D97" w:rsidP="00253E93">
      <w:pPr>
        <w:pStyle w:val="11"/>
        <w:tabs>
          <w:tab w:val="right" w:leader="dot" w:pos="9344"/>
        </w:tabs>
        <w:jc w:val="both"/>
        <w:rPr>
          <w:rFonts w:ascii="Times New Roman" w:hAnsi="Times New Roman"/>
          <w:bCs w:val="0"/>
          <w:caps w:val="0"/>
          <w:noProof/>
          <w:color w:val="000000"/>
          <w:sz w:val="28"/>
          <w:szCs w:val="28"/>
          <w:lang w:eastAsia="ru-RU"/>
        </w:rPr>
      </w:pPr>
      <w:r w:rsidRPr="00D728B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Список литературы</w:t>
      </w:r>
      <w:r w:rsidRPr="00253E93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480789" w:rsidRPr="00253E93">
        <w:rPr>
          <w:rFonts w:ascii="Times New Roman" w:hAnsi="Times New Roman"/>
          <w:noProof/>
          <w:webHidden/>
          <w:color w:val="000000"/>
          <w:sz w:val="28"/>
          <w:szCs w:val="28"/>
        </w:rPr>
        <w:t>15</w:t>
      </w:r>
    </w:p>
    <w:p w:rsidR="00BC2621" w:rsidRPr="00253E93" w:rsidRDefault="00253E93" w:rsidP="00253E93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bookmarkStart w:id="0" w:name="_Toc199773970"/>
      <w:r w:rsidR="00BC2621" w:rsidRPr="00253E93">
        <w:rPr>
          <w:rFonts w:ascii="Times New Roman" w:hAnsi="Times New Roman"/>
          <w:b/>
          <w:sz w:val="28"/>
          <w:szCs w:val="28"/>
        </w:rPr>
        <w:t>Введение</w:t>
      </w:r>
      <w:bookmarkEnd w:id="0"/>
    </w:p>
    <w:p w:rsidR="00F82D53" w:rsidRPr="00253E93" w:rsidRDefault="00F82D53" w:rsidP="00253E93">
      <w:pPr>
        <w:rPr>
          <w:rFonts w:ascii="Times New Roman" w:hAnsi="Times New Roman"/>
          <w:color w:val="000000"/>
          <w:sz w:val="28"/>
          <w:szCs w:val="28"/>
        </w:rPr>
      </w:pPr>
    </w:p>
    <w:p w:rsidR="002E321F" w:rsidRPr="00253E93" w:rsidRDefault="002E321F" w:rsidP="00253E93">
      <w:pPr>
        <w:pStyle w:val="4"/>
        <w:keepNext w:val="0"/>
        <w:keepLines w:val="0"/>
        <w:widowControl w:val="0"/>
        <w:spacing w:before="0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253E93">
        <w:rPr>
          <w:rFonts w:ascii="Times New Roman" w:hAnsi="Times New Roman"/>
          <w:b w:val="0"/>
          <w:i w:val="0"/>
          <w:color w:val="000000"/>
          <w:sz w:val="28"/>
          <w:szCs w:val="28"/>
        </w:rPr>
        <w:t>Перед каждым субъектом хозяйствования, заключающим внешнеэкономическую сделку, связанную с исполнением либо принятием исполнения денежного обязательства, стоит проблема выбора метода платежа. Понятие метода платежа</w:t>
      </w:r>
      <w:r w:rsidR="00E60474" w:rsidRPr="00253E93">
        <w:rPr>
          <w:rFonts w:ascii="Times New Roman" w:hAnsi="Times New Roman"/>
          <w:b w:val="0"/>
          <w:i w:val="0"/>
          <w:color w:val="000000"/>
          <w:sz w:val="28"/>
          <w:szCs w:val="28"/>
        </w:rPr>
        <w:t>,</w:t>
      </w:r>
      <w:r w:rsidRPr="00253E9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сложившееся в международной торговле, является более широким и более комплексным, нежели используемое в отечественном финансовом праве понятие формы расчетов. Если последнее охватывает лишь формально-юридические стороны расчетной операции (права и обязанности сторон, форма документооборота), то метод платежа наряду с ним включает также экономическую сторону внешнеторговой операции. В результате объединения правовых и экономических критериев все методы платежа в международной торговле возможно выстроить в виде определенной парадигмы, на крайних полюсах которой находятся методы платежа, максимально выгодные для одной из сторон в ущерб интересам другой, а ближе к центру </w:t>
      </w:r>
      <w:r w:rsidR="00E60474" w:rsidRPr="00253E93">
        <w:rPr>
          <w:rFonts w:ascii="Times New Roman" w:hAnsi="Times New Roman"/>
          <w:b w:val="0"/>
          <w:i w:val="0"/>
          <w:color w:val="000000"/>
          <w:sz w:val="28"/>
          <w:szCs w:val="28"/>
        </w:rPr>
        <w:t>―</w:t>
      </w:r>
      <w:r w:rsidRPr="00253E9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те, которые более уравновешивают баланс интересов покупателя (плательщика) и продавца (получателя средств). Один из таких методов платежа </w:t>
      </w:r>
      <w:r w:rsidR="00E60474" w:rsidRPr="00253E9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― </w:t>
      </w:r>
      <w:r w:rsidRPr="00253E93">
        <w:rPr>
          <w:rFonts w:ascii="Times New Roman" w:hAnsi="Times New Roman"/>
          <w:b w:val="0"/>
          <w:i w:val="0"/>
          <w:color w:val="000000"/>
          <w:sz w:val="28"/>
          <w:szCs w:val="28"/>
        </w:rPr>
        <w:t>аккредитив.</w:t>
      </w:r>
    </w:p>
    <w:p w:rsidR="00A94FDE" w:rsidRPr="00253E93" w:rsidRDefault="00A94FDE" w:rsidP="00253E93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E93">
        <w:rPr>
          <w:color w:val="000000"/>
          <w:sz w:val="28"/>
          <w:szCs w:val="28"/>
        </w:rPr>
        <w:t>Аккредитив — наиболее актуальный на сегодняшний день банковский продукт, обеспечивающий качественное и безопасное ведение бизнеса.</w:t>
      </w:r>
    </w:p>
    <w:p w:rsidR="00A94FDE" w:rsidRPr="00253E93" w:rsidRDefault="00A94FDE" w:rsidP="00253E93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E93">
        <w:rPr>
          <w:color w:val="000000"/>
          <w:sz w:val="28"/>
          <w:szCs w:val="28"/>
        </w:rPr>
        <w:t> При расчетах в форме аккредитива речь идет об обязательстве банка платить продавцу товара или услуг определенную сумму при своевременном предоставлении соответствующих документов, подтверждающих отправку товара или выполнение услуг.</w:t>
      </w:r>
    </w:p>
    <w:p w:rsidR="00A94FDE" w:rsidRPr="00253E93" w:rsidRDefault="00A94FDE" w:rsidP="00253E93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E93">
        <w:rPr>
          <w:color w:val="000000"/>
          <w:sz w:val="28"/>
          <w:szCs w:val="28"/>
        </w:rPr>
        <w:t> В ходе выполнения аккредитивной операции к документам предъявляются строгие требования.</w:t>
      </w:r>
    </w:p>
    <w:p w:rsidR="00E60474" w:rsidRPr="00253E93" w:rsidRDefault="00E60474" w:rsidP="00253E93">
      <w:pPr>
        <w:pStyle w:val="4"/>
        <w:keepNext w:val="0"/>
        <w:keepLines w:val="0"/>
        <w:widowControl w:val="0"/>
        <w:spacing w:before="0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253E93">
        <w:rPr>
          <w:rFonts w:ascii="Times New Roman" w:hAnsi="Times New Roman"/>
          <w:b w:val="0"/>
          <w:i w:val="0"/>
          <w:color w:val="000000"/>
          <w:sz w:val="28"/>
          <w:szCs w:val="28"/>
        </w:rPr>
        <w:t>В этой работе будет рассмотрена сама аккредитивная система, чтобы можно было понять как функционирует этот безналичный платёж. А также все его виды и формы, которые существуют на данный момент.</w:t>
      </w:r>
    </w:p>
    <w:p w:rsidR="002E321F" w:rsidRPr="001E16AA" w:rsidRDefault="001E16AA" w:rsidP="001E16AA">
      <w:pPr>
        <w:pStyle w:val="4"/>
        <w:keepNext w:val="0"/>
        <w:keepLines w:val="0"/>
        <w:widowControl w:val="0"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br w:type="page"/>
      </w:r>
      <w:bookmarkStart w:id="1" w:name="_Toc199773971"/>
      <w:r w:rsidR="00A94FDE" w:rsidRPr="001E16AA">
        <w:rPr>
          <w:rFonts w:ascii="Times New Roman" w:hAnsi="Times New Roman"/>
          <w:i w:val="0"/>
          <w:color w:val="auto"/>
          <w:sz w:val="28"/>
          <w:szCs w:val="28"/>
        </w:rPr>
        <w:t>1. Сущность и формы аккредитивов</w:t>
      </w:r>
      <w:bookmarkEnd w:id="1"/>
    </w:p>
    <w:p w:rsidR="00F82D53" w:rsidRPr="001E16AA" w:rsidRDefault="00F82D53" w:rsidP="00253E93">
      <w:pPr>
        <w:rPr>
          <w:rFonts w:ascii="Times New Roman" w:hAnsi="Times New Roman"/>
          <w:color w:val="000000"/>
          <w:sz w:val="28"/>
          <w:szCs w:val="28"/>
        </w:rPr>
      </w:pPr>
    </w:p>
    <w:p w:rsidR="002E321F" w:rsidRPr="00253E93" w:rsidRDefault="002E321F" w:rsidP="00253E93">
      <w:pPr>
        <w:pStyle w:val="4"/>
        <w:keepNext w:val="0"/>
        <w:keepLines w:val="0"/>
        <w:widowControl w:val="0"/>
        <w:spacing w:before="0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253E93">
        <w:rPr>
          <w:rFonts w:ascii="Times New Roman" w:hAnsi="Times New Roman"/>
          <w:b w:val="0"/>
          <w:i w:val="0"/>
          <w:color w:val="000000"/>
          <w:sz w:val="28"/>
          <w:szCs w:val="28"/>
        </w:rPr>
        <w:t>Понятие аккредитив употребляется в широком и узком значении термина. В узком смысле (как форма безналичных расчетов и как определенное юридическое понятие) аккредитив представляет собой условное обязательства банка осуществить платеж третьему лицу (бенефициару), выданное по поручению клиента и на указанных им условиях</w:t>
      </w:r>
      <w:r w:rsidR="00340B78" w:rsidRPr="00253E93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  <w:vertAlign w:val="superscript"/>
        </w:rPr>
        <w:footnoteReference w:id="1"/>
      </w:r>
      <w:r w:rsidRPr="00253E93">
        <w:rPr>
          <w:rFonts w:ascii="Times New Roman" w:hAnsi="Times New Roman"/>
          <w:b w:val="0"/>
          <w:i w:val="0"/>
          <w:color w:val="000000"/>
          <w:sz w:val="28"/>
          <w:szCs w:val="28"/>
        </w:rPr>
        <w:t>. Условием вступления обязательств в силу является предъявление бенефициаром надлежащих документов, указанных в условиях аккредитива и ранее определенных клиентом в заявлении на открытие аккредитива. В широком смысле (как метод платежа) аккредитив охватывает весь комплекс взаимоотношений сторон внешнеэкономической сделки: продавца и покупателя (либо сторон иного основного договора, лежащего в основании аккредитива, например, подрядчика и заказчика), банка-эмитента, авизирующего банка, рамбурсирующего банка, а также перевозчиков, страховой компании и т.д. С правовой точки зрения помимо одностороннего обязательства банка-эмитента аккредитив рассматривается как объемный комплекс договорных отношений между другими участниками операции, вытекающих из договора банковского счета и заявления клиента об открытии аккредитива, договора об установлении корреспондентских отношений между банками, кредитного договора (если кредит открывается за счет заемных средств), договора купли-продажи или иного договора, лежащего в основании открытия аккредитива и др.</w:t>
      </w:r>
    </w:p>
    <w:p w:rsidR="002E321F" w:rsidRPr="00253E93" w:rsidRDefault="002E321F" w:rsidP="00253E93">
      <w:pPr>
        <w:pStyle w:val="4"/>
        <w:keepNext w:val="0"/>
        <w:keepLines w:val="0"/>
        <w:widowControl w:val="0"/>
        <w:spacing w:before="0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253E9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Использование аккредитивной формы расчетов открывает широкие возможности для финансирования одной из сторон основного договора, как путем использования коммерческого, так и банковского кредита. Коммерческий кредит покупателю может предоставляться с использованием аккредитивов с рассрочкой платежа. Банковский кредит покупателю имеет место при открытии аккредитивов за счет банка и непокрытых аккредитивов, а также в различных видах акцептных кредитов. </w:t>
      </w:r>
    </w:p>
    <w:p w:rsidR="002E321F" w:rsidRPr="00253E93" w:rsidRDefault="002E321F" w:rsidP="00253E93">
      <w:pPr>
        <w:pStyle w:val="4"/>
        <w:keepNext w:val="0"/>
        <w:keepLines w:val="0"/>
        <w:widowControl w:val="0"/>
        <w:spacing w:before="0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253E93">
        <w:rPr>
          <w:rFonts w:ascii="Times New Roman" w:hAnsi="Times New Roman"/>
          <w:b w:val="0"/>
          <w:i w:val="0"/>
          <w:color w:val="000000"/>
          <w:sz w:val="28"/>
          <w:szCs w:val="28"/>
        </w:rPr>
        <w:t>Исторически первичной формой аккредитива были кредитные письма, появившиеся в средние века как простейшая форма перевода денег для дальнейшего получения в другом месте. Отправляясь в дорогу, путешественник, не желая подвергаться риску утраты суммы, сдавал ее своему банкиру, который взамен предоставлял ему кредитное письмо, дававшее право по прибытии обратиться к местному банкиру за получением означенной в кредитном письме суммы. В дальнейшем два банкира самостоятельно улаживали свои имущественные претензии друг к другу. Фактически аккредитив развился из той же исторической формы банковского документа, что и переводной вексель. Этим можно объяснить то</w:t>
      </w:r>
      <w:r w:rsidR="00E60474" w:rsidRPr="00253E93">
        <w:rPr>
          <w:rFonts w:ascii="Times New Roman" w:hAnsi="Times New Roman"/>
          <w:b w:val="0"/>
          <w:i w:val="0"/>
          <w:color w:val="000000"/>
          <w:sz w:val="28"/>
          <w:szCs w:val="28"/>
        </w:rPr>
        <w:t>,</w:t>
      </w:r>
      <w:r w:rsidRPr="00253E9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что различные на первый взгляд платежные документы имеют в своих чертах много общего. Аккредитивные письма в своей первоначальной функции (обслуживание неторговых операций физических лиц) встречаются и по сегодняшний день. </w:t>
      </w:r>
    </w:p>
    <w:p w:rsidR="003677AA" w:rsidRPr="00253E93" w:rsidRDefault="003677AA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Аккредитив представляет собой условное денежное обязательство, которое принимает банк (банк-эмитент) по поручению плательщика, произвести платежи в пользу получателя средств по предъявлении последним документов, соответствующих условиям аккредитива, или предоставить полномочия другому банку произвести такие платежи</w:t>
      </w:r>
      <w:r w:rsidR="00D966E2" w:rsidRPr="00253E93">
        <w:rPr>
          <w:rStyle w:val="a5"/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footnoteReference w:id="2"/>
      </w: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Покрытый (депонированный) аккредитив – аккредитив, при открытии которого банк-эмитент перечисляет за счет средств плательщика или предоставленного ему кредита сумму аккредитива (покрытие) в распоряжение исполняющего банка на весь срок действия аккредитива.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Непокрытый (гарантированный) аккредитив – аккредитив, при открытии которого банк-эмитент предоставляет исполняющему банку право списывать средства с ведущегося у него корреспондентского счета банка-эмитента в пределах суммы аккредитива, либо указывает в аккредитиве иной способ возмещения исполняющему банку сумм, выплаченных по аккредитиву в соответствии с его условиями.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списания денежных средств с корреспондентского счета банка-эмитента по непокрытому аккредитиву, а также порядок возмещения денежных средств банком-эмитентом исполняющему банку определяется соглашением между банками. Порядок возмещения денежных средств по непокрытому аккредитиву плательщиком банку-эмитенту определяется в договоре между плательщиком и банком-эмитентом.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Отзывный аккредитив может быть изменен или отменен банком-эмитентом без предварительного уведомления получателя средств.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Безотзывный аккредитив не может быть отменен без согласия получателя средств. 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аккредитива означает принятие исполняющим банком дополнительного к обязательству банка-эмитента обязательства произвести платеж в соответствии с условиями аккредитива.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Исполняющий банк, участвующий в проведении аккредитивной операции, может подтвердить безотзывный аккредитив по просьбе банка-эмитента. Безотзывный аккредитив, подтвержденный исполняющим банком, не может быть отменен или изменен без согласия исполняющего банка. </w:t>
      </w:r>
    </w:p>
    <w:p w:rsidR="00F21972" w:rsidRPr="00253E93" w:rsidRDefault="00F21972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Поставщик может досрочно отказаться от использования аккредитива, если это предусмотрено условиями аккредитива.</w:t>
      </w:r>
    </w:p>
    <w:p w:rsidR="00F21972" w:rsidRPr="00253E93" w:rsidRDefault="00F21972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Для открытия аккредитива плательщик представляет в обслуживающий его банк (банк – эмитент) заявление на соответствующем бланке.</w:t>
      </w:r>
    </w:p>
    <w:p w:rsidR="00F21972" w:rsidRPr="00253E93" w:rsidRDefault="00F21972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Плательщик в аккредитиве, заполняемом как и другие банковские документы на пишущей машинке, обязан кроме обычных реквизитов указать:</w:t>
      </w:r>
    </w:p>
    <w:p w:rsidR="00F21972" w:rsidRPr="00253E93" w:rsidRDefault="00F21972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вид аккредитива (при отсутствии – отзывный); </w:t>
      </w:r>
    </w:p>
    <w:p w:rsidR="00F21972" w:rsidRPr="00253E93" w:rsidRDefault="00F21972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условие оплаты (с акцептом или без него); </w:t>
      </w:r>
    </w:p>
    <w:p w:rsidR="00F21972" w:rsidRPr="00253E93" w:rsidRDefault="00F21972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номер счета в исполняющем банке для депонирования средств при покрытом аккредитиве; </w:t>
      </w:r>
    </w:p>
    <w:p w:rsidR="00F21972" w:rsidRPr="00253E93" w:rsidRDefault="00F21972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срок действия аккредитива (число и месяц закрытия аккредитива); </w:t>
      </w:r>
    </w:p>
    <w:p w:rsidR="00F21972" w:rsidRPr="00253E93" w:rsidRDefault="00F21972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- полное и точное наименование документов, против которых производятся выплаты по аккредитиву; наименование товаров (работ, услуг), для оплаты которых открывается аккредитив; номер и дату основного договора; срок отгрузки товаров или оказания услуг; грузополучателя и место назначения.</w:t>
      </w:r>
    </w:p>
    <w:p w:rsidR="00F21972" w:rsidRPr="00253E93" w:rsidRDefault="00F21972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Аккредитив представляется в количестве экземпляров, необходимых банку плательщика для выполнения его условий.</w:t>
      </w:r>
    </w:p>
    <w:p w:rsidR="00F21972" w:rsidRPr="00253E93" w:rsidRDefault="00F21972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Для получения средств по аккредитиву получатель средств (поставщик), отгрузив товары, представляет в пределах срока действия аккредитива реестр счетов, отгрузочные и другие предусмотренные условиями аккредитива документы в обслуживающий банк.</w:t>
      </w:r>
    </w:p>
    <w:p w:rsidR="00F21972" w:rsidRPr="00253E93" w:rsidRDefault="00F21972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При выплате по аккредитиву банк получателя средств (исполняющий банк) обязан проверить соблюдение поставщиком всех условий аккредитива, а также правильность оформления реестра счетов, соответствие подписей и печати поставщика на нем заявленным образцам.</w:t>
      </w:r>
    </w:p>
    <w:p w:rsidR="00F21972" w:rsidRPr="00253E93" w:rsidRDefault="00F21972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Если условиями аккредитива предусмотрен акцепт уполномоченного покупателя, то проверяется наличие акцептной надписи и соответствие подписи уполномоченного представленному им образцу.</w:t>
      </w:r>
    </w:p>
    <w:p w:rsidR="00F21972" w:rsidRPr="00253E93" w:rsidRDefault="00F21972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При этом уполномоченные лица обязаны представить исполняющему банку:</w:t>
      </w:r>
    </w:p>
    <w:p w:rsidR="00F21972" w:rsidRPr="00253E93" w:rsidRDefault="007D46FE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F21972"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паспорт или другой заменяющий его документ; </w:t>
      </w:r>
    </w:p>
    <w:p w:rsidR="00F21972" w:rsidRPr="00253E93" w:rsidRDefault="007D46FE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F21972"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образец своей подписи (проставляется в банке на карточке образцов подписей); </w:t>
      </w:r>
    </w:p>
    <w:p w:rsidR="00F21972" w:rsidRPr="00253E93" w:rsidRDefault="007D46FE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F21972" w:rsidRPr="00253E93">
        <w:rPr>
          <w:rFonts w:ascii="Times New Roman" w:hAnsi="Times New Roman"/>
          <w:color w:val="000000"/>
          <w:sz w:val="28"/>
          <w:szCs w:val="28"/>
          <w:lang w:eastAsia="ru-RU"/>
        </w:rPr>
        <w:t>доверенность, выданную организацией, открывшей аккредитив.</w:t>
      </w:r>
    </w:p>
    <w:p w:rsidR="00F21972" w:rsidRPr="00253E93" w:rsidRDefault="00F21972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Уполномоченный на осуществление акцепта представитель покупателя на реестрах счетов делает соответствующую надпись </w:t>
      </w:r>
      <w:r w:rsidR="007D46FE" w:rsidRPr="00253E9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закрепляет ее своей подписью с указанием даты акцепта.</w:t>
      </w:r>
    </w:p>
    <w:p w:rsidR="00F21972" w:rsidRPr="00253E93" w:rsidRDefault="00F21972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Не принимаются к оплате реестры счетов без указания в них даты отгрузки, номеров товарно-транспортных документов, номеров почтовых квитанций при отправке товара через предприятия связи, номеров или дат приемо – сдаточных документов и вида транспорта, которым отправлен груз при приеме товара представителем покупателя на месте у поставщика.</w:t>
      </w:r>
    </w:p>
    <w:p w:rsidR="00F21972" w:rsidRPr="00253E93" w:rsidRDefault="00F21972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Реестр счетов представляется поставщиком банку в четырех экземплярах, из которых первый экземпляр используется в качестве основания для списания, четвертый выдается получателю средств в качестве расписки в приеме реестра счетов, а второй с приложением товарно-транспортных документов и иных требуемых условиями аккредитива документов, а также третий экземпляр отсылаются банку – эмитенту для вручения плательщику.</w:t>
      </w:r>
    </w:p>
    <w:p w:rsidR="00F21972" w:rsidRPr="00253E93" w:rsidRDefault="00F21972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Закрытие аккредитива в исполняющем банке производится:</w:t>
      </w:r>
    </w:p>
    <w:p w:rsidR="00F21972" w:rsidRPr="00253E93" w:rsidRDefault="007D46FE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F21972"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истечении срока аккредитива; </w:t>
      </w:r>
    </w:p>
    <w:p w:rsidR="00F21972" w:rsidRPr="00253E93" w:rsidRDefault="007D46FE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F21972"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заявлению получателя средств об отказе от дальнейшего использования аккредитива до истечения срока (если такая возможность предусмотрена условиями аккредитива). При этом банку – эмитенту посылается уведомление исполняющим банком; </w:t>
      </w:r>
    </w:p>
    <w:p w:rsidR="001E16AA" w:rsidRDefault="007D46FE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F21972" w:rsidRPr="00253E93">
        <w:rPr>
          <w:rFonts w:ascii="Times New Roman" w:hAnsi="Times New Roman"/>
          <w:color w:val="000000"/>
          <w:sz w:val="28"/>
          <w:szCs w:val="28"/>
          <w:lang w:eastAsia="ru-RU"/>
        </w:rPr>
        <w:t>по распоряжению плательщика о полном или частичном отзыве аккредитива (если это предусмотрено условиями аккредитива), о чем посылается сообщение банку – эмитенту.</w:t>
      </w:r>
    </w:p>
    <w:p w:rsidR="00A609A8" w:rsidRDefault="00A609A8" w:rsidP="001E16AA">
      <w:pPr>
        <w:widowControl w:val="0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bookmarkStart w:id="2" w:name="_Toc199773972"/>
    </w:p>
    <w:p w:rsidR="003677AA" w:rsidRPr="001E16AA" w:rsidRDefault="00A94FDE" w:rsidP="001E16AA">
      <w:pPr>
        <w:widowControl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16AA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="003677AA" w:rsidRPr="001E16AA">
        <w:rPr>
          <w:rFonts w:ascii="Times New Roman" w:hAnsi="Times New Roman"/>
          <w:b/>
          <w:sz w:val="28"/>
          <w:szCs w:val="28"/>
          <w:lang w:eastAsia="ru-RU"/>
        </w:rPr>
        <w:t xml:space="preserve">Нормативная база </w:t>
      </w:r>
      <w:r w:rsidRPr="001E16AA">
        <w:rPr>
          <w:rFonts w:ascii="Times New Roman" w:hAnsi="Times New Roman"/>
          <w:b/>
          <w:sz w:val="28"/>
          <w:szCs w:val="28"/>
          <w:lang w:eastAsia="ru-RU"/>
        </w:rPr>
        <w:t>операций с аккредитивами</w:t>
      </w:r>
      <w:bookmarkEnd w:id="2"/>
    </w:p>
    <w:p w:rsidR="00F82D53" w:rsidRPr="00253E93" w:rsidRDefault="00F82D53" w:rsidP="00253E93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00FD4" w:rsidRPr="00253E93" w:rsidRDefault="00500FD4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Операции с аккредитивами регулируются следующими нормативными документами.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1. Гражданский кодекс Российской Федерации (часть вторая).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Унифицированные Правила </w:t>
      </w:r>
      <w:r w:rsidRPr="00253E93">
        <w:rPr>
          <w:rFonts w:ascii="Times New Roman" w:hAnsi="Times New Roman"/>
          <w:color w:val="000000"/>
          <w:sz w:val="28"/>
          <w:szCs w:val="28"/>
          <w:lang w:val="en-US" w:eastAsia="ru-RU"/>
        </w:rPr>
        <w:t>ICC</w:t>
      </w: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Межбанковского Рамбурсирования по Документарным аккредитивам (</w:t>
      </w:r>
      <w:r w:rsidRPr="00253E93">
        <w:rPr>
          <w:rFonts w:ascii="Times New Roman" w:hAnsi="Times New Roman"/>
          <w:color w:val="000000"/>
          <w:sz w:val="28"/>
          <w:szCs w:val="28"/>
          <w:lang w:val="en-US" w:eastAsia="ru-RU"/>
        </w:rPr>
        <w:t>URR</w:t>
      </w: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525).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Унифицированные правила и обычаи для документарных аккредитивов (публикация Международной торговой палаты № 500).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4. Положение ЦБ РФ от 03.10.2002 г. № 2-П «О безналичных расчетах в Российской Федерации».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Приказ Минфина РФ от 31.10.2000 г. № 94н «Об утверждении плана счетов бухгалтерского учета финансово-хозяйственной деятельности организаций и инструкции по его применению».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" w:name="положение_2_П"/>
      <w:bookmarkEnd w:id="3"/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6. Положение ЦБ РФ от 01.04.2003 г. № 222-П «О порядке осуществления безналичных расчетов физическими лицами в Российской Федерации».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7. Письмо ЦБ РФ от 24 августа 2004 г. № 36-3/1643 «О расчетах по аккредитиву».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8. Информационное письмо Президиума ВАС РФ от 15 января 1999 г. № 39 «Обзор практики рассмотрения споров, связанных с использованием аккредитивной и инкассовой форм расчетов».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9. Положение ЦБ РФ от 05.12.2002 г. № 205-П «О правилах ведения бухгалтерского учета в кредитных организациях, расположенных на территории Российской Федерации».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банковским правилам можно отнести Положения Банка России № 2-П, 222-П и 205-П. При этом следует отметить, что: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- Положение ЦБ РФ от 3 октября 2002 г.  № 2-П «О безналичных расчетах в Российской Федерации» регулирует осуществление безналичных расчетов между юридическими лицами в валюте Российской Федерации и на ее территории в формах, предусмотренных законодательством, определяет форматы, порядок заполнения и оформления используемых расчетных документов;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Положение ЦБ РФ от 1 апреля 2003 г. № 222-П «О порядке осуществления безналичных расчетов физическими лицами в Российской Федерации» регулирует осуществление безналичных расчетов физическими лицами в валюте Российской Федерации на территории Российской Федерации по банковским счетам либо без открытия банковского счета.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сфера правового регулирования данных актов не распространяется на расчеты по аккредитивам с участием нерезидентов, которые, как правило, осуществляются в валюте, отличной от валюты РФ, и, как правило, за ее пределами. </w:t>
      </w:r>
    </w:p>
    <w:p w:rsidR="00F71297" w:rsidRPr="006B2598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Гражданский кодекс дает лишь общий понятийный аппарат (понятие, классификация и т.п.). Вся техническая регламентация расчетов по аккредитивам (документы и документооборот, основы бухгалтерского учета, порядок действия участников расчетов по аккредитивам и т.п.) содержится в Положениях № 2-П и 222-П. В условиях неприменимости Положений Банка России (для регулирования внешних расчетов) </w:t>
      </w:r>
      <w:r w:rsidRPr="00253E93">
        <w:rPr>
          <w:rFonts w:ascii="Times New Roman" w:hAnsi="Times New Roman"/>
          <w:color w:val="000000"/>
          <w:sz w:val="28"/>
          <w:szCs w:val="28"/>
          <w:lang w:val="en-US" w:eastAsia="ru-RU"/>
        </w:rPr>
        <w:t>UCP</w:t>
      </w: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500 дает достаточно полную техническую регламентацию.</w:t>
      </w:r>
    </w:p>
    <w:p w:rsidR="00A609A8" w:rsidRDefault="00A609A8" w:rsidP="00F71297">
      <w:pPr>
        <w:widowControl w:val="0"/>
        <w:jc w:val="center"/>
        <w:textAlignment w:val="top"/>
        <w:rPr>
          <w:rFonts w:ascii="Times New Roman" w:hAnsi="Times New Roman"/>
          <w:b/>
          <w:sz w:val="28"/>
          <w:szCs w:val="28"/>
          <w:lang w:val="en-US" w:eastAsia="ru-RU"/>
        </w:rPr>
      </w:pPr>
      <w:bookmarkStart w:id="4" w:name="_Toc199773973"/>
    </w:p>
    <w:p w:rsidR="003677AA" w:rsidRPr="006B2598" w:rsidRDefault="00F71297" w:rsidP="00F71297">
      <w:pPr>
        <w:widowControl w:val="0"/>
        <w:jc w:val="center"/>
        <w:textAlignment w:val="top"/>
        <w:rPr>
          <w:rFonts w:ascii="Times New Roman" w:hAnsi="Times New Roman"/>
          <w:b/>
          <w:sz w:val="28"/>
          <w:szCs w:val="28"/>
          <w:lang w:eastAsia="ru-RU"/>
        </w:rPr>
      </w:pPr>
      <w:r w:rsidRPr="006B2598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500FD4" w:rsidRPr="00F7129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A94FDE" w:rsidRPr="00F71297">
        <w:rPr>
          <w:rFonts w:ascii="Times New Roman" w:hAnsi="Times New Roman"/>
          <w:b/>
          <w:sz w:val="28"/>
          <w:szCs w:val="28"/>
          <w:lang w:eastAsia="ru-RU"/>
        </w:rPr>
        <w:t>Учёт расчётов аккредитивами</w:t>
      </w:r>
      <w:bookmarkEnd w:id="4"/>
    </w:p>
    <w:p w:rsidR="00F71297" w:rsidRPr="006B2598" w:rsidRDefault="00F71297" w:rsidP="00F71297">
      <w:pPr>
        <w:widowControl w:val="0"/>
        <w:jc w:val="center"/>
        <w:textAlignment w:val="top"/>
        <w:rPr>
          <w:rFonts w:ascii="Times New Roman" w:hAnsi="Times New Roman"/>
          <w:b/>
          <w:sz w:val="28"/>
          <w:szCs w:val="28"/>
          <w:lang w:eastAsia="ru-RU"/>
        </w:rPr>
      </w:pP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253E93"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 xml:space="preserve">Счета по учету аккредитивов к оплате.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Суммы аккредитивов, открытых по поручениям покупателей для расчетов с поставщиками, учитываются на балансовых счетах 2-го порядка</w:t>
      </w:r>
      <w:r w:rsidR="00D14CAC" w:rsidRPr="00253E93">
        <w:rPr>
          <w:rStyle w:val="a5"/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footnoteReference w:id="3"/>
      </w: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3677AA" w:rsidRPr="00253E93" w:rsidRDefault="003677AA" w:rsidP="00253E93">
      <w:pPr>
        <w:widowControl w:val="0"/>
        <w:tabs>
          <w:tab w:val="left" w:pos="1134"/>
          <w:tab w:val="left" w:pos="1418"/>
        </w:tabs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-счет 40901 «Аккредитивы к оплате»;</w:t>
      </w:r>
    </w:p>
    <w:p w:rsidR="003677AA" w:rsidRPr="00253E93" w:rsidRDefault="003677AA" w:rsidP="00253E93">
      <w:pPr>
        <w:widowControl w:val="0"/>
        <w:tabs>
          <w:tab w:val="left" w:pos="1134"/>
          <w:tab w:val="left" w:pos="1418"/>
        </w:tabs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-счет 40902 «Аккредитивы к оплате по расчетам с нерезидентами».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Счета пассивные.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аналитическом учете ведутся лицевые счета по каждому аккредитиву.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кредиту счетов отражаются: </w:t>
      </w:r>
    </w:p>
    <w:p w:rsidR="003677AA" w:rsidRPr="00253E93" w:rsidRDefault="003677AA" w:rsidP="00253E93">
      <w:pPr>
        <w:widowControl w:val="0"/>
        <w:tabs>
          <w:tab w:val="num" w:pos="899"/>
        </w:tabs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-суммы открытых (поступивших) аккредитивов в корреспонденции с корреспондентскими счетами, счетами клиентов.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дебету счетов отражаются: </w:t>
      </w:r>
    </w:p>
    <w:p w:rsidR="003677AA" w:rsidRPr="00253E93" w:rsidRDefault="003677AA" w:rsidP="00253E93">
      <w:pPr>
        <w:widowControl w:val="0"/>
        <w:tabs>
          <w:tab w:val="num" w:pos="899"/>
        </w:tabs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-суммы, выплаченные за счет аккредитивов;</w:t>
      </w:r>
    </w:p>
    <w:p w:rsidR="003677AA" w:rsidRPr="00253E93" w:rsidRDefault="003677AA" w:rsidP="00253E93">
      <w:pPr>
        <w:widowControl w:val="0"/>
        <w:tabs>
          <w:tab w:val="num" w:pos="899"/>
        </w:tabs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-суммы, перечисляемые обратно на счета покупателей вследствие неиспользования, уменьшения или аннулирования аккредитивов, в корреспонденции со счетами поставщиков, корреспондентскими счетами.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Учет операций по аккредитивам по иностранным операциям, проводимым в соответствии с нормативными актами Банка России по вопросам организации и проведения расчетов, осуществляется на балансовых счетах 2-го порядка № 47409 «Обязательства по аккредитивам по иностранным операциям», № 47410 «Требования по аккредитивам по иностранным операциям»</w:t>
      </w:r>
      <w:r w:rsidR="00D966E2" w:rsidRPr="00253E93">
        <w:rPr>
          <w:rStyle w:val="a5"/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footnoteReference w:id="4"/>
      </w: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Счет 47409 - пассивный.  Счет 47410 – активный.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Аналитический учет ведется на лицевых счетах, открываемых по каждому банку, виду валюты, аккредитиву.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счете № 47409 учитываются: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- транзитные аккредитивы, исполняемые Банком по поручениям иностранных банков;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- кредиторы – иностранные банки по экспортным аккредитивам с покрытием выплат, то есть документарные аккредитивы, выставленные иностранными банками, по которым в момент их открытия Банком в России получено покрытие в полной сумме аккредитива;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- кредиторы – клиенты по импортным аккредитивам с покрытием выплат со счетов «НОСТРО» и на счете «ЛОРО»;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 импортным аккредитивам с покрытием выплат за счет краткосрочных и долгосрочных кредитов иностранных банков, за счет коммерческих кредитов.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По кредиту счета 47409 проводятся: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- суммы транзитных аккредитивов, исполняемых по поручениям иностранных банков-корреспондентов, банка в России;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- суммы иностранной валюты, зачисленные иностранными банками на счета банка в России «НОСТРО»;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- суммы, списанные по распоряжениям иностранных банков со счетов «ЛОРО» в покрытие открываемых им аккредитивов;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- суммы увеличений открытых аккредитивов;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- суммы, списываемые с расчетных или ссудных счетов организаций в покрытие открываемых по их поручениям импортных аккредитивов;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суммы на пополнение ранее открытых аккредитивов.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дебету счета 47409 отражаются: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- суммы выплат по использованным транзитным аккредитивам;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- суммы, выплачиваемые клиентам по экспортным аккредитивам;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- суммы, выплачиваемые по импортным аккредитивам;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суммы уменьшений или неиспользованные суммы аккредитивов, перечисляемые на счета клиентов.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Проводки осуществляются в корреспонденции с соответствующими счетами.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253E93"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 xml:space="preserve">Счета по учету выставленных аккредитивов.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Учет суммы выставленных аккредитивов по поручениям плательщиков для расчетов с поставщиками осуществляется на внебалансовых счетах № 90907 «Выставленные аккредитивы», 90908 «Выставленные аккредитивы для расчетов с нерезидентами».</w:t>
      </w:r>
      <w:r w:rsidR="00F82D53"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Счета активные. В аналитическом учете ведутся лицевые счета на каждый выставленный аккредитив.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По дебету счетов отражаются суммы выставленных аккредитивов (переведенных средств в банк поставщика) в корреспонденции со счетом № 99999.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По кредиту счетов отражаются: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- суммы произведенных выплат с аккредитива;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суммы изменения, закрытия или аннулирования аккредитива в корреспонденции со счетом № 99999.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Однако на практике используются и другие счета.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253E93"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Счет по учету выданных гарантий и поручительств.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Учет сумм гарантий по непокрытым (гарантированным) аккредитивам осуществляется банком-эмитентом на внебалансовом счете № 91404 «Выданные гарантии и поручительства».</w:t>
      </w:r>
      <w:r w:rsidR="005109E8"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Счет пассивный.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аналитическом учете ведутся лицевые счета по каждому аккредитиву.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Суммы со счета № 91404 списываются после оплаты гарантии, включая оплату за счет средств Банка.  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253E93"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Счета по учету полученных гарантий и поручительств.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Суммы поступивших от банка-эмитента непокрытых (гарантированных) аккредитивов учитываются на внебалансовом счете № 91305 «Полученные гарантии и поручительства». Счет активный.</w:t>
      </w:r>
    </w:p>
    <w:p w:rsidR="003677AA" w:rsidRPr="00253E93" w:rsidRDefault="003677AA" w:rsidP="00253E93">
      <w:pPr>
        <w:widowControl w:val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В аналитическом учете ведутся лицевые счета по каждому аккредитиву.</w:t>
      </w:r>
    </w:p>
    <w:p w:rsidR="00A94FDE" w:rsidRPr="006B2598" w:rsidRDefault="006A12C4" w:rsidP="006A12C4">
      <w:pPr>
        <w:pStyle w:val="1"/>
        <w:jc w:val="center"/>
        <w:rPr>
          <w:szCs w:val="28"/>
          <w:lang w:eastAsia="ru-RU"/>
        </w:rPr>
      </w:pPr>
      <w:bookmarkStart w:id="5" w:name="_Toc199773974"/>
      <w:r>
        <w:rPr>
          <w:szCs w:val="28"/>
          <w:lang w:eastAsia="ru-RU"/>
        </w:rPr>
        <w:br w:type="page"/>
      </w:r>
      <w:r w:rsidR="00A94FDE" w:rsidRPr="00253E93">
        <w:rPr>
          <w:szCs w:val="28"/>
          <w:lang w:eastAsia="ru-RU"/>
        </w:rPr>
        <w:t>Заключение</w:t>
      </w:r>
      <w:bookmarkEnd w:id="5"/>
    </w:p>
    <w:p w:rsidR="006A12C4" w:rsidRPr="006B2598" w:rsidRDefault="006A12C4" w:rsidP="006A12C4">
      <w:pPr>
        <w:rPr>
          <w:lang w:eastAsia="ru-RU"/>
        </w:rPr>
      </w:pPr>
    </w:p>
    <w:p w:rsidR="00A94FDE" w:rsidRPr="00253E93" w:rsidRDefault="00A94FDE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отличие от других форм безналичных расчетов аккредитивная форма гарантирует платеж поставщику либо за счет собственных средств покупателя, либо за счет средств банка (за счет ссуды, полученной плательщиком в банке — эмитенте). </w:t>
      </w:r>
    </w:p>
    <w:p w:rsidR="00A94FDE" w:rsidRPr="00253E93" w:rsidRDefault="00A94FDE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Положительной стороной аккредитивной формы расчетов является гарантия платежа при соблюдении всех </w:t>
      </w:r>
      <w:r w:rsidRPr="00253E93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основных правил осуществления расчетов</w:t>
      </w: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A94FDE" w:rsidRPr="00253E93" w:rsidRDefault="00A94FDE" w:rsidP="00253E93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оплата осуществляется после отгрузки товара; </w:t>
      </w:r>
    </w:p>
    <w:p w:rsidR="00A94FDE" w:rsidRPr="00253E93" w:rsidRDefault="00A94FDE" w:rsidP="00253E93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оплата производится с согласия плательщика, выраженного в данном случае самим фактом открытия аккредитива; </w:t>
      </w:r>
    </w:p>
    <w:p w:rsidR="00A94FDE" w:rsidRPr="00253E93" w:rsidRDefault="00A94FDE" w:rsidP="00253E93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плательщику предоставляется право отказаться от оплаты, если обнаружены нарушения условий договора; </w:t>
      </w:r>
    </w:p>
    <w:p w:rsidR="00A94FDE" w:rsidRPr="00253E93" w:rsidRDefault="00A94FDE" w:rsidP="00253E93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аккредитив открывается за счет средств покупателя или кредита Банка, если покупатель имеет право на его получение.</w:t>
      </w:r>
    </w:p>
    <w:p w:rsidR="00A94FDE" w:rsidRPr="00253E93" w:rsidRDefault="00A94FDE" w:rsidP="00253E93">
      <w:pPr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того, чтобы воспользоваться аккредитивной формой расчетов контрагентам </w:t>
      </w:r>
      <w:r w:rsidRPr="00253E93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необходимо указать в договоре поставки</w:t>
      </w: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(подряда, оказания услуг и т.д.) данную форму расчетов, а также: </w:t>
      </w:r>
    </w:p>
    <w:p w:rsidR="00A94FDE" w:rsidRPr="00253E93" w:rsidRDefault="00A94FDE" w:rsidP="00253E93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наименование Банка-эмитента и исполняющего Банка; </w:t>
      </w:r>
    </w:p>
    <w:p w:rsidR="00A94FDE" w:rsidRPr="00253E93" w:rsidRDefault="00A94FDE" w:rsidP="00253E93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вид аккредитива и форма его исполнения; </w:t>
      </w:r>
    </w:p>
    <w:p w:rsidR="00A94FDE" w:rsidRPr="00253E93" w:rsidRDefault="00A94FDE" w:rsidP="00253E93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 действия аккредитива, срок отгрузки товаров; </w:t>
      </w:r>
    </w:p>
    <w:p w:rsidR="00A94FDE" w:rsidRPr="00253E93" w:rsidRDefault="00A94FDE" w:rsidP="00253E93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способ извещения получателя средств об открытии аккредитива; </w:t>
      </w:r>
    </w:p>
    <w:p w:rsidR="00A94FDE" w:rsidRPr="00253E93" w:rsidRDefault="00A94FDE" w:rsidP="00253E93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полный перечень и точную характеристику документов, представляемых контрагентом для получения средств по аккредитиву; </w:t>
      </w:r>
    </w:p>
    <w:p w:rsidR="00A94FDE" w:rsidRPr="00253E93" w:rsidRDefault="00A94FDE" w:rsidP="00253E93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сроки представления документов после отгрузки товаров (оказанных услуг), требования к их оформлению; </w:t>
      </w:r>
    </w:p>
    <w:p w:rsidR="00A94FDE" w:rsidRPr="00253E93" w:rsidRDefault="00A94FDE" w:rsidP="00253E93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осуществление платежа по предъявлении документов или в установленный срок после их предъявления; </w:t>
      </w:r>
    </w:p>
    <w:p w:rsidR="00A94FDE" w:rsidRPr="006A12C4" w:rsidRDefault="00A94FDE" w:rsidP="00253E93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условия поставки, место отправки и место назначения товара; другие необходимые документы и условия.</w:t>
      </w:r>
    </w:p>
    <w:p w:rsidR="0030071F" w:rsidRPr="006A12C4" w:rsidRDefault="006A12C4" w:rsidP="006A12C4">
      <w:pPr>
        <w:widowControl w:val="0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2598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bookmarkStart w:id="6" w:name="_Toc199773975"/>
      <w:r w:rsidR="0030071F" w:rsidRPr="006A12C4">
        <w:rPr>
          <w:rFonts w:ascii="Times New Roman" w:hAnsi="Times New Roman"/>
          <w:b/>
          <w:sz w:val="28"/>
          <w:szCs w:val="28"/>
          <w:lang w:eastAsia="ru-RU"/>
        </w:rPr>
        <w:t>Список литературы</w:t>
      </w:r>
      <w:bookmarkEnd w:id="6"/>
    </w:p>
    <w:p w:rsidR="00A3187E" w:rsidRPr="00253E93" w:rsidRDefault="00A3187E" w:rsidP="00253E93">
      <w:pPr>
        <w:widowControl w:val="0"/>
        <w:tabs>
          <w:tab w:val="left" w:pos="567"/>
        </w:tabs>
        <w:rPr>
          <w:rFonts w:ascii="Times New Roman" w:hAnsi="Times New Roman"/>
          <w:color w:val="000000"/>
          <w:sz w:val="28"/>
          <w:szCs w:val="28"/>
        </w:rPr>
      </w:pPr>
    </w:p>
    <w:p w:rsidR="00A3187E" w:rsidRPr="00253E93" w:rsidRDefault="00A3187E" w:rsidP="006A12C4">
      <w:pPr>
        <w:pStyle w:val="ab"/>
        <w:widowControl w:val="0"/>
        <w:numPr>
          <w:ilvl w:val="0"/>
          <w:numId w:val="1"/>
        </w:numPr>
        <w:tabs>
          <w:tab w:val="left" w:pos="0"/>
        </w:tabs>
        <w:ind w:left="0" w:firstLine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Аллибуттаева Д.М. Виды аккредитивов в международной практике. // Банковское право. – 2004, № 2.</w:t>
      </w:r>
    </w:p>
    <w:p w:rsidR="00A3187E" w:rsidRPr="00253E93" w:rsidRDefault="00A3187E" w:rsidP="006A12C4">
      <w:pPr>
        <w:pStyle w:val="ab"/>
        <w:widowControl w:val="0"/>
        <w:numPr>
          <w:ilvl w:val="0"/>
          <w:numId w:val="1"/>
        </w:numPr>
        <w:tabs>
          <w:tab w:val="left" w:pos="0"/>
        </w:tabs>
        <w:ind w:left="0" w:firstLine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Гражданский кодекс ГК РФ (часть вторая).</w:t>
      </w:r>
    </w:p>
    <w:p w:rsidR="00A3187E" w:rsidRPr="00253E93" w:rsidRDefault="00A3187E" w:rsidP="006A12C4">
      <w:pPr>
        <w:pStyle w:val="ab"/>
        <w:widowControl w:val="0"/>
        <w:numPr>
          <w:ilvl w:val="0"/>
          <w:numId w:val="1"/>
        </w:numPr>
        <w:tabs>
          <w:tab w:val="left" w:pos="0"/>
        </w:tabs>
        <w:ind w:left="0" w:firstLine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Зеленов А.В. и др. Основные стадии развития практики применения документарных аккредитивов (правовые аспекты) // Банковское право. – 2004, № 3. </w:t>
      </w:r>
    </w:p>
    <w:p w:rsidR="00A3187E" w:rsidRPr="00253E93" w:rsidRDefault="00A3187E" w:rsidP="006A12C4">
      <w:pPr>
        <w:pStyle w:val="ab"/>
        <w:widowControl w:val="0"/>
        <w:numPr>
          <w:ilvl w:val="0"/>
          <w:numId w:val="1"/>
        </w:numPr>
        <w:tabs>
          <w:tab w:val="left" w:pos="0"/>
        </w:tabs>
        <w:ind w:left="0" w:firstLine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Комментарий к Гражданскому кодексу Российской Федерации, части второй (под ред. Т.Е. Абовой, А.Ю. Кабалкина). // Издательство "Юрайт", 2004.</w:t>
      </w:r>
    </w:p>
    <w:p w:rsidR="00340B78" w:rsidRPr="00253E93" w:rsidRDefault="00D14CAC" w:rsidP="006A12C4">
      <w:pPr>
        <w:pStyle w:val="ab"/>
        <w:widowControl w:val="0"/>
        <w:numPr>
          <w:ilvl w:val="0"/>
          <w:numId w:val="1"/>
        </w:numPr>
        <w:tabs>
          <w:tab w:val="left" w:pos="0"/>
        </w:tabs>
        <w:ind w:left="0" w:firstLine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Нижникова Г.П. Учёт расчётных операций в коммерческом банке. ― Воронеж, 2006.</w:t>
      </w:r>
    </w:p>
    <w:p w:rsidR="00D966E2" w:rsidRPr="00253E93" w:rsidRDefault="00D966E2" w:rsidP="006A12C4">
      <w:pPr>
        <w:pStyle w:val="ab"/>
        <w:widowControl w:val="0"/>
        <w:numPr>
          <w:ilvl w:val="0"/>
          <w:numId w:val="1"/>
        </w:numPr>
        <w:tabs>
          <w:tab w:val="left" w:pos="0"/>
        </w:tabs>
        <w:ind w:left="0" w:firstLine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Нижникова Г.П. Организация бухгалтерского учёта в коммерческом банке. ― Воронеж, 2006.</w:t>
      </w:r>
    </w:p>
    <w:p w:rsidR="00A3187E" w:rsidRPr="00253E93" w:rsidRDefault="00A3187E" w:rsidP="006A12C4">
      <w:pPr>
        <w:pStyle w:val="ab"/>
        <w:widowControl w:val="0"/>
        <w:numPr>
          <w:ilvl w:val="0"/>
          <w:numId w:val="1"/>
        </w:numPr>
        <w:tabs>
          <w:tab w:val="left" w:pos="0"/>
        </w:tabs>
        <w:ind w:left="0" w:firstLine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Положение ЦБ РФ от 01.04.2003 г. № 222-П «О порядке осуществления безналичных расчетов физическими лицами в Российской Федерации».</w:t>
      </w:r>
    </w:p>
    <w:p w:rsidR="00A3187E" w:rsidRPr="00253E93" w:rsidRDefault="00A3187E" w:rsidP="006A12C4">
      <w:pPr>
        <w:pStyle w:val="ab"/>
        <w:widowControl w:val="0"/>
        <w:numPr>
          <w:ilvl w:val="0"/>
          <w:numId w:val="1"/>
        </w:numPr>
        <w:tabs>
          <w:tab w:val="left" w:pos="0"/>
        </w:tabs>
        <w:ind w:left="0" w:firstLine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Положение ЦБ РФ от 03.10.02 г. № 2-П «О безналичных расчетах в Российской Федерации».</w:t>
      </w:r>
    </w:p>
    <w:p w:rsidR="00A3187E" w:rsidRPr="00253E93" w:rsidRDefault="00A3187E" w:rsidP="006A12C4">
      <w:pPr>
        <w:pStyle w:val="ab"/>
        <w:widowControl w:val="0"/>
        <w:numPr>
          <w:ilvl w:val="0"/>
          <w:numId w:val="1"/>
        </w:numPr>
        <w:tabs>
          <w:tab w:val="left" w:pos="0"/>
        </w:tabs>
        <w:ind w:left="0" w:firstLine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Положение ЦБ РФ от 05.12.2002 г. № 205-П «О правилах ведения бухгалтерского учета в кредитных организациях, расположенных на территории Российской Федерации».</w:t>
      </w:r>
    </w:p>
    <w:p w:rsidR="00A3187E" w:rsidRPr="00253E93" w:rsidRDefault="00A3187E" w:rsidP="006A12C4">
      <w:pPr>
        <w:pStyle w:val="ab"/>
        <w:widowControl w:val="0"/>
        <w:numPr>
          <w:ilvl w:val="0"/>
          <w:numId w:val="1"/>
        </w:numPr>
        <w:tabs>
          <w:tab w:val="left" w:pos="0"/>
        </w:tabs>
        <w:ind w:left="0" w:firstLine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bCs/>
          <w:color w:val="000000"/>
          <w:sz w:val="28"/>
          <w:szCs w:val="28"/>
        </w:rPr>
        <w:t xml:space="preserve">Посадская М. Расчеты аккредитивами юридических лиц в рублях на территории РФ. // </w:t>
      </w:r>
      <w:r w:rsidRPr="00D728BF">
        <w:rPr>
          <w:rFonts w:ascii="Times New Roman" w:hAnsi="Times New Roman"/>
          <w:bCs/>
          <w:color w:val="000000"/>
          <w:sz w:val="28"/>
          <w:szCs w:val="28"/>
        </w:rPr>
        <w:t>"Бухгалтерия и Банки"</w:t>
      </w:r>
      <w:r w:rsidRPr="00253E93">
        <w:rPr>
          <w:rFonts w:ascii="Times New Roman" w:hAnsi="Times New Roman"/>
          <w:bCs/>
          <w:color w:val="000000"/>
          <w:sz w:val="28"/>
          <w:szCs w:val="28"/>
        </w:rPr>
        <w:t xml:space="preserve"> №8, 2006.</w:t>
      </w:r>
    </w:p>
    <w:p w:rsidR="00A3187E" w:rsidRPr="00253E93" w:rsidRDefault="00A3187E" w:rsidP="006A12C4">
      <w:pPr>
        <w:pStyle w:val="ab"/>
        <w:widowControl w:val="0"/>
        <w:numPr>
          <w:ilvl w:val="0"/>
          <w:numId w:val="1"/>
        </w:numPr>
        <w:tabs>
          <w:tab w:val="left" w:pos="0"/>
        </w:tabs>
        <w:ind w:left="0" w:firstLine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bCs/>
          <w:color w:val="000000"/>
          <w:sz w:val="28"/>
          <w:szCs w:val="28"/>
        </w:rPr>
        <w:t xml:space="preserve">Посадская М. Расчеты документарными аккредитивами. Общие правила работы с аккредитивами в международной практике. </w:t>
      </w:r>
      <w:r w:rsidRPr="00253E93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Формы, виды и конструкции аккредитивов. // "Бухгалтерия и Банки" № 10, 2006.</w:t>
      </w: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3187E" w:rsidRPr="00253E93" w:rsidRDefault="00A3187E" w:rsidP="006A12C4">
      <w:pPr>
        <w:pStyle w:val="ab"/>
        <w:widowControl w:val="0"/>
        <w:numPr>
          <w:ilvl w:val="0"/>
          <w:numId w:val="1"/>
        </w:numPr>
        <w:tabs>
          <w:tab w:val="left" w:pos="0"/>
        </w:tabs>
        <w:ind w:left="0" w:firstLine="0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E93">
        <w:rPr>
          <w:rFonts w:ascii="Times New Roman" w:hAnsi="Times New Roman"/>
          <w:color w:val="000000"/>
          <w:sz w:val="28"/>
          <w:szCs w:val="28"/>
          <w:lang w:eastAsia="ru-RU"/>
        </w:rPr>
        <w:t>Сиземова О.Б. Некоторые вопросы международных расчетных правоотношений в условиях интернационализации банковской деятельности. // Банковское право. – 2004, № 2.</w:t>
      </w:r>
      <w:bookmarkStart w:id="7" w:name="_GoBack"/>
      <w:bookmarkEnd w:id="7"/>
    </w:p>
    <w:sectPr w:rsidR="00A3187E" w:rsidRPr="00253E93" w:rsidSect="00253E93">
      <w:head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F4E" w:rsidRDefault="00006F4E" w:rsidP="003677AA">
      <w:pPr>
        <w:spacing w:line="240" w:lineRule="auto"/>
      </w:pPr>
      <w:r>
        <w:separator/>
      </w:r>
    </w:p>
  </w:endnote>
  <w:endnote w:type="continuationSeparator" w:id="0">
    <w:p w:rsidR="00006F4E" w:rsidRDefault="00006F4E" w:rsidP="00367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F4E" w:rsidRDefault="00006F4E" w:rsidP="003677AA">
      <w:pPr>
        <w:spacing w:line="240" w:lineRule="auto"/>
      </w:pPr>
      <w:r>
        <w:separator/>
      </w:r>
    </w:p>
  </w:footnote>
  <w:footnote w:type="continuationSeparator" w:id="0">
    <w:p w:rsidR="00006F4E" w:rsidRDefault="00006F4E" w:rsidP="003677AA">
      <w:pPr>
        <w:spacing w:line="240" w:lineRule="auto"/>
      </w:pPr>
      <w:r>
        <w:continuationSeparator/>
      </w:r>
    </w:p>
  </w:footnote>
  <w:footnote w:id="1">
    <w:p w:rsidR="00006F4E" w:rsidRDefault="00340B78" w:rsidP="00340B78">
      <w:pPr>
        <w:widowControl w:val="0"/>
        <w:tabs>
          <w:tab w:val="left" w:pos="567"/>
        </w:tabs>
        <w:spacing w:line="240" w:lineRule="auto"/>
        <w:ind w:firstLine="0"/>
        <w:textAlignment w:val="top"/>
      </w:pPr>
      <w:r w:rsidRPr="00D966E2">
        <w:rPr>
          <w:rStyle w:val="a5"/>
          <w:rFonts w:ascii="Times New Roman" w:hAnsi="Times New Roman"/>
          <w:sz w:val="20"/>
          <w:szCs w:val="20"/>
          <w:vertAlign w:val="superscript"/>
        </w:rPr>
        <w:footnoteRef/>
      </w:r>
      <w:r w:rsidRPr="00340B78">
        <w:rPr>
          <w:rFonts w:ascii="Times New Roman" w:hAnsi="Times New Roman"/>
          <w:sz w:val="20"/>
          <w:szCs w:val="20"/>
        </w:rPr>
        <w:t xml:space="preserve"> </w:t>
      </w:r>
      <w:r w:rsidRPr="00340B78">
        <w:rPr>
          <w:rFonts w:ascii="Times New Roman" w:hAnsi="Times New Roman"/>
          <w:bCs/>
          <w:color w:val="000000"/>
          <w:sz w:val="20"/>
          <w:szCs w:val="20"/>
        </w:rPr>
        <w:t xml:space="preserve">Посадская М. Расчеты аккредитивами юридических лиц в рублях на территории РФ. // </w:t>
      </w:r>
      <w:r w:rsidRPr="00D728BF">
        <w:rPr>
          <w:rFonts w:ascii="Times New Roman" w:hAnsi="Times New Roman"/>
          <w:bCs/>
          <w:sz w:val="20"/>
          <w:szCs w:val="20"/>
        </w:rPr>
        <w:t>"Бухгалтерия и Банки"</w:t>
      </w:r>
      <w:r w:rsidRPr="00340B78">
        <w:rPr>
          <w:rFonts w:ascii="Times New Roman" w:hAnsi="Times New Roman"/>
          <w:bCs/>
          <w:color w:val="000000"/>
          <w:sz w:val="20"/>
          <w:szCs w:val="20"/>
        </w:rPr>
        <w:t xml:space="preserve"> №8, 2006.</w:t>
      </w:r>
    </w:p>
  </w:footnote>
  <w:footnote w:id="2">
    <w:p w:rsidR="00006F4E" w:rsidRDefault="00D966E2" w:rsidP="00D966E2">
      <w:pPr>
        <w:widowControl w:val="0"/>
        <w:tabs>
          <w:tab w:val="left" w:pos="567"/>
        </w:tabs>
        <w:spacing w:line="240" w:lineRule="auto"/>
        <w:ind w:firstLine="0"/>
        <w:textAlignment w:val="top"/>
      </w:pPr>
      <w:r w:rsidRPr="00D966E2">
        <w:rPr>
          <w:rStyle w:val="a5"/>
          <w:rFonts w:ascii="Times New Roman" w:hAnsi="Times New Roman"/>
          <w:sz w:val="20"/>
          <w:szCs w:val="20"/>
        </w:rPr>
        <w:footnoteRef/>
      </w:r>
      <w:r w:rsidRPr="00D966E2">
        <w:rPr>
          <w:rFonts w:ascii="Times New Roman" w:hAnsi="Times New Roman"/>
          <w:sz w:val="20"/>
          <w:szCs w:val="20"/>
        </w:rPr>
        <w:t xml:space="preserve"> </w:t>
      </w:r>
      <w:r w:rsidRPr="00D966E2">
        <w:rPr>
          <w:rFonts w:ascii="Times New Roman" w:hAnsi="Times New Roman"/>
          <w:bCs/>
          <w:color w:val="000000"/>
          <w:sz w:val="20"/>
          <w:szCs w:val="20"/>
        </w:rPr>
        <w:t xml:space="preserve">Посадская М. Расчеты документарными аккредитивами. Общие правила работы с аккредитивами в международной практике. </w:t>
      </w:r>
      <w:r w:rsidRPr="00D966E2">
        <w:rPr>
          <w:rFonts w:ascii="Times New Roman" w:hAnsi="Times New Roman"/>
          <w:bCs/>
          <w:color w:val="000000"/>
          <w:sz w:val="20"/>
          <w:szCs w:val="20"/>
          <w:lang w:eastAsia="ru-RU"/>
        </w:rPr>
        <w:t>Формы, виды и конструкции аккредитивов. // "Бухгалтерия и Банки" № 10, 2006.</w:t>
      </w:r>
      <w:r w:rsidRPr="00D966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</w:footnote>
  <w:footnote w:id="3">
    <w:p w:rsidR="00006F4E" w:rsidRDefault="00D14CAC" w:rsidP="00D966E2">
      <w:pPr>
        <w:widowControl w:val="0"/>
        <w:tabs>
          <w:tab w:val="left" w:pos="567"/>
        </w:tabs>
        <w:spacing w:line="240" w:lineRule="auto"/>
        <w:ind w:firstLine="0"/>
        <w:textAlignment w:val="top"/>
      </w:pPr>
      <w:r w:rsidRPr="00D966E2">
        <w:rPr>
          <w:rStyle w:val="a5"/>
          <w:rFonts w:ascii="Times New Roman" w:hAnsi="Times New Roman"/>
          <w:sz w:val="20"/>
          <w:szCs w:val="20"/>
          <w:vertAlign w:val="superscript"/>
        </w:rPr>
        <w:footnoteRef/>
      </w:r>
      <w:r w:rsidRPr="00D14CAC">
        <w:rPr>
          <w:rFonts w:ascii="Times New Roman" w:hAnsi="Times New Roman"/>
          <w:sz w:val="20"/>
          <w:szCs w:val="20"/>
        </w:rPr>
        <w:t xml:space="preserve"> </w:t>
      </w:r>
      <w:r w:rsidRPr="00D14CAC">
        <w:rPr>
          <w:rFonts w:ascii="Times New Roman" w:hAnsi="Times New Roman"/>
          <w:color w:val="000000"/>
          <w:sz w:val="20"/>
          <w:szCs w:val="20"/>
          <w:lang w:eastAsia="ru-RU"/>
        </w:rPr>
        <w:t>Нижникова Г.П. Учёт расчётных операций в коммерческом банке. ― Воронеж, 2006.</w:t>
      </w:r>
    </w:p>
  </w:footnote>
  <w:footnote w:id="4">
    <w:p w:rsidR="00D966E2" w:rsidRPr="00D966E2" w:rsidRDefault="00D966E2" w:rsidP="00D966E2">
      <w:pPr>
        <w:widowControl w:val="0"/>
        <w:tabs>
          <w:tab w:val="left" w:pos="567"/>
        </w:tabs>
        <w:spacing w:line="240" w:lineRule="auto"/>
        <w:ind w:firstLine="0"/>
        <w:textAlignment w:val="top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966E2">
        <w:rPr>
          <w:rStyle w:val="a5"/>
          <w:rFonts w:ascii="Times New Roman" w:hAnsi="Times New Roman"/>
          <w:sz w:val="20"/>
          <w:szCs w:val="20"/>
          <w:vertAlign w:val="superscript"/>
        </w:rPr>
        <w:footnoteRef/>
      </w:r>
      <w:r w:rsidRPr="00D966E2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D966E2">
        <w:rPr>
          <w:rFonts w:ascii="Times New Roman" w:hAnsi="Times New Roman"/>
          <w:color w:val="000000"/>
          <w:sz w:val="20"/>
          <w:szCs w:val="20"/>
          <w:lang w:eastAsia="ru-RU"/>
        </w:rPr>
        <w:t>Нижникова Г.П. Организация бухгалтерского учёта в коммерческом банке. ― Воронеж, 2006.</w:t>
      </w:r>
    </w:p>
    <w:p w:rsidR="00006F4E" w:rsidRDefault="00006F4E" w:rsidP="00D966E2">
      <w:pPr>
        <w:widowControl w:val="0"/>
        <w:tabs>
          <w:tab w:val="left" w:pos="567"/>
        </w:tabs>
        <w:spacing w:line="240" w:lineRule="auto"/>
        <w:ind w:firstLine="0"/>
        <w:textAlignment w:val="to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FDE" w:rsidRPr="003677AA" w:rsidRDefault="00D728BF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t>2</w:t>
    </w:r>
  </w:p>
  <w:p w:rsidR="00A94FDE" w:rsidRDefault="00A94F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>
        <v:imagedata r:id="rId1" o:title=""/>
      </v:shape>
    </w:pict>
  </w:numPicBullet>
  <w:numPicBullet w:numPicBulletId="1">
    <w:pict>
      <v:shape id="_x0000_i1031" type="#_x0000_t75" style="width:3in;height:3in" o:bullet="t">
        <v:imagedata r:id="rId2" o:title=""/>
      </v:shape>
    </w:pict>
  </w:numPicBullet>
  <w:numPicBullet w:numPicBulletId="2">
    <w:pict>
      <v:shape id="_x0000_i1032" type="#_x0000_t75" style="width:3in;height:3in" o:bullet="t">
        <v:imagedata r:id="rId3" o:title=""/>
      </v:shape>
    </w:pict>
  </w:numPicBullet>
  <w:abstractNum w:abstractNumId="0">
    <w:nsid w:val="02984248"/>
    <w:multiLevelType w:val="multilevel"/>
    <w:tmpl w:val="0FE6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E4784"/>
    <w:multiLevelType w:val="multilevel"/>
    <w:tmpl w:val="956E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913F5"/>
    <w:multiLevelType w:val="multilevel"/>
    <w:tmpl w:val="7ED6801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8467B"/>
    <w:multiLevelType w:val="multilevel"/>
    <w:tmpl w:val="5940812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929D6"/>
    <w:multiLevelType w:val="multilevel"/>
    <w:tmpl w:val="5F06C0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B548B"/>
    <w:multiLevelType w:val="hybridMultilevel"/>
    <w:tmpl w:val="BFC2F6CC"/>
    <w:lvl w:ilvl="0" w:tplc="7C86B9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CC9515A"/>
    <w:multiLevelType w:val="hybridMultilevel"/>
    <w:tmpl w:val="66147C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7AA"/>
    <w:rsid w:val="00006F4E"/>
    <w:rsid w:val="0003667A"/>
    <w:rsid w:val="00137A0D"/>
    <w:rsid w:val="00151871"/>
    <w:rsid w:val="001C5915"/>
    <w:rsid w:val="001E16AA"/>
    <w:rsid w:val="00253E93"/>
    <w:rsid w:val="002D0EE0"/>
    <w:rsid w:val="002E321F"/>
    <w:rsid w:val="0030071F"/>
    <w:rsid w:val="00340B78"/>
    <w:rsid w:val="003677AA"/>
    <w:rsid w:val="00451EDA"/>
    <w:rsid w:val="00463A30"/>
    <w:rsid w:val="00480789"/>
    <w:rsid w:val="00486E2E"/>
    <w:rsid w:val="00500FD4"/>
    <w:rsid w:val="005109E8"/>
    <w:rsid w:val="0065604B"/>
    <w:rsid w:val="00666990"/>
    <w:rsid w:val="006A12C4"/>
    <w:rsid w:val="006B2598"/>
    <w:rsid w:val="007976AC"/>
    <w:rsid w:val="007C067B"/>
    <w:rsid w:val="007D46FE"/>
    <w:rsid w:val="00952434"/>
    <w:rsid w:val="009D2736"/>
    <w:rsid w:val="00A30675"/>
    <w:rsid w:val="00A3187E"/>
    <w:rsid w:val="00A609A8"/>
    <w:rsid w:val="00A94FDE"/>
    <w:rsid w:val="00AB22E4"/>
    <w:rsid w:val="00AE51B0"/>
    <w:rsid w:val="00BC2621"/>
    <w:rsid w:val="00BC6378"/>
    <w:rsid w:val="00D14CAC"/>
    <w:rsid w:val="00D15C35"/>
    <w:rsid w:val="00D728BF"/>
    <w:rsid w:val="00D966E2"/>
    <w:rsid w:val="00E11863"/>
    <w:rsid w:val="00E142FD"/>
    <w:rsid w:val="00E60474"/>
    <w:rsid w:val="00EC2D97"/>
    <w:rsid w:val="00F024B0"/>
    <w:rsid w:val="00F17D96"/>
    <w:rsid w:val="00F21972"/>
    <w:rsid w:val="00F71297"/>
    <w:rsid w:val="00F75805"/>
    <w:rsid w:val="00F82D53"/>
    <w:rsid w:val="00F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9ED34BFF-2E29-4947-91F2-625D651A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96"/>
    <w:pPr>
      <w:spacing w:line="360" w:lineRule="auto"/>
      <w:ind w:firstLine="709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976AC"/>
    <w:pPr>
      <w:widowControl w:val="0"/>
      <w:autoSpaceDE w:val="0"/>
      <w:autoSpaceDN w:val="0"/>
      <w:adjustRightInd w:val="0"/>
      <w:outlineLvl w:val="0"/>
    </w:pPr>
    <w:rPr>
      <w:rFonts w:ascii="Times New Roman" w:hAnsi="Times New Roman"/>
      <w:b/>
      <w:bCs/>
      <w:color w:val="00000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24B0"/>
    <w:pPr>
      <w:widowControl w:val="0"/>
      <w:spacing w:before="240" w:after="60"/>
      <w:outlineLvl w:val="1"/>
    </w:pPr>
    <w:rPr>
      <w:rFonts w:ascii="Times New Roman" w:hAnsi="Times New Roman"/>
      <w:b/>
      <w:bCs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321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976AC"/>
    <w:rPr>
      <w:rFonts w:ascii="Times New Roman" w:hAnsi="Times New Roman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024B0"/>
    <w:rPr>
      <w:rFonts w:ascii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40">
    <w:name w:val="Заголовок 4 Знак"/>
    <w:link w:val="4"/>
    <w:uiPriority w:val="9"/>
    <w:locked/>
    <w:rsid w:val="002E321F"/>
    <w:rPr>
      <w:rFonts w:ascii="Cambria" w:hAnsi="Cambria" w:cs="Times New Roman"/>
      <w:b/>
      <w:bCs/>
      <w:i/>
      <w:iCs/>
      <w:color w:val="4F81BD"/>
    </w:rPr>
  </w:style>
  <w:style w:type="character" w:styleId="a3">
    <w:name w:val="Hyperlink"/>
    <w:uiPriority w:val="99"/>
    <w:unhideWhenUsed/>
    <w:rsid w:val="003677AA"/>
    <w:rPr>
      <w:rFonts w:cs="Times New Roman"/>
      <w:color w:val="336699"/>
      <w:u w:val="single"/>
    </w:rPr>
  </w:style>
  <w:style w:type="character" w:styleId="a4">
    <w:name w:val="Strong"/>
    <w:uiPriority w:val="22"/>
    <w:qFormat/>
    <w:rsid w:val="003677AA"/>
    <w:rPr>
      <w:rFonts w:cs="Times New Roman"/>
      <w:b/>
      <w:bCs/>
    </w:rPr>
  </w:style>
  <w:style w:type="character" w:styleId="a5">
    <w:name w:val="footnote reference"/>
    <w:uiPriority w:val="99"/>
    <w:semiHidden/>
    <w:unhideWhenUsed/>
    <w:rsid w:val="003677AA"/>
    <w:rPr>
      <w:rFonts w:cs="Times New Roman"/>
    </w:rPr>
  </w:style>
  <w:style w:type="character" w:styleId="a6">
    <w:name w:val="Emphasis"/>
    <w:uiPriority w:val="20"/>
    <w:qFormat/>
    <w:rsid w:val="003677AA"/>
    <w:rPr>
      <w:rFonts w:cs="Times New Roman"/>
      <w:i/>
      <w:iCs/>
    </w:rPr>
  </w:style>
  <w:style w:type="paragraph" w:styleId="a7">
    <w:name w:val="header"/>
    <w:basedOn w:val="a"/>
    <w:link w:val="a8"/>
    <w:uiPriority w:val="99"/>
    <w:unhideWhenUsed/>
    <w:rsid w:val="003677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3677AA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3677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3677AA"/>
    <w:rPr>
      <w:rFonts w:cs="Times New Roman"/>
    </w:rPr>
  </w:style>
  <w:style w:type="paragraph" w:styleId="ab">
    <w:name w:val="List Paragraph"/>
    <w:basedOn w:val="a"/>
    <w:uiPriority w:val="34"/>
    <w:qFormat/>
    <w:rsid w:val="00486E2E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A94FD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C2D97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EC2D97"/>
    <w:pPr>
      <w:ind w:left="220"/>
      <w:jc w:val="left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C2D97"/>
    <w:pPr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EC2D97"/>
    <w:pPr>
      <w:ind w:left="66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C2D97"/>
    <w:pPr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C2D97"/>
    <w:pPr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C2D97"/>
    <w:pPr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C2D97"/>
    <w:pPr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C2D97"/>
    <w:pPr>
      <w:ind w:left="1760"/>
      <w:jc w:val="left"/>
    </w:pPr>
    <w:rPr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340B78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340B7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6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1448">
          <w:marLeft w:val="0"/>
          <w:marRight w:val="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81477">
              <w:marLeft w:val="101"/>
              <w:marRight w:val="0"/>
              <w:marTop w:val="0"/>
              <w:marBottom w:val="101"/>
              <w:divBdr>
                <w:top w:val="single" w:sz="4" w:space="0" w:color="E3E3B4"/>
                <w:left w:val="single" w:sz="4" w:space="0" w:color="E3E3B4"/>
                <w:bottom w:val="single" w:sz="4" w:space="0" w:color="E3E3B4"/>
                <w:right w:val="single" w:sz="4" w:space="0" w:color="E3E3B4"/>
              </w:divBdr>
              <w:divsChild>
                <w:div w:id="15306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6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68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6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6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6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6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6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6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2141-8EA9-440A-BA99-AA2A05F9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</cp:revision>
  <cp:lastPrinted>2008-05-29T17:40:00Z</cp:lastPrinted>
  <dcterms:created xsi:type="dcterms:W3CDTF">2014-03-13T04:59:00Z</dcterms:created>
  <dcterms:modified xsi:type="dcterms:W3CDTF">2014-03-13T04:59:00Z</dcterms:modified>
</cp:coreProperties>
</file>