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F5" w:rsidRPr="00C7021A" w:rsidRDefault="00A25CF5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7021A">
        <w:rPr>
          <w:b/>
          <w:noProof/>
          <w:color w:val="000000"/>
          <w:sz w:val="28"/>
          <w:szCs w:val="28"/>
        </w:rPr>
        <w:t>Задание 1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Таблица 1 - Анализ динамики и структуры расходов средств ФОМС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В (тыс.руб.)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36"/>
        <w:gridCol w:w="1419"/>
        <w:gridCol w:w="1418"/>
        <w:gridCol w:w="1418"/>
        <w:gridCol w:w="1240"/>
        <w:gridCol w:w="1240"/>
      </w:tblGrid>
      <w:tr w:rsidR="00C7021A" w:rsidRPr="00F21AA0" w:rsidTr="00F21AA0">
        <w:trPr>
          <w:trHeight w:val="300"/>
        </w:trPr>
        <w:tc>
          <w:tcPr>
            <w:tcW w:w="1481" w:type="pct"/>
            <w:vMerge w:val="restar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41" w:type="pct"/>
            <w:vMerge w:val="restar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741" w:type="pct"/>
            <w:vMerge w:val="restar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2007 год</w:t>
            </w:r>
          </w:p>
        </w:tc>
        <w:tc>
          <w:tcPr>
            <w:tcW w:w="741" w:type="pct"/>
            <w:vMerge w:val="restar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2008 год</w:t>
            </w:r>
          </w:p>
        </w:tc>
        <w:tc>
          <w:tcPr>
            <w:tcW w:w="1296" w:type="pct"/>
            <w:gridSpan w:val="2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Отклонение</w:t>
            </w:r>
          </w:p>
        </w:tc>
      </w:tr>
      <w:tr w:rsidR="00A25CF5" w:rsidRPr="00F21AA0" w:rsidTr="00F21AA0">
        <w:trPr>
          <w:trHeight w:val="222"/>
        </w:trPr>
        <w:tc>
          <w:tcPr>
            <w:tcW w:w="1481" w:type="pct"/>
            <w:vMerge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vMerge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vMerge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vMerge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07/06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08/07</w:t>
            </w:r>
          </w:p>
        </w:tc>
      </w:tr>
      <w:tr w:rsidR="00C7021A" w:rsidRPr="00F21AA0" w:rsidTr="00F21AA0">
        <w:trPr>
          <w:trHeight w:val="253"/>
        </w:trPr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C7021A" w:rsidRPr="00F21AA0" w:rsidTr="00F21AA0">
        <w:trPr>
          <w:trHeight w:val="702"/>
        </w:trPr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 xml:space="preserve">Расходы - всего 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в % от доходов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1073727,6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100,4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1526084,7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98,7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2019026,6 100,5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452357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-1,7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492941,9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1,8</w:t>
            </w:r>
          </w:p>
        </w:tc>
      </w:tr>
      <w:tr w:rsidR="00C7021A" w:rsidRPr="00F21AA0" w:rsidTr="00F21AA0">
        <w:trPr>
          <w:trHeight w:val="580"/>
        </w:trPr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021A" w:rsidRPr="00F21AA0" w:rsidTr="00F21AA0">
        <w:trPr>
          <w:trHeight w:val="1488"/>
        </w:trPr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на финансирование территориальной программы ОМС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в % от доходов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1024189,2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95,8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1464809,6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94,7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1788831,2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89,0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440620,4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-1,1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324021,6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-5,7</w:t>
            </w:r>
          </w:p>
        </w:tc>
      </w:tr>
      <w:tr w:rsidR="00C7021A" w:rsidRPr="00F21AA0" w:rsidTr="00F21AA0"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Реализация мер социальной поддержки отдельных категорий граждан по обеспечению лекарственными средствами в % от доходов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200913,4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10,0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C7021A" w:rsidRPr="00F21AA0" w:rsidTr="00F21AA0"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на выполнение управленческих функций в % от доходов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24598,9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2,3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26885,0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1,7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29282,0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1,4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2286,1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-0,6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2397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-0,3</w:t>
            </w:r>
          </w:p>
        </w:tc>
      </w:tr>
      <w:tr w:rsidR="00C7021A" w:rsidRPr="00F21AA0" w:rsidTr="00F21AA0">
        <w:tc>
          <w:tcPr>
            <w:tcW w:w="148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Остаток на конец отчетного периода</w:t>
            </w:r>
          </w:p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(величина прибыли)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4947,5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25570,4</w:t>
            </w:r>
          </w:p>
        </w:tc>
        <w:tc>
          <w:tcPr>
            <w:tcW w:w="741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16245,0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20622,9</w:t>
            </w:r>
          </w:p>
        </w:tc>
        <w:tc>
          <w:tcPr>
            <w:tcW w:w="648" w:type="pct"/>
            <w:shd w:val="clear" w:color="000000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-9325,4</w:t>
            </w:r>
          </w:p>
        </w:tc>
      </w:tr>
    </w:tbl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Расходы фонда в 2006 году составили 2019026,6 тыс. рублей или 100,5% от доходов. К уровню 2006 года расходы составили 188,0%, к уровню 2007 года 132,3%. Основную часть расходов 1788831,2 тыс. рублей или 88,6% от общей суммы расходов и 89,0% от доходов в 2008 году составили расходы на финансирование территориальной программы ОМС. К уровню 2006 года расходы на финансирование территориальной программы ОМС составили 174,6%, к уровню 2007 года 122,1%. В 2007 году Амурский областной фонд обязательного медицинского страхования принимал участие в реализации государственной программы дополнительного лекарственного обеспечения отдельных категорий граждан, имеющих право на получение государственной социальной помощи в виде набора социальных услуг (льготное лекарственное обеспечение) на реализацию мер социальной поддержки отдельных категорий граждан по обеспечению лекарственными средствами.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В рамках данной программы израсходовано 200913,4 тыс.руб.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В 2008 году расходы на выполнение управленческих функций территориальным фондом ОМС составили 29282,0 тыс. рублей, что составило 1,4% от доходов. К уровню 2006 года расходы составили 119,0%, к уровню 2007 года 108,9%.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Остаток финансовых средств фонда на конец 2006 ода составил 16245,0 тыс. рублей. Тенденция роста расходов ФОМС объясняется тем, что произошло увеличение поступлений взносов на медицинское обеспечение от организаций области, а так же со стороны государство в виде политики государственного финансирования.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7021A">
        <w:rPr>
          <w:b/>
          <w:noProof/>
          <w:color w:val="000000"/>
          <w:sz w:val="28"/>
          <w:szCs w:val="28"/>
        </w:rPr>
        <w:t>Задание 2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Для того чтобы спрогнозировать величину расходов на медицинское обеспечение необходимо оценит</w:t>
      </w:r>
      <w:r w:rsidR="00C7021A" w:rsidRPr="00C7021A">
        <w:rPr>
          <w:noProof/>
          <w:color w:val="000000"/>
          <w:sz w:val="28"/>
          <w:szCs w:val="28"/>
        </w:rPr>
        <w:t>ь</w:t>
      </w:r>
      <w:r w:rsidRPr="00C7021A">
        <w:rPr>
          <w:noProof/>
          <w:color w:val="000000"/>
          <w:sz w:val="28"/>
          <w:szCs w:val="28"/>
        </w:rPr>
        <w:t xml:space="preserve"> взаимосвязь между величиной произведенных расходов и процентного соотношения по сравнению с поступлениями.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Исходные данные для прогноза представлены в таблице 2.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Таблица 2 - Исходные данные для расчета корреляции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86"/>
        <w:gridCol w:w="4056"/>
        <w:gridCol w:w="4029"/>
      </w:tblGrid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Израсходовано всего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Процентное соотношения с поступлениями</w:t>
            </w:r>
          </w:p>
        </w:tc>
      </w:tr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2004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5076,3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103,7</w:t>
            </w:r>
          </w:p>
        </w:tc>
      </w:tr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2005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6010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104,1</w:t>
            </w:r>
          </w:p>
        </w:tc>
      </w:tr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2006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8025,4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111,2</w:t>
            </w:r>
          </w:p>
        </w:tc>
      </w:tr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2007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9977,1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102,8</w:t>
            </w:r>
          </w:p>
        </w:tc>
      </w:tr>
      <w:tr w:rsidR="00A25CF5" w:rsidRPr="00F21AA0" w:rsidTr="00F21AA0">
        <w:tc>
          <w:tcPr>
            <w:tcW w:w="77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21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10739,8</w:t>
            </w:r>
          </w:p>
        </w:tc>
        <w:tc>
          <w:tcPr>
            <w:tcW w:w="210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120,8</w:t>
            </w:r>
          </w:p>
        </w:tc>
      </w:tr>
    </w:tbl>
    <w:p w:rsidR="00A25CF5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br w:type="page"/>
      </w:r>
      <w:r w:rsidR="00A25CF5" w:rsidRPr="00C7021A">
        <w:rPr>
          <w:noProof/>
          <w:color w:val="000000"/>
          <w:sz w:val="28"/>
          <w:szCs w:val="28"/>
        </w:rPr>
        <w:t>Исходя из того что, между величиной израсходованных средств и размером и процентных соотношений с поступлениями существует прямолинейная корелляционная зависимость, необходимо составит уравнение регрессии, рассчитать коэффициенты корреляции и детерминации для этой связи.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Обозначим через х - процентное соотношение с поступлениями, через у - израсходовано всего средств на медицинское обеспечение.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Поскольку корреляционная зависимость прямолинейна между х и у</w:t>
      </w:r>
      <w:r w:rsidR="00D44A34" w:rsidRPr="00C7021A">
        <w:rPr>
          <w:noProof/>
          <w:color w:val="000000"/>
          <w:sz w:val="28"/>
          <w:szCs w:val="28"/>
        </w:rPr>
        <w:t>,</w:t>
      </w:r>
      <w:r w:rsidRPr="00C7021A">
        <w:rPr>
          <w:noProof/>
          <w:color w:val="000000"/>
          <w:sz w:val="28"/>
          <w:szCs w:val="28"/>
        </w:rPr>
        <w:t xml:space="preserve"> уравнение регрессии имеет вид</w:t>
      </w:r>
      <w:r w:rsidR="00D44A34" w:rsidRPr="00C7021A">
        <w:rPr>
          <w:noProof/>
          <w:color w:val="000000"/>
          <w:sz w:val="28"/>
          <w:szCs w:val="28"/>
        </w:rPr>
        <w:t>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¯у = а0 + а1х.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Для нахождения параметров уравнения а0 и а1 необходимо решить систему нормальных уравнений: 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{nа0 + а1∑х = ∑у}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{а0∑х + а1∑х² = ∑ху}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Для дальнейших расчетов необходимо рассчитать значения в таблице 3.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Таблица 3 - Исходные данные для расчета корреляции расходов на медицинское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49"/>
        <w:gridCol w:w="1185"/>
        <w:gridCol w:w="1388"/>
        <w:gridCol w:w="1489"/>
        <w:gridCol w:w="1591"/>
        <w:gridCol w:w="1078"/>
        <w:gridCol w:w="1591"/>
      </w:tblGrid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х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у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х²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ху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у¯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у²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2004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98,6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986,7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9721,9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97288,6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-91522,5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973576,8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2005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100,2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100,2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10040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10040,04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-90813,36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10040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2006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100,4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1073,7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10080,2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107799,48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-90724,72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1152831,6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2007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98,7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1526,1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9741,69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150626,07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-91478,16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2328981,2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100,5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2019,03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10100,25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202912,5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-90680,4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4076361</w:t>
            </w:r>
          </w:p>
        </w:tc>
      </w:tr>
      <w:tr w:rsidR="00C7021A" w:rsidRPr="00F21AA0" w:rsidTr="00F21AA0">
        <w:tc>
          <w:tcPr>
            <w:tcW w:w="65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1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498,4</w:t>
            </w:r>
          </w:p>
        </w:tc>
        <w:tc>
          <w:tcPr>
            <w:tcW w:w="7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5705,7</w:t>
            </w:r>
          </w:p>
        </w:tc>
        <w:tc>
          <w:tcPr>
            <w:tcW w:w="77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49684,3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56866,7</w:t>
            </w:r>
          </w:p>
        </w:tc>
        <w:tc>
          <w:tcPr>
            <w:tcW w:w="563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-455219,14</w:t>
            </w:r>
          </w:p>
        </w:tc>
        <w:tc>
          <w:tcPr>
            <w:tcW w:w="831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21AA0">
              <w:rPr>
                <w:noProof/>
                <w:color w:val="000000"/>
                <w:sz w:val="20"/>
                <w:szCs w:val="28"/>
              </w:rPr>
              <w:t>8541790,6</w:t>
            </w:r>
          </w:p>
        </w:tc>
      </w:tr>
    </w:tbl>
    <w:p w:rsidR="00A25CF5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br w:type="page"/>
      </w:r>
      <w:r w:rsidR="00A25CF5" w:rsidRPr="00C7021A">
        <w:rPr>
          <w:noProof/>
          <w:color w:val="000000"/>
          <w:sz w:val="28"/>
          <w:szCs w:val="28"/>
        </w:rPr>
        <w:t>Таким образом, система нормальных уравнений будет иметь вид: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{5а0 + 498,4а1 = 5705,7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{498,4а0 + 49684,3а1 = 56866,7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Решив систему уравнений, найдем параметры а0 и а1: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а0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= -135222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а1 = 443,2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Следовательно: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у¯ = -135222 + 443,2х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Подставляя в это уравнение соответствующие значения х, получим у¯.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Далее измерим тесноту связи между х и у, для чего рассчитаем линейный коэффициент корреляции по формуле: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4A34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C7021A">
        <w:rPr>
          <w:noProof/>
          <w:color w:val="000000"/>
          <w:sz w:val="28"/>
          <w:szCs w:val="28"/>
        </w:rPr>
        <w:t xml:space="preserve">r = </w:t>
      </w:r>
      <w:r w:rsidRPr="00C7021A">
        <w:rPr>
          <w:noProof/>
          <w:color w:val="000000"/>
          <w:sz w:val="28"/>
          <w:szCs w:val="28"/>
          <w:u w:val="single"/>
        </w:rPr>
        <w:t>ху¯</w:t>
      </w:r>
      <w:r w:rsidR="00D44A34" w:rsidRPr="00C7021A">
        <w:rPr>
          <w:noProof/>
          <w:color w:val="000000"/>
          <w:sz w:val="28"/>
          <w:szCs w:val="28"/>
          <w:u w:val="single"/>
        </w:rPr>
        <w:t xml:space="preserve"> </w:t>
      </w:r>
      <w:r w:rsidRPr="00C7021A">
        <w:rPr>
          <w:noProof/>
          <w:color w:val="000000"/>
          <w:sz w:val="28"/>
          <w:szCs w:val="28"/>
          <w:u w:val="single"/>
        </w:rPr>
        <w:t>-</w:t>
      </w:r>
      <w:r w:rsidR="00D44A34" w:rsidRPr="00C7021A">
        <w:rPr>
          <w:noProof/>
          <w:color w:val="000000"/>
          <w:sz w:val="28"/>
          <w:szCs w:val="28"/>
          <w:u w:val="single"/>
        </w:rPr>
        <w:t xml:space="preserve"> </w:t>
      </w:r>
      <w:r w:rsidRPr="00C7021A">
        <w:rPr>
          <w:noProof/>
          <w:color w:val="000000"/>
          <w:sz w:val="28"/>
          <w:szCs w:val="28"/>
          <w:u w:val="single"/>
        </w:rPr>
        <w:t>х¯у¯</w:t>
      </w:r>
    </w:p>
    <w:p w:rsidR="00A25CF5" w:rsidRPr="00C7021A" w:rsidRDefault="00A25CF5" w:rsidP="00C7021A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σх σу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Из таблицы 3 видно что: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х = 498,4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5 = 99,68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у = 5705,7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5 = 1141,14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ху = 568668,7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5 = 11373,34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х² = 49684,3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5 = 9936,86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у² = 8541790,6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5 = 1708358,12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Как известно</w:t>
      </w:r>
      <w:r w:rsidR="00D44A34" w:rsidRPr="00C7021A">
        <w:rPr>
          <w:noProof/>
          <w:color w:val="000000"/>
          <w:sz w:val="28"/>
          <w:szCs w:val="28"/>
        </w:rPr>
        <w:t>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σх = √ х²¯ - (х¯)² = √9936,86 - 99,68² = 0,93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σх = √ у²¯ - (у¯)² = √1708358,12 - 1141,14² = 637,3</w:t>
      </w:r>
    </w:p>
    <w:p w:rsidR="00A25CF5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br w:type="page"/>
      </w:r>
      <w:r w:rsidR="00A25CF5" w:rsidRPr="00C7021A">
        <w:rPr>
          <w:noProof/>
          <w:color w:val="000000"/>
          <w:sz w:val="28"/>
          <w:szCs w:val="28"/>
        </w:rPr>
        <w:t>Подставляя эти значения в формулу для линейного коэффициента корреляции, получим: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4A34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r = </w:t>
      </w:r>
      <w:r w:rsidRPr="00C7021A">
        <w:rPr>
          <w:noProof/>
          <w:color w:val="000000"/>
          <w:sz w:val="28"/>
          <w:szCs w:val="28"/>
          <w:u w:val="single"/>
        </w:rPr>
        <w:t>11373134 - 99,68 х 1141,14</w:t>
      </w:r>
      <w:r w:rsidR="00D44A34" w:rsidRPr="00C7021A">
        <w:rPr>
          <w:noProof/>
          <w:color w:val="000000"/>
          <w:sz w:val="28"/>
          <w:szCs w:val="28"/>
          <w:u w:val="single"/>
        </w:rPr>
        <w:t xml:space="preserve"> </w:t>
      </w:r>
      <w:r w:rsidRPr="00C7021A">
        <w:rPr>
          <w:noProof/>
          <w:color w:val="000000"/>
          <w:sz w:val="28"/>
          <w:szCs w:val="28"/>
        </w:rPr>
        <w:t>= 0,001</w:t>
      </w:r>
    </w:p>
    <w:p w:rsidR="00A25CF5" w:rsidRPr="00C7021A" w:rsidRDefault="00A25CF5" w:rsidP="00C7021A">
      <w:pPr>
        <w:spacing w:line="360" w:lineRule="auto"/>
        <w:ind w:left="1415"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0,93 х 637,3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Так как коэффициент корреляции исчислен для небольшого числа наблюдений (число лет), следует оценить его надежность (значимость).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Для этого рассчитаем среднюю ошибку коэффициента корреляции: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σr =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1 - r²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√n -2 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В этой формуле n -2 = 5 - 2 = 3 - число степенней свободы (к).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Итак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σr =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1 - 0,93²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√3</w:t>
      </w:r>
      <w:r w:rsidR="00D44A34" w:rsidRPr="00C7021A">
        <w:rPr>
          <w:noProof/>
          <w:color w:val="000000"/>
          <w:sz w:val="28"/>
          <w:szCs w:val="28"/>
        </w:rPr>
        <w:t xml:space="preserve"> </w:t>
      </w:r>
      <w:r w:rsidRPr="00C7021A">
        <w:rPr>
          <w:noProof/>
          <w:color w:val="000000"/>
          <w:sz w:val="28"/>
          <w:szCs w:val="28"/>
        </w:rPr>
        <w:t>= 0,02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Далее находим отношение коэффициента корреляции к его средней ошибке: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0,93</w:t>
      </w:r>
      <w:r w:rsidR="00D44A34" w:rsidRPr="00C7021A">
        <w:rPr>
          <w:noProof/>
          <w:color w:val="000000"/>
          <w:sz w:val="28"/>
          <w:szCs w:val="28"/>
        </w:rPr>
        <w:t>:</w:t>
      </w:r>
      <w:r w:rsidRPr="00C7021A">
        <w:rPr>
          <w:noProof/>
          <w:color w:val="000000"/>
          <w:sz w:val="28"/>
          <w:szCs w:val="28"/>
        </w:rPr>
        <w:t xml:space="preserve"> 0,02 = 46,5</w:t>
      </w:r>
    </w:p>
    <w:p w:rsidR="00C7021A" w:rsidRPr="00C7021A" w:rsidRDefault="00C7021A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Судя по полученным результатам прогнозирования можно сделать следующие выводы о тенденции расходов на медицинское обслуживание.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Между величиной расходов на медицинское обслуживание и размером поступлений в ФОМС Амурской области наблюдается линейная связь, которая отражается параметром уравнения регрессии а1.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Данный параметр равен 443,2 милл.руб. и говорит о том, что увеличение размеров поступлений в ФОМС позволит увеличить величину расходов на медицинское обслуживание. 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Поэтому при планировании расходов на медицинское обеспечение необходимо учитывать соотношение реальных поступлений и предполагаемых расходов.</w:t>
      </w:r>
    </w:p>
    <w:p w:rsidR="00A25CF5" w:rsidRPr="00C7021A" w:rsidRDefault="00C7021A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7021A">
        <w:rPr>
          <w:b/>
          <w:noProof/>
          <w:color w:val="000000"/>
          <w:sz w:val="28"/>
          <w:szCs w:val="28"/>
        </w:rPr>
        <w:br w:type="page"/>
      </w:r>
      <w:r w:rsidR="00A25CF5" w:rsidRPr="00C7021A">
        <w:rPr>
          <w:b/>
          <w:noProof/>
          <w:color w:val="000000"/>
          <w:sz w:val="28"/>
          <w:szCs w:val="28"/>
        </w:rPr>
        <w:t>Задание 3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25CF5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Структура кода классификации доходов бюджета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"/>
        <w:gridCol w:w="520"/>
        <w:gridCol w:w="523"/>
        <w:gridCol w:w="801"/>
        <w:gridCol w:w="555"/>
        <w:gridCol w:w="555"/>
        <w:gridCol w:w="375"/>
        <w:gridCol w:w="377"/>
        <w:gridCol w:w="363"/>
        <w:gridCol w:w="428"/>
        <w:gridCol w:w="430"/>
        <w:gridCol w:w="451"/>
        <w:gridCol w:w="451"/>
        <w:gridCol w:w="416"/>
        <w:gridCol w:w="416"/>
        <w:gridCol w:w="416"/>
        <w:gridCol w:w="432"/>
        <w:gridCol w:w="514"/>
        <w:gridCol w:w="514"/>
        <w:gridCol w:w="514"/>
      </w:tblGrid>
      <w:tr w:rsidR="00A25CF5" w:rsidRPr="00F21AA0" w:rsidTr="00F21AA0">
        <w:tc>
          <w:tcPr>
            <w:tcW w:w="5000" w:type="pct"/>
            <w:gridSpan w:val="20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Коды классификации доходов бюджетов</w:t>
            </w:r>
          </w:p>
        </w:tc>
      </w:tr>
      <w:tr w:rsidR="00A25CF5" w:rsidRPr="00F21AA0" w:rsidTr="00F21AA0">
        <w:tc>
          <w:tcPr>
            <w:tcW w:w="817" w:type="pct"/>
            <w:gridSpan w:val="3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Администратор</w:t>
            </w:r>
          </w:p>
        </w:tc>
        <w:tc>
          <w:tcPr>
            <w:tcW w:w="41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группа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подгруппа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статья</w:t>
            </w:r>
          </w:p>
        </w:tc>
        <w:tc>
          <w:tcPr>
            <w:tcW w:w="639" w:type="pct"/>
            <w:gridSpan w:val="3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подстатья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877" w:type="pct"/>
            <w:gridSpan w:val="4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программа</w:t>
            </w:r>
          </w:p>
        </w:tc>
        <w:tc>
          <w:tcPr>
            <w:tcW w:w="806" w:type="pct"/>
            <w:gridSpan w:val="3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Экономическая классификация</w:t>
            </w:r>
          </w:p>
        </w:tc>
      </w:tr>
      <w:tr w:rsidR="00A25CF5" w:rsidRPr="00F21AA0" w:rsidTr="00F21AA0">
        <w:tc>
          <w:tcPr>
            <w:tcW w:w="272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9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9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25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A25CF5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20</w:t>
            </w:r>
          </w:p>
        </w:tc>
      </w:tr>
      <w:tr w:rsidR="00211E4B" w:rsidRPr="00F21AA0" w:rsidTr="00F21AA0">
        <w:tc>
          <w:tcPr>
            <w:tcW w:w="817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01" w:type="pct"/>
            <w:gridSpan w:val="10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77" w:type="pct"/>
            <w:gridSpan w:val="4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06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4</w:t>
            </w:r>
          </w:p>
        </w:tc>
      </w:tr>
      <w:tr w:rsidR="00A25CF5" w:rsidRPr="00F21AA0" w:rsidTr="00F21AA0">
        <w:tc>
          <w:tcPr>
            <w:tcW w:w="272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96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A25CF5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</w:tr>
    </w:tbl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683D" w:rsidRPr="00C7021A" w:rsidRDefault="00F5683D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Администратор доходов 000 - федеральный бюджет</w:t>
      </w:r>
    </w:p>
    <w:p w:rsidR="00F5683D" w:rsidRPr="00C7021A" w:rsidRDefault="00F5683D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Вид доходов - Дивиденды по акциям и доходы от прочих форм участия в капитале, находящихся в собственности субъектов Российской Федерации</w:t>
      </w:r>
    </w:p>
    <w:p w:rsidR="00A25CF5" w:rsidRPr="00C7021A" w:rsidRDefault="00A25CF5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E4B" w:rsidRPr="00C7021A" w:rsidRDefault="00211E4B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7021A">
        <w:rPr>
          <w:b/>
          <w:noProof/>
          <w:color w:val="000000"/>
          <w:sz w:val="28"/>
          <w:szCs w:val="28"/>
        </w:rPr>
        <w:t>Задание 4</w:t>
      </w:r>
    </w:p>
    <w:p w:rsidR="00211E4B" w:rsidRPr="00C7021A" w:rsidRDefault="00211E4B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11E4B" w:rsidRPr="00C7021A" w:rsidRDefault="00211E4B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Структура кода классификации доходов бюджета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1"/>
        <w:gridCol w:w="521"/>
        <w:gridCol w:w="521"/>
        <w:gridCol w:w="801"/>
        <w:gridCol w:w="555"/>
        <w:gridCol w:w="555"/>
        <w:gridCol w:w="376"/>
        <w:gridCol w:w="376"/>
        <w:gridCol w:w="364"/>
        <w:gridCol w:w="429"/>
        <w:gridCol w:w="430"/>
        <w:gridCol w:w="451"/>
        <w:gridCol w:w="451"/>
        <w:gridCol w:w="416"/>
        <w:gridCol w:w="416"/>
        <w:gridCol w:w="416"/>
        <w:gridCol w:w="430"/>
        <w:gridCol w:w="514"/>
        <w:gridCol w:w="514"/>
        <w:gridCol w:w="514"/>
      </w:tblGrid>
      <w:tr w:rsidR="00211E4B" w:rsidRPr="00F21AA0" w:rsidTr="00F21AA0">
        <w:tc>
          <w:tcPr>
            <w:tcW w:w="5000" w:type="pct"/>
            <w:gridSpan w:val="20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Коды классификации доходов бюджетов</w:t>
            </w:r>
          </w:p>
        </w:tc>
      </w:tr>
      <w:tr w:rsidR="00211E4B" w:rsidRPr="00F21AA0" w:rsidTr="00F21AA0">
        <w:tc>
          <w:tcPr>
            <w:tcW w:w="678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Администратор</w:t>
            </w:r>
          </w:p>
        </w:tc>
        <w:tc>
          <w:tcPr>
            <w:tcW w:w="370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группа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подгруппа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статья</w:t>
            </w:r>
          </w:p>
        </w:tc>
        <w:tc>
          <w:tcPr>
            <w:tcW w:w="737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подстатья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1023" w:type="pct"/>
            <w:gridSpan w:val="4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программа</w:t>
            </w:r>
          </w:p>
        </w:tc>
        <w:tc>
          <w:tcPr>
            <w:tcW w:w="767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Экономическая классификация</w:t>
            </w:r>
          </w:p>
        </w:tc>
      </w:tr>
      <w:tr w:rsidR="00211E4B" w:rsidRPr="00F21AA0" w:rsidTr="00F21AA0"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20</w:t>
            </w:r>
          </w:p>
        </w:tc>
      </w:tr>
      <w:tr w:rsidR="00211E4B" w:rsidRPr="00F21AA0" w:rsidTr="00F21AA0">
        <w:tc>
          <w:tcPr>
            <w:tcW w:w="678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33" w:type="pct"/>
            <w:gridSpan w:val="10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23" w:type="pct"/>
            <w:gridSpan w:val="4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67" w:type="pct"/>
            <w:gridSpan w:val="3"/>
            <w:shd w:val="clear" w:color="auto" w:fill="auto"/>
          </w:tcPr>
          <w:p w:rsidR="00211E4B" w:rsidRPr="00F21AA0" w:rsidRDefault="00211E4B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4</w:t>
            </w:r>
          </w:p>
        </w:tc>
      </w:tr>
      <w:tr w:rsidR="00211E4B" w:rsidRPr="00F21AA0" w:rsidTr="00F21AA0"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211E4B" w:rsidRPr="00F21AA0" w:rsidRDefault="00F5683D" w:rsidP="00F21AA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21AA0">
              <w:rPr>
                <w:noProof/>
                <w:color w:val="000000"/>
                <w:sz w:val="20"/>
              </w:rPr>
              <w:t>0</w:t>
            </w:r>
          </w:p>
        </w:tc>
      </w:tr>
    </w:tbl>
    <w:p w:rsidR="00211E4B" w:rsidRPr="00C7021A" w:rsidRDefault="00211E4B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E4B" w:rsidRPr="00C7021A" w:rsidRDefault="00C7021A" w:rsidP="00D44A3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br w:type="page"/>
      </w:r>
      <w:r w:rsidRPr="00C7021A">
        <w:rPr>
          <w:b/>
          <w:noProof/>
          <w:color w:val="000000"/>
          <w:sz w:val="28"/>
          <w:szCs w:val="28"/>
        </w:rPr>
        <w:t>Библиографический список</w:t>
      </w:r>
    </w:p>
    <w:p w:rsidR="00211E4B" w:rsidRPr="00C7021A" w:rsidRDefault="00211E4B" w:rsidP="00D44A3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321F" w:rsidRPr="00C7021A" w:rsidRDefault="00A3321F" w:rsidP="00C702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1.Бюджетный кодекс Российской Федерации. </w:t>
      </w:r>
    </w:p>
    <w:p w:rsidR="00A3321F" w:rsidRPr="00C7021A" w:rsidRDefault="00A3321F" w:rsidP="00C702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2.Приказ Министерства финансов Российской Федерации от 29.12.2008 №162н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Федерации».</w:t>
      </w:r>
    </w:p>
    <w:p w:rsidR="00A3321F" w:rsidRPr="00C7021A" w:rsidRDefault="00A3321F" w:rsidP="00C702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3.Бюджетный процесс в Российской Федерации: учебное пособие/ Л.Г. Баранова, О.В. Врублёвская и др. – М.: Изд-во «Перспектива»: ИНФРА-М, 2008.</w:t>
      </w:r>
    </w:p>
    <w:p w:rsidR="00A3321F" w:rsidRPr="00C7021A" w:rsidRDefault="00A3321F" w:rsidP="00C702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>4. Статистический сборник Амурской области за 2008 год</w:t>
      </w:r>
    </w:p>
    <w:p w:rsidR="00A3321F" w:rsidRPr="00C7021A" w:rsidRDefault="00A3321F" w:rsidP="00C702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7021A">
        <w:rPr>
          <w:noProof/>
          <w:color w:val="000000"/>
          <w:sz w:val="28"/>
          <w:szCs w:val="28"/>
        </w:rPr>
        <w:t xml:space="preserve">5. </w:t>
      </w:r>
      <w:r w:rsidRPr="007B168A">
        <w:rPr>
          <w:noProof/>
          <w:color w:val="000000"/>
          <w:sz w:val="28"/>
          <w:szCs w:val="28"/>
        </w:rPr>
        <w:t>www.admblag.ru</w:t>
      </w:r>
      <w:bookmarkStart w:id="0" w:name="_GoBack"/>
      <w:bookmarkEnd w:id="0"/>
    </w:p>
    <w:sectPr w:rsidR="00A3321F" w:rsidRPr="00C7021A" w:rsidSect="00C7021A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A0" w:rsidRDefault="00F21AA0">
      <w:r>
        <w:separator/>
      </w:r>
    </w:p>
  </w:endnote>
  <w:endnote w:type="continuationSeparator" w:id="0">
    <w:p w:rsidR="00F21AA0" w:rsidRDefault="00F2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F2" w:rsidRDefault="001A2BF2" w:rsidP="00C75CB2">
    <w:pPr>
      <w:pStyle w:val="a5"/>
      <w:framePr w:wrap="around" w:vAnchor="text" w:hAnchor="margin" w:xAlign="center" w:y="1"/>
      <w:rPr>
        <w:rStyle w:val="a7"/>
      </w:rPr>
    </w:pPr>
  </w:p>
  <w:p w:rsidR="001A2BF2" w:rsidRDefault="001A2B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F2" w:rsidRDefault="007B168A" w:rsidP="00C75CB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A2BF2" w:rsidRDefault="001A2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A0" w:rsidRDefault="00F21AA0">
      <w:r>
        <w:separator/>
      </w:r>
    </w:p>
  </w:footnote>
  <w:footnote w:type="continuationSeparator" w:id="0">
    <w:p w:rsidR="00F21AA0" w:rsidRDefault="00F2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CF5"/>
    <w:rsid w:val="001A2BF2"/>
    <w:rsid w:val="00211E4B"/>
    <w:rsid w:val="005A5498"/>
    <w:rsid w:val="00711AE3"/>
    <w:rsid w:val="007B168A"/>
    <w:rsid w:val="007F694D"/>
    <w:rsid w:val="00A25CF5"/>
    <w:rsid w:val="00A3321F"/>
    <w:rsid w:val="00A47693"/>
    <w:rsid w:val="00C7021A"/>
    <w:rsid w:val="00C75CB2"/>
    <w:rsid w:val="00D161C1"/>
    <w:rsid w:val="00D44A34"/>
    <w:rsid w:val="00DF17B6"/>
    <w:rsid w:val="00F21AA0"/>
    <w:rsid w:val="00F43923"/>
    <w:rsid w:val="00F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A3842-70D6-47FC-9784-0A4FC38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3321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A549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A5498"/>
    <w:rPr>
      <w:rFonts w:cs="Times New Roman"/>
    </w:rPr>
  </w:style>
  <w:style w:type="paragraph" w:styleId="a8">
    <w:name w:val="header"/>
    <w:basedOn w:val="a"/>
    <w:link w:val="a9"/>
    <w:uiPriority w:val="99"/>
    <w:rsid w:val="005A549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C702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Персоанал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Персоанал</dc:creator>
  <cp:keywords/>
  <dc:description/>
  <cp:lastModifiedBy>Irina</cp:lastModifiedBy>
  <cp:revision>2</cp:revision>
  <dcterms:created xsi:type="dcterms:W3CDTF">2014-08-08T05:27:00Z</dcterms:created>
  <dcterms:modified xsi:type="dcterms:W3CDTF">2014-08-08T05:27:00Z</dcterms:modified>
</cp:coreProperties>
</file>