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C1" w:rsidRPr="005A2D28" w:rsidRDefault="005A2D28" w:rsidP="005A2D2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0" w:name="_Toc289828025"/>
      <w:r w:rsidRPr="005A2D28">
        <w:rPr>
          <w:sz w:val="28"/>
          <w:szCs w:val="28"/>
        </w:rPr>
        <w:t>Содержание работы</w:t>
      </w:r>
      <w:bookmarkEnd w:id="0"/>
    </w:p>
    <w:p w:rsidR="005E5EC1" w:rsidRPr="005A2D28" w:rsidRDefault="005E5EC1" w:rsidP="005A2D28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5A2D28">
        <w:rPr>
          <w:sz w:val="28"/>
          <w:szCs w:val="28"/>
          <w:lang w:val="en-US"/>
        </w:rPr>
        <w:fldChar w:fldCharType="begin"/>
      </w:r>
      <w:r w:rsidRPr="005A2D28">
        <w:rPr>
          <w:sz w:val="28"/>
          <w:szCs w:val="28"/>
          <w:lang w:val="en-US"/>
        </w:rPr>
        <w:instrText xml:space="preserve"> TOC \o "1-3" \h \z \u </w:instrText>
      </w:r>
      <w:r w:rsidRPr="005A2D28">
        <w:rPr>
          <w:sz w:val="28"/>
          <w:szCs w:val="28"/>
          <w:lang w:val="en-US"/>
        </w:rPr>
        <w:fldChar w:fldCharType="separate"/>
      </w:r>
    </w:p>
    <w:p w:rsidR="005E5EC1" w:rsidRPr="005A2D28" w:rsidRDefault="005E5EC1" w:rsidP="005A2D28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6A49BF">
        <w:rPr>
          <w:rStyle w:val="a7"/>
          <w:noProof/>
          <w:color w:val="auto"/>
          <w:sz w:val="28"/>
        </w:rPr>
        <w:t>1. Основные экономические характеристики отрасли (ресторанное дело, г. Н.</w:t>
      </w:r>
      <w:r w:rsidR="005A2D28" w:rsidRPr="006A49BF">
        <w:rPr>
          <w:rStyle w:val="a7"/>
          <w:noProof/>
          <w:color w:val="auto"/>
          <w:sz w:val="28"/>
        </w:rPr>
        <w:t xml:space="preserve"> </w:t>
      </w:r>
      <w:r w:rsidRPr="006A49BF">
        <w:rPr>
          <w:rStyle w:val="a7"/>
          <w:noProof/>
          <w:color w:val="auto"/>
          <w:sz w:val="28"/>
        </w:rPr>
        <w:t>Новгород, Нижегородская область)</w:t>
      </w:r>
      <w:r w:rsidR="005A2D28" w:rsidRPr="005A2D28">
        <w:rPr>
          <w:noProof/>
          <w:sz w:val="28"/>
        </w:rPr>
        <w:t xml:space="preserve"> </w:t>
      </w:r>
    </w:p>
    <w:p w:rsidR="005E5EC1" w:rsidRPr="005A2D28" w:rsidRDefault="008466AA" w:rsidP="005A2D28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hyperlink w:anchor="_Toc289828027" w:history="1">
        <w:r w:rsidR="005E5EC1" w:rsidRPr="005A2D28">
          <w:rPr>
            <w:rStyle w:val="a7"/>
            <w:noProof/>
            <w:color w:val="auto"/>
            <w:sz w:val="28"/>
          </w:rPr>
          <w:t>2. Форма и интенсивность конкуренции в отрасли</w:t>
        </w:r>
      </w:hyperlink>
    </w:p>
    <w:p w:rsidR="005E5EC1" w:rsidRPr="005A2D28" w:rsidRDefault="005E5EC1" w:rsidP="005A2D28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6A49BF">
        <w:rPr>
          <w:rStyle w:val="a7"/>
          <w:noProof/>
          <w:color w:val="auto"/>
          <w:sz w:val="28"/>
        </w:rPr>
        <w:t>3. Причины изменений в структуре конкуренции</w:t>
      </w:r>
    </w:p>
    <w:p w:rsidR="005E5EC1" w:rsidRPr="005A2D28" w:rsidRDefault="008466AA" w:rsidP="005A2D28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hyperlink w:anchor="_Toc289828029" w:history="1">
        <w:r w:rsidR="005E5EC1" w:rsidRPr="005A2D28">
          <w:rPr>
            <w:rStyle w:val="a7"/>
            <w:noProof/>
            <w:color w:val="auto"/>
            <w:sz w:val="28"/>
          </w:rPr>
          <w:t>4. Характеристика стратегических групп</w:t>
        </w:r>
      </w:hyperlink>
    </w:p>
    <w:p w:rsidR="005E5EC1" w:rsidRPr="005A2D28" w:rsidRDefault="005E5EC1" w:rsidP="005A2D28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6A49BF">
        <w:rPr>
          <w:rStyle w:val="a7"/>
          <w:noProof/>
          <w:color w:val="auto"/>
          <w:sz w:val="28"/>
        </w:rPr>
        <w:t>5. Ключевые факторы успеха</w:t>
      </w:r>
    </w:p>
    <w:p w:rsidR="005E5EC1" w:rsidRPr="005A2D28" w:rsidRDefault="008466AA" w:rsidP="005A2D28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hyperlink w:anchor="_Toc289828031" w:history="1">
        <w:r w:rsidR="005E5EC1" w:rsidRPr="005A2D28">
          <w:rPr>
            <w:rStyle w:val="a7"/>
            <w:noProof/>
            <w:color w:val="auto"/>
            <w:sz w:val="28"/>
          </w:rPr>
          <w:t>6. Характеристика общей привлекательности отрасли</w:t>
        </w:r>
      </w:hyperlink>
    </w:p>
    <w:p w:rsidR="005E5EC1" w:rsidRPr="005A2D28" w:rsidRDefault="005A2D28" w:rsidP="005A2D28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6A49BF">
        <w:rPr>
          <w:rStyle w:val="a7"/>
          <w:noProof/>
          <w:color w:val="auto"/>
          <w:sz w:val="28"/>
        </w:rPr>
        <w:t>Список использованной литературы</w:t>
      </w:r>
    </w:p>
    <w:p w:rsidR="005E5EC1" w:rsidRPr="005A2D28" w:rsidRDefault="005E5EC1" w:rsidP="005A2D28">
      <w:pPr>
        <w:spacing w:line="360" w:lineRule="auto"/>
        <w:jc w:val="both"/>
        <w:outlineLvl w:val="0"/>
        <w:rPr>
          <w:sz w:val="28"/>
          <w:szCs w:val="28"/>
          <w:lang w:val="en-US"/>
        </w:rPr>
      </w:pPr>
      <w:r w:rsidRPr="005A2D28">
        <w:rPr>
          <w:sz w:val="28"/>
          <w:szCs w:val="28"/>
          <w:lang w:val="en-US"/>
        </w:rPr>
        <w:fldChar w:fldCharType="end"/>
      </w:r>
      <w:bookmarkStart w:id="1" w:name="_Toc289828026"/>
    </w:p>
    <w:p w:rsidR="001D1F8D" w:rsidRPr="005A2D28" w:rsidRDefault="005A2D28" w:rsidP="005A2D2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1F8D" w:rsidRPr="005A2D28">
        <w:rPr>
          <w:sz w:val="28"/>
          <w:szCs w:val="28"/>
        </w:rPr>
        <w:t>1. Основные экономические характеристики отрасли (ресторанное дело, г. Н.Новгород, Нижегородская область)</w:t>
      </w:r>
      <w:bookmarkEnd w:id="1"/>
    </w:p>
    <w:p w:rsidR="005A2D28" w:rsidRDefault="005A2D28" w:rsidP="005A2D28">
      <w:pPr>
        <w:spacing w:line="360" w:lineRule="auto"/>
        <w:ind w:firstLine="709"/>
        <w:jc w:val="both"/>
        <w:rPr>
          <w:sz w:val="28"/>
          <w:szCs w:val="28"/>
        </w:rPr>
      </w:pPr>
    </w:p>
    <w:p w:rsidR="005A2D28" w:rsidRDefault="005532E3" w:rsidP="005A2D28">
      <w:pPr>
        <w:spacing w:line="360" w:lineRule="auto"/>
        <w:ind w:firstLine="709"/>
        <w:jc w:val="both"/>
      </w:pPr>
      <w:r>
        <w:object w:dxaOrig="7858" w:dyaOrig="3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194.25pt" o:ole="" o:allowoverlap="f" fillcolor="black">
            <v:imagedata r:id="rId6" o:title=""/>
          </v:shape>
          <o:OLEObject Type="Embed" ProgID="Excel.Sheet.8" ShapeID="_x0000_i1025" DrawAspect="Content" ObjectID="_1457476268" r:id="rId7">
            <o:FieldCodes>\s</o:FieldCodes>
          </o:OLEObject>
        </w:object>
      </w:r>
    </w:p>
    <w:p w:rsidR="005A2D28" w:rsidRPr="005A2D28" w:rsidRDefault="005A2D28" w:rsidP="005A2D28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Рис. 1. ВРП Нижегородской области, созданный в сфере услуг</w:t>
      </w:r>
    </w:p>
    <w:p w:rsidR="005A2D28" w:rsidRDefault="005A2D28" w:rsidP="005A2D28">
      <w:pPr>
        <w:spacing w:line="360" w:lineRule="auto"/>
        <w:ind w:firstLine="709"/>
        <w:jc w:val="both"/>
      </w:pPr>
    </w:p>
    <w:p w:rsidR="00DB489B" w:rsidRDefault="00CB7313" w:rsidP="005A2D28">
      <w:pPr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 xml:space="preserve">Сфера услуг, объединяющая в себе торговлю, транспорт, рестораны, гостиницы, связь, финансовую деятельность, операции с недвижимым имуществом, государственное управление, безопасность, образование, здравоохранение и прочие услуги, </w:t>
      </w:r>
      <w:r w:rsidR="00DB489B" w:rsidRPr="005A2D28">
        <w:rPr>
          <w:sz w:val="28"/>
          <w:szCs w:val="28"/>
        </w:rPr>
        <w:t>играет заметную роль</w:t>
      </w:r>
      <w:r w:rsidRPr="005A2D28">
        <w:rPr>
          <w:sz w:val="28"/>
          <w:szCs w:val="28"/>
        </w:rPr>
        <w:t xml:space="preserve"> в структуре ВРП Нижегородской области по состоянию на 1.01.2010 г. 49, 1 %, из которых 1, 1 % приходится на ресторанный бизнес.</w:t>
      </w:r>
      <w:r w:rsidR="005A2D28">
        <w:rPr>
          <w:sz w:val="28"/>
          <w:szCs w:val="28"/>
        </w:rPr>
        <w:t xml:space="preserve"> </w:t>
      </w:r>
    </w:p>
    <w:p w:rsidR="005A2D28" w:rsidRPr="005A2D28" w:rsidRDefault="005A2D28" w:rsidP="005A2D28">
      <w:pPr>
        <w:spacing w:line="360" w:lineRule="auto"/>
        <w:ind w:firstLine="709"/>
        <w:jc w:val="both"/>
        <w:rPr>
          <w:sz w:val="28"/>
          <w:szCs w:val="28"/>
        </w:rPr>
      </w:pPr>
    </w:p>
    <w:p w:rsidR="00DB489B" w:rsidRPr="005A2D28" w:rsidRDefault="00DB489B" w:rsidP="005A2D28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 xml:space="preserve">При этом удельный вес отрасли ресторанного дела не имел значительного изменения, увеличив свою долю с 1 % в </w:t>
      </w:r>
      <w:smartTag w:uri="urn:schemas-microsoft-com:office:smarttags" w:element="metricconverter">
        <w:smartTagPr>
          <w:attr w:name="ProductID" w:val="2007 г"/>
        </w:smartTagPr>
        <w:r w:rsidRPr="005A2D28">
          <w:rPr>
            <w:sz w:val="28"/>
            <w:szCs w:val="28"/>
          </w:rPr>
          <w:t>2007 г</w:t>
        </w:r>
      </w:smartTag>
      <w:r w:rsidRPr="005A2D28">
        <w:rPr>
          <w:sz w:val="28"/>
          <w:szCs w:val="28"/>
        </w:rPr>
        <w:t xml:space="preserve">. до обозначенных выше 1, 1 % в </w:t>
      </w:r>
      <w:smartTag w:uri="urn:schemas-microsoft-com:office:smarttags" w:element="metricconverter">
        <w:smartTagPr>
          <w:attr w:name="ProductID" w:val="2009 г"/>
        </w:smartTagPr>
        <w:r w:rsidRPr="005A2D28">
          <w:rPr>
            <w:sz w:val="28"/>
            <w:szCs w:val="28"/>
          </w:rPr>
          <w:t>2009 г</w:t>
        </w:r>
      </w:smartTag>
      <w:r w:rsidRPr="005A2D28">
        <w:rPr>
          <w:sz w:val="28"/>
          <w:szCs w:val="28"/>
        </w:rPr>
        <w:t>.</w:t>
      </w:r>
    </w:p>
    <w:p w:rsidR="005A2D28" w:rsidRDefault="00A83C7A" w:rsidP="005A2D28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 xml:space="preserve">На 1.01.2011 г. в сфере ресторанного бизнеса по Нижегородской области зарегистрировано 12 крупных и средних предприятий, которые объединяют 116 ресторанов, причем ГК “ПИР” принадлежит 12 специальных тематических ресторанов под собственной торговой маркой и 2 франчайзинговых проекта в данной сфере. Из следующей таблицы можно заметить, что численность предприятий в данной отрасли </w:t>
      </w:r>
      <w:r w:rsidR="00810D15" w:rsidRPr="005A2D28">
        <w:rPr>
          <w:sz w:val="28"/>
          <w:szCs w:val="28"/>
        </w:rPr>
        <w:t xml:space="preserve">сократилось с 14 в </w:t>
      </w:r>
      <w:smartTag w:uri="urn:schemas-microsoft-com:office:smarttags" w:element="metricconverter">
        <w:smartTagPr>
          <w:attr w:name="ProductID" w:val="2008 г"/>
        </w:smartTagPr>
        <w:r w:rsidR="00810D15" w:rsidRPr="005A2D28">
          <w:rPr>
            <w:sz w:val="28"/>
            <w:szCs w:val="28"/>
          </w:rPr>
          <w:t>2007 г</w:t>
        </w:r>
      </w:smartTag>
      <w:r w:rsidR="00810D15" w:rsidRPr="005A2D28">
        <w:rPr>
          <w:sz w:val="28"/>
          <w:szCs w:val="28"/>
        </w:rPr>
        <w:t xml:space="preserve">. до 12 в </w:t>
      </w:r>
      <w:smartTag w:uri="urn:schemas-microsoft-com:office:smarttags" w:element="metricconverter">
        <w:smartTagPr>
          <w:attr w:name="ProductID" w:val="2008 г"/>
        </w:smartTagPr>
        <w:r w:rsidR="00810D15" w:rsidRPr="005A2D28">
          <w:rPr>
            <w:sz w:val="28"/>
            <w:szCs w:val="28"/>
          </w:rPr>
          <w:t>2011 г</w:t>
        </w:r>
      </w:smartTag>
      <w:r w:rsidR="00810D15" w:rsidRPr="005A2D28">
        <w:rPr>
          <w:sz w:val="28"/>
          <w:szCs w:val="28"/>
        </w:rPr>
        <w:t xml:space="preserve">. при максимальном показателе 17 ед. в </w:t>
      </w:r>
      <w:smartTag w:uri="urn:schemas-microsoft-com:office:smarttags" w:element="metricconverter">
        <w:smartTagPr>
          <w:attr w:name="ProductID" w:val="2008 г"/>
        </w:smartTagPr>
        <w:r w:rsidR="00810D15" w:rsidRPr="005A2D28">
          <w:rPr>
            <w:sz w:val="28"/>
            <w:szCs w:val="28"/>
          </w:rPr>
          <w:t>2008 г</w:t>
        </w:r>
      </w:smartTag>
      <w:r w:rsidR="00810D15" w:rsidRPr="005A2D28">
        <w:rPr>
          <w:sz w:val="28"/>
          <w:szCs w:val="28"/>
        </w:rPr>
        <w:t>. Кроме того, из той же таблицы видно как менялась численность сотрудников, занятых в обозначенной сфере</w:t>
      </w:r>
      <w:r w:rsidR="000B2EBD" w:rsidRPr="005A2D28">
        <w:rPr>
          <w:sz w:val="28"/>
          <w:szCs w:val="28"/>
        </w:rPr>
        <w:t>.</w:t>
      </w:r>
      <w:r w:rsidR="00DD5398" w:rsidRPr="005A2D28">
        <w:rPr>
          <w:sz w:val="28"/>
          <w:szCs w:val="28"/>
        </w:rPr>
        <w:t xml:space="preserve"> </w:t>
      </w:r>
      <w:r w:rsidR="00E07C71" w:rsidRPr="005A2D28">
        <w:rPr>
          <w:sz w:val="28"/>
          <w:szCs w:val="28"/>
        </w:rPr>
        <w:t>Заметим, что численность сотрудников также сократилась за обозначенный период в соответствии с уменьшением количества предприятий.</w:t>
      </w:r>
      <w:r w:rsidR="005A2D28">
        <w:rPr>
          <w:sz w:val="28"/>
          <w:szCs w:val="28"/>
        </w:rPr>
        <w:t xml:space="preserve"> </w:t>
      </w:r>
    </w:p>
    <w:p w:rsidR="005A2D28" w:rsidRDefault="005A2D28" w:rsidP="005A2D28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</w:p>
    <w:p w:rsidR="00A83C7A" w:rsidRPr="005A2D28" w:rsidRDefault="00E07C71" w:rsidP="005A2D28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Таблица 1</w:t>
      </w:r>
    </w:p>
    <w:p w:rsidR="000B2EBD" w:rsidRPr="005A2D28" w:rsidRDefault="00DD5398" w:rsidP="005A2D28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Динамика распределения численности предприятий и занятых в ресторанном бизнесе сотрудников по Нижегородской области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1394"/>
        <w:gridCol w:w="1394"/>
        <w:gridCol w:w="1394"/>
        <w:gridCol w:w="1394"/>
        <w:gridCol w:w="1394"/>
      </w:tblGrid>
      <w:tr w:rsidR="00A83C7A" w:rsidRPr="008E7784" w:rsidTr="008E7784">
        <w:trPr>
          <w:jc w:val="center"/>
        </w:trPr>
        <w:tc>
          <w:tcPr>
            <w:tcW w:w="2448" w:type="dxa"/>
            <w:shd w:val="clear" w:color="auto" w:fill="auto"/>
          </w:tcPr>
          <w:p w:rsidR="00A83C7A" w:rsidRPr="008E7784" w:rsidRDefault="00A83C7A" w:rsidP="008E7784">
            <w:pPr>
              <w:tabs>
                <w:tab w:val="left" w:pos="2385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A83C7A" w:rsidRPr="008E7784" w:rsidRDefault="00A83C7A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2007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83C7A" w:rsidRPr="008E7784" w:rsidRDefault="00A83C7A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2008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83C7A" w:rsidRPr="008E7784" w:rsidRDefault="00A83C7A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2009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83C7A" w:rsidRPr="008E7784" w:rsidRDefault="00A83C7A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2010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83C7A" w:rsidRPr="008E7784" w:rsidRDefault="00A83C7A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2011</w:t>
            </w:r>
          </w:p>
        </w:tc>
      </w:tr>
      <w:tr w:rsidR="00A83C7A" w:rsidRPr="008E7784" w:rsidTr="008E7784">
        <w:trPr>
          <w:jc w:val="center"/>
        </w:trPr>
        <w:tc>
          <w:tcPr>
            <w:tcW w:w="2448" w:type="dxa"/>
            <w:shd w:val="clear" w:color="auto" w:fill="auto"/>
          </w:tcPr>
          <w:p w:rsidR="00A83C7A" w:rsidRPr="008E7784" w:rsidRDefault="00A83C7A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Всего</w:t>
            </w:r>
            <w:r w:rsidR="00DD5398" w:rsidRPr="008E7784">
              <w:rPr>
                <w:sz w:val="20"/>
              </w:rPr>
              <w:t xml:space="preserve"> предприятий</w:t>
            </w:r>
            <w:r w:rsidR="000B2EBD" w:rsidRPr="008E7784">
              <w:rPr>
                <w:sz w:val="20"/>
              </w:rPr>
              <w:t>, ед.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83C7A" w:rsidRPr="008E7784" w:rsidRDefault="00A83C7A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2361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83C7A" w:rsidRPr="008E7784" w:rsidRDefault="00A83C7A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2428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83C7A" w:rsidRPr="008E7784" w:rsidRDefault="00A83C7A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1730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83C7A" w:rsidRPr="008E7784" w:rsidRDefault="00A83C7A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1650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83C7A" w:rsidRPr="008E7784" w:rsidRDefault="00A83C7A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1583</w:t>
            </w:r>
          </w:p>
        </w:tc>
      </w:tr>
      <w:tr w:rsidR="00A83C7A" w:rsidRPr="008E7784" w:rsidTr="008E7784">
        <w:trPr>
          <w:jc w:val="center"/>
        </w:trPr>
        <w:tc>
          <w:tcPr>
            <w:tcW w:w="2448" w:type="dxa"/>
            <w:shd w:val="clear" w:color="auto" w:fill="auto"/>
          </w:tcPr>
          <w:p w:rsidR="00A83C7A" w:rsidRPr="008E7784" w:rsidRDefault="000B2EBD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Ресторанное дело, ед.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83C7A" w:rsidRPr="008E7784" w:rsidRDefault="00A83C7A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83C7A" w:rsidRPr="008E7784" w:rsidRDefault="00A83C7A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17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83C7A" w:rsidRPr="008E7784" w:rsidRDefault="00A83C7A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83C7A" w:rsidRPr="008E7784" w:rsidRDefault="00A83C7A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83C7A" w:rsidRPr="008E7784" w:rsidRDefault="00A83C7A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12</w:t>
            </w:r>
          </w:p>
        </w:tc>
      </w:tr>
      <w:tr w:rsidR="000B2EBD" w:rsidRPr="008E7784" w:rsidTr="008E7784">
        <w:trPr>
          <w:jc w:val="center"/>
        </w:trPr>
        <w:tc>
          <w:tcPr>
            <w:tcW w:w="2448" w:type="dxa"/>
            <w:shd w:val="clear" w:color="auto" w:fill="auto"/>
          </w:tcPr>
          <w:p w:rsidR="000B2EBD" w:rsidRPr="008E7784" w:rsidRDefault="000B2EBD" w:rsidP="008E7784">
            <w:pPr>
              <w:tabs>
                <w:tab w:val="left" w:pos="2385"/>
              </w:tabs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Всего</w:t>
            </w:r>
            <w:r w:rsidR="00E07C71" w:rsidRPr="008E7784">
              <w:rPr>
                <w:sz w:val="20"/>
              </w:rPr>
              <w:t xml:space="preserve"> по всем отраслям</w:t>
            </w:r>
            <w:r w:rsidRPr="008E7784">
              <w:rPr>
                <w:sz w:val="20"/>
              </w:rPr>
              <w:t xml:space="preserve">, чел. 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B2EBD" w:rsidRPr="008E7784" w:rsidRDefault="000B2EBD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1313838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B2EBD" w:rsidRPr="008E7784" w:rsidRDefault="000B2EBD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1330735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B2EBD" w:rsidRPr="008E7784" w:rsidRDefault="000B2EBD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1189921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B2EBD" w:rsidRPr="008E7784" w:rsidRDefault="000B2EBD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1188577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B2EBD" w:rsidRPr="008E7784" w:rsidRDefault="000B2EBD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1179506</w:t>
            </w:r>
          </w:p>
        </w:tc>
      </w:tr>
      <w:tr w:rsidR="000B2EBD" w:rsidRPr="008E7784" w:rsidTr="008E7784">
        <w:trPr>
          <w:jc w:val="center"/>
        </w:trPr>
        <w:tc>
          <w:tcPr>
            <w:tcW w:w="2448" w:type="dxa"/>
            <w:shd w:val="clear" w:color="auto" w:fill="auto"/>
          </w:tcPr>
          <w:p w:rsidR="000B2EBD" w:rsidRPr="008E7784" w:rsidRDefault="000B2EBD" w:rsidP="008E7784">
            <w:pPr>
              <w:tabs>
                <w:tab w:val="left" w:pos="2385"/>
              </w:tabs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Ресторанное дело, чел.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B2EBD" w:rsidRPr="008E7784" w:rsidRDefault="000B2EBD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5707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B2EBD" w:rsidRPr="008E7784" w:rsidRDefault="000B2EBD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7426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B2EBD" w:rsidRPr="008E7784" w:rsidRDefault="000B2EBD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4810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B2EBD" w:rsidRPr="008E7784" w:rsidRDefault="000B2EBD" w:rsidP="008E7784">
            <w:pPr>
              <w:tabs>
                <w:tab w:val="left" w:pos="2385"/>
              </w:tabs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4615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B2EBD" w:rsidRPr="008E7784" w:rsidRDefault="000B2EBD" w:rsidP="008E7784">
            <w:pPr>
              <w:tabs>
                <w:tab w:val="left" w:pos="2385"/>
              </w:tabs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4467</w:t>
            </w:r>
          </w:p>
        </w:tc>
      </w:tr>
    </w:tbl>
    <w:p w:rsidR="00DB489B" w:rsidRPr="005A2D28" w:rsidRDefault="00DB489B" w:rsidP="005A2D28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</w:p>
    <w:p w:rsidR="00E07C71" w:rsidRPr="005A2D28" w:rsidRDefault="00E07C71" w:rsidP="005A2D28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Далее рассмотрим демографию предприятий в сфере ресторанного бизнеса, которая характеризуется коэффициентами рождаемости и ликвидации, в сравнении с тем же показателями в среднем по России.</w:t>
      </w:r>
      <w:r w:rsidR="00730183" w:rsidRPr="005A2D28">
        <w:rPr>
          <w:sz w:val="28"/>
          <w:szCs w:val="28"/>
        </w:rPr>
        <w:t xml:space="preserve"> </w:t>
      </w:r>
    </w:p>
    <w:p w:rsidR="005A2D28" w:rsidRDefault="005A2D28" w:rsidP="005A2D28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</w:p>
    <w:p w:rsidR="00E07C71" w:rsidRPr="005A2D28" w:rsidRDefault="00E07C71" w:rsidP="005A2D28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Таблица 2</w:t>
      </w:r>
      <w:r w:rsidR="008F3DD1" w:rsidRPr="005A2D28">
        <w:rPr>
          <w:rStyle w:val="a6"/>
          <w:sz w:val="28"/>
          <w:szCs w:val="28"/>
        </w:rPr>
        <w:footnoteReference w:id="1"/>
      </w:r>
    </w:p>
    <w:p w:rsidR="00E07C71" w:rsidRPr="005A2D28" w:rsidRDefault="00730183" w:rsidP="005A2D28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Показатели образования и ликвидации предприятий по РФ и Нижегородской области в сфере ресторанного бизнеса в 2006 – 2009 гг.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2725"/>
        <w:gridCol w:w="1252"/>
        <w:gridCol w:w="1252"/>
        <w:gridCol w:w="1252"/>
        <w:gridCol w:w="1250"/>
      </w:tblGrid>
      <w:tr w:rsidR="00E07C71" w:rsidRPr="008E7784" w:rsidTr="008E7784">
        <w:trPr>
          <w:jc w:val="center"/>
        </w:trPr>
        <w:tc>
          <w:tcPr>
            <w:tcW w:w="4428" w:type="dxa"/>
            <w:gridSpan w:val="2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</w:p>
        </w:tc>
        <w:tc>
          <w:tcPr>
            <w:tcW w:w="1285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2006</w:t>
            </w:r>
          </w:p>
        </w:tc>
        <w:tc>
          <w:tcPr>
            <w:tcW w:w="1286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2007</w:t>
            </w:r>
          </w:p>
        </w:tc>
        <w:tc>
          <w:tcPr>
            <w:tcW w:w="1286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2008</w:t>
            </w:r>
          </w:p>
        </w:tc>
        <w:tc>
          <w:tcPr>
            <w:tcW w:w="1286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2009</w:t>
            </w:r>
          </w:p>
        </w:tc>
      </w:tr>
      <w:tr w:rsidR="00E07C71" w:rsidRPr="008E7784" w:rsidTr="008E7784">
        <w:trPr>
          <w:jc w:val="center"/>
        </w:trPr>
        <w:tc>
          <w:tcPr>
            <w:tcW w:w="1636" w:type="dxa"/>
            <w:vMerge w:val="restart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Коэффициент рождаемости</w:t>
            </w:r>
          </w:p>
        </w:tc>
        <w:tc>
          <w:tcPr>
            <w:tcW w:w="2792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РФ</w:t>
            </w:r>
          </w:p>
        </w:tc>
        <w:tc>
          <w:tcPr>
            <w:tcW w:w="1285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12</w:t>
            </w:r>
            <w:r w:rsidR="00730183" w:rsidRPr="008E7784">
              <w:rPr>
                <w:sz w:val="20"/>
              </w:rPr>
              <w:t>,</w:t>
            </w:r>
            <w:r w:rsidRPr="008E7784">
              <w:rPr>
                <w:sz w:val="20"/>
              </w:rPr>
              <w:t>38</w:t>
            </w:r>
          </w:p>
        </w:tc>
        <w:tc>
          <w:tcPr>
            <w:tcW w:w="1286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11</w:t>
            </w:r>
            <w:r w:rsidR="00730183" w:rsidRPr="008E7784">
              <w:rPr>
                <w:sz w:val="20"/>
              </w:rPr>
              <w:t>,</w:t>
            </w:r>
            <w:r w:rsidRPr="008E7784">
              <w:rPr>
                <w:sz w:val="20"/>
              </w:rPr>
              <w:t>24</w:t>
            </w:r>
          </w:p>
        </w:tc>
        <w:tc>
          <w:tcPr>
            <w:tcW w:w="1286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11</w:t>
            </w:r>
            <w:r w:rsidR="00730183" w:rsidRPr="008E7784">
              <w:rPr>
                <w:sz w:val="20"/>
              </w:rPr>
              <w:t>,</w:t>
            </w:r>
            <w:r w:rsidRPr="008E7784">
              <w:rPr>
                <w:sz w:val="20"/>
              </w:rPr>
              <w:t>52</w:t>
            </w:r>
          </w:p>
        </w:tc>
        <w:tc>
          <w:tcPr>
            <w:tcW w:w="1286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8</w:t>
            </w:r>
            <w:r w:rsidR="00730183" w:rsidRPr="008E7784">
              <w:rPr>
                <w:sz w:val="20"/>
              </w:rPr>
              <w:t>,</w:t>
            </w:r>
            <w:r w:rsidRPr="008E7784">
              <w:rPr>
                <w:sz w:val="20"/>
              </w:rPr>
              <w:t>87</w:t>
            </w:r>
          </w:p>
        </w:tc>
      </w:tr>
      <w:tr w:rsidR="00E07C71" w:rsidRPr="008E7784" w:rsidTr="008E7784">
        <w:trPr>
          <w:jc w:val="center"/>
        </w:trPr>
        <w:tc>
          <w:tcPr>
            <w:tcW w:w="1636" w:type="dxa"/>
            <w:vMerge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</w:p>
        </w:tc>
        <w:tc>
          <w:tcPr>
            <w:tcW w:w="2792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Нижегородская область</w:t>
            </w:r>
          </w:p>
        </w:tc>
        <w:tc>
          <w:tcPr>
            <w:tcW w:w="1285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13</w:t>
            </w:r>
            <w:r w:rsidR="00730183" w:rsidRPr="008E7784">
              <w:rPr>
                <w:sz w:val="20"/>
              </w:rPr>
              <w:t>,</w:t>
            </w:r>
            <w:r w:rsidRPr="008E7784">
              <w:rPr>
                <w:sz w:val="20"/>
              </w:rPr>
              <w:t>99</w:t>
            </w:r>
          </w:p>
        </w:tc>
        <w:tc>
          <w:tcPr>
            <w:tcW w:w="1286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13</w:t>
            </w:r>
            <w:r w:rsidR="00730183" w:rsidRPr="008E7784">
              <w:rPr>
                <w:sz w:val="20"/>
              </w:rPr>
              <w:t>,</w:t>
            </w:r>
            <w:r w:rsidRPr="008E7784">
              <w:rPr>
                <w:sz w:val="20"/>
              </w:rPr>
              <w:t>01</w:t>
            </w:r>
          </w:p>
        </w:tc>
        <w:tc>
          <w:tcPr>
            <w:tcW w:w="1286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13</w:t>
            </w:r>
            <w:r w:rsidR="00730183" w:rsidRPr="008E7784">
              <w:rPr>
                <w:sz w:val="20"/>
              </w:rPr>
              <w:t>,</w:t>
            </w:r>
            <w:r w:rsidRPr="008E7784">
              <w:rPr>
                <w:sz w:val="20"/>
              </w:rPr>
              <w:t>53</w:t>
            </w:r>
          </w:p>
        </w:tc>
        <w:tc>
          <w:tcPr>
            <w:tcW w:w="1286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10</w:t>
            </w:r>
            <w:r w:rsidR="00730183" w:rsidRPr="008E7784">
              <w:rPr>
                <w:sz w:val="20"/>
              </w:rPr>
              <w:t>,</w:t>
            </w:r>
            <w:r w:rsidRPr="008E7784">
              <w:rPr>
                <w:sz w:val="20"/>
              </w:rPr>
              <w:t>3</w:t>
            </w:r>
          </w:p>
        </w:tc>
      </w:tr>
      <w:tr w:rsidR="00E07C71" w:rsidRPr="008E7784" w:rsidTr="008E7784">
        <w:trPr>
          <w:jc w:val="center"/>
        </w:trPr>
        <w:tc>
          <w:tcPr>
            <w:tcW w:w="1636" w:type="dxa"/>
            <w:vMerge w:val="restart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Коэффициент ликвидации</w:t>
            </w:r>
          </w:p>
        </w:tc>
        <w:tc>
          <w:tcPr>
            <w:tcW w:w="2792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РФ</w:t>
            </w:r>
          </w:p>
        </w:tc>
        <w:tc>
          <w:tcPr>
            <w:tcW w:w="1285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6</w:t>
            </w:r>
            <w:r w:rsidR="00730183" w:rsidRPr="008E7784">
              <w:rPr>
                <w:sz w:val="20"/>
              </w:rPr>
              <w:t>,</w:t>
            </w:r>
            <w:r w:rsidRPr="008E7784">
              <w:rPr>
                <w:sz w:val="20"/>
              </w:rPr>
              <w:t>53</w:t>
            </w:r>
          </w:p>
        </w:tc>
        <w:tc>
          <w:tcPr>
            <w:tcW w:w="1286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6</w:t>
            </w:r>
            <w:r w:rsidR="00730183" w:rsidRPr="008E7784">
              <w:rPr>
                <w:sz w:val="20"/>
              </w:rPr>
              <w:t>,</w:t>
            </w:r>
            <w:r w:rsidRPr="008E7784">
              <w:rPr>
                <w:sz w:val="20"/>
              </w:rPr>
              <w:t>66</w:t>
            </w:r>
          </w:p>
        </w:tc>
        <w:tc>
          <w:tcPr>
            <w:tcW w:w="1286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3</w:t>
            </w:r>
            <w:r w:rsidR="00730183" w:rsidRPr="008E7784">
              <w:rPr>
                <w:sz w:val="20"/>
              </w:rPr>
              <w:t>,</w:t>
            </w:r>
            <w:r w:rsidRPr="008E7784">
              <w:rPr>
                <w:sz w:val="20"/>
              </w:rPr>
              <w:t>6</w:t>
            </w:r>
          </w:p>
        </w:tc>
        <w:tc>
          <w:tcPr>
            <w:tcW w:w="1286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4</w:t>
            </w:r>
            <w:r w:rsidR="00730183" w:rsidRPr="008E7784">
              <w:rPr>
                <w:sz w:val="20"/>
              </w:rPr>
              <w:t>,</w:t>
            </w:r>
            <w:r w:rsidRPr="008E7784">
              <w:rPr>
                <w:sz w:val="20"/>
              </w:rPr>
              <w:t>2</w:t>
            </w:r>
          </w:p>
        </w:tc>
      </w:tr>
      <w:tr w:rsidR="00E07C71" w:rsidRPr="008E7784" w:rsidTr="008E7784">
        <w:trPr>
          <w:jc w:val="center"/>
        </w:trPr>
        <w:tc>
          <w:tcPr>
            <w:tcW w:w="1636" w:type="dxa"/>
            <w:vMerge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</w:p>
        </w:tc>
        <w:tc>
          <w:tcPr>
            <w:tcW w:w="2792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Нижегородская область</w:t>
            </w:r>
          </w:p>
        </w:tc>
        <w:tc>
          <w:tcPr>
            <w:tcW w:w="1285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11</w:t>
            </w:r>
            <w:r w:rsidR="00730183" w:rsidRPr="008E7784">
              <w:rPr>
                <w:sz w:val="20"/>
              </w:rPr>
              <w:t>,</w:t>
            </w:r>
            <w:r w:rsidRPr="008E7784">
              <w:rPr>
                <w:sz w:val="20"/>
              </w:rPr>
              <w:t>93</w:t>
            </w:r>
          </w:p>
        </w:tc>
        <w:tc>
          <w:tcPr>
            <w:tcW w:w="1286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11</w:t>
            </w:r>
            <w:r w:rsidR="00730183" w:rsidRPr="008E7784">
              <w:rPr>
                <w:sz w:val="20"/>
              </w:rPr>
              <w:t>,</w:t>
            </w:r>
            <w:r w:rsidRPr="008E7784">
              <w:rPr>
                <w:sz w:val="20"/>
              </w:rPr>
              <w:t>41</w:t>
            </w:r>
          </w:p>
        </w:tc>
        <w:tc>
          <w:tcPr>
            <w:tcW w:w="1286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4</w:t>
            </w:r>
            <w:r w:rsidR="00730183" w:rsidRPr="008E7784">
              <w:rPr>
                <w:sz w:val="20"/>
              </w:rPr>
              <w:t>,</w:t>
            </w:r>
            <w:r w:rsidRPr="008E7784">
              <w:rPr>
                <w:sz w:val="20"/>
              </w:rPr>
              <w:t>07</w:t>
            </w:r>
          </w:p>
        </w:tc>
        <w:tc>
          <w:tcPr>
            <w:tcW w:w="1286" w:type="dxa"/>
            <w:shd w:val="clear" w:color="auto" w:fill="auto"/>
          </w:tcPr>
          <w:p w:rsidR="00E07C71" w:rsidRPr="008E7784" w:rsidRDefault="00E07C71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4</w:t>
            </w:r>
            <w:r w:rsidR="00730183" w:rsidRPr="008E7784">
              <w:rPr>
                <w:sz w:val="20"/>
              </w:rPr>
              <w:t>,</w:t>
            </w:r>
            <w:r w:rsidRPr="008E7784">
              <w:rPr>
                <w:sz w:val="20"/>
              </w:rPr>
              <w:t>23</w:t>
            </w:r>
          </w:p>
        </w:tc>
      </w:tr>
    </w:tbl>
    <w:p w:rsidR="00E07C71" w:rsidRPr="005A2D28" w:rsidRDefault="00E07C71" w:rsidP="005A2D28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</w:p>
    <w:p w:rsidR="00730183" w:rsidRPr="005A2D28" w:rsidRDefault="00730183" w:rsidP="005A2D28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 xml:space="preserve">Сопоставив данные, указанные в Таблице 1 и 2 можно сделать вывод о стадии жизненного цикла исследуемой отрасли. Прежде всего, стоит отметить, что показатель рождаемости по области выше усредненного показателя по стране, а также он превосходит аналогичный показатель ликвидации. Подобный факт можно трактовать как позитивное явление, однако при обращении к абсолютному показателю динамики численности предприятий, выясняется, что </w:t>
      </w:r>
      <w:r w:rsidR="00F5448E" w:rsidRPr="005A2D28">
        <w:rPr>
          <w:sz w:val="28"/>
          <w:szCs w:val="28"/>
        </w:rPr>
        <w:t>количество предприятий сокращалось на протяжении выбранного периода исследования. Скорее всего, это объясняется негативными последствиями мирового экономического кризиса 2008 г., серьезно затронувшего российскую экономику в части падения совокупных доходов населения, а значит и совокупного спроса во всех отраслях народного хозяйства.</w:t>
      </w:r>
      <w:r w:rsidR="00D41F3E" w:rsidRPr="005A2D28">
        <w:rPr>
          <w:sz w:val="28"/>
          <w:szCs w:val="28"/>
        </w:rPr>
        <w:t xml:space="preserve"> Подтверждением тому могут стать следующие данные, на основе которых следует сделать вывод о насыщенности анализируемой отрасли, что соответствует стадии зрелости. </w:t>
      </w:r>
    </w:p>
    <w:p w:rsidR="003E6D4D" w:rsidRPr="005A2D28" w:rsidRDefault="003E6D4D" w:rsidP="005A2D28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 xml:space="preserve">Обратимся к показателям финансовой отчетности предприятий, а также общему уровню их состояния при использовании иных показателей. </w:t>
      </w:r>
    </w:p>
    <w:p w:rsidR="005A2D28" w:rsidRPr="005A2D28" w:rsidRDefault="005A2D28" w:rsidP="005A2D28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Основные показатели деятельности предприятий, занятых в сфере ресторанного бизнеса Нижегородской области в 2007 – 2011 гг.</w:t>
      </w:r>
    </w:p>
    <w:p w:rsidR="005A2D28" w:rsidRPr="005A2D28" w:rsidRDefault="005A2D28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Данные Таблицы 3 существенно детализирует общее состояние отрасли ресторанного дела по Нижегородской области, а также вырисовывают перспективы дальнейшего развития ситуации в ней. Так мы видим, что объем получаемой предприятиями прибыли упал за пять</w:t>
      </w:r>
      <w:r>
        <w:rPr>
          <w:sz w:val="28"/>
          <w:szCs w:val="28"/>
        </w:rPr>
        <w:t xml:space="preserve"> </w:t>
      </w:r>
      <w:r w:rsidRPr="005A2D28">
        <w:rPr>
          <w:sz w:val="28"/>
          <w:szCs w:val="28"/>
        </w:rPr>
        <w:t>последних лет в 43, 8 раз с 38</w:t>
      </w:r>
      <w:r>
        <w:rPr>
          <w:sz w:val="28"/>
          <w:szCs w:val="28"/>
        </w:rPr>
        <w:t xml:space="preserve"> </w:t>
      </w:r>
      <w:r w:rsidRPr="005A2D28">
        <w:rPr>
          <w:sz w:val="28"/>
          <w:szCs w:val="28"/>
        </w:rPr>
        <w:t>502 тыс. руб. до 878 тыс. руб. по состоянию на 1.01.2011 г., что может сигнализировать главным образом о падении спроса у потребителей данного вида услуги вследствие сокращения их доходов. В то же время менеджментом предприятия были проведены специальные мероприятия по сокращению дебиторской задолженности, средств извлеченных из оборота предприятий, а, значит, уменьшивших</w:t>
      </w:r>
      <w:r>
        <w:rPr>
          <w:sz w:val="28"/>
          <w:szCs w:val="28"/>
        </w:rPr>
        <w:t xml:space="preserve"> </w:t>
      </w:r>
      <w:r w:rsidRPr="005A2D28">
        <w:rPr>
          <w:sz w:val="28"/>
          <w:szCs w:val="28"/>
        </w:rPr>
        <w:t>значение показателя прибыли. Однако также стоит указать на ощутимое увеличение кредиторской задолженности в последние два отчетных года 31, 3 % с 12</w:t>
      </w:r>
      <w:r>
        <w:rPr>
          <w:sz w:val="28"/>
          <w:szCs w:val="28"/>
        </w:rPr>
        <w:t xml:space="preserve"> </w:t>
      </w:r>
      <w:r w:rsidRPr="005A2D28">
        <w:rPr>
          <w:sz w:val="28"/>
          <w:szCs w:val="28"/>
        </w:rPr>
        <w:t>513 тыс. руб. по состоянию на 1.01.2010 г. до 16</w:t>
      </w:r>
      <w:r>
        <w:rPr>
          <w:sz w:val="28"/>
          <w:szCs w:val="28"/>
        </w:rPr>
        <w:t xml:space="preserve"> </w:t>
      </w:r>
      <w:r w:rsidRPr="005A2D28">
        <w:rPr>
          <w:sz w:val="28"/>
          <w:szCs w:val="28"/>
        </w:rPr>
        <w:t>434 тыс. руб. на 1.01.2011 г.</w:t>
      </w:r>
    </w:p>
    <w:p w:rsidR="005A2D28" w:rsidRDefault="005A2D28" w:rsidP="005A2D28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</w:p>
    <w:p w:rsidR="0019001C" w:rsidRPr="005A2D28" w:rsidRDefault="005A2D28" w:rsidP="005A2D28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013B" w:rsidRPr="005A2D28">
        <w:rPr>
          <w:sz w:val="28"/>
          <w:szCs w:val="28"/>
        </w:rPr>
        <w:t>Таблица 3</w:t>
      </w:r>
      <w:r w:rsidR="008F3DD1" w:rsidRPr="005A2D28">
        <w:rPr>
          <w:rStyle w:val="a6"/>
          <w:sz w:val="28"/>
          <w:szCs w:val="28"/>
        </w:rPr>
        <w:footnoteReference w:id="2"/>
      </w:r>
    </w:p>
    <w:tbl>
      <w:tblPr>
        <w:tblpPr w:leftFromText="180" w:rightFromText="180" w:vertAnchor="page" w:horzAnchor="margin" w:tblpY="1855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884"/>
        <w:gridCol w:w="1082"/>
        <w:gridCol w:w="1230"/>
        <w:gridCol w:w="1230"/>
        <w:gridCol w:w="1082"/>
        <w:gridCol w:w="1230"/>
      </w:tblGrid>
      <w:tr w:rsidR="005A2D28" w:rsidRPr="008E7784" w:rsidTr="008E7784">
        <w:tc>
          <w:tcPr>
            <w:tcW w:w="1616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2007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2008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2009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2010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2011</w:t>
            </w:r>
          </w:p>
        </w:tc>
      </w:tr>
      <w:tr w:rsidR="005A2D28" w:rsidRPr="008E7784" w:rsidTr="008E7784">
        <w:tc>
          <w:tcPr>
            <w:tcW w:w="1616" w:type="dxa"/>
            <w:vMerge w:val="restart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Прибыль</w:t>
            </w:r>
          </w:p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(убыток), тыс. руб.</w:t>
            </w:r>
          </w:p>
        </w:tc>
        <w:tc>
          <w:tcPr>
            <w:tcW w:w="1884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Всего по отраслям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53862056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88975146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100106267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45715535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90673020</w:t>
            </w:r>
          </w:p>
        </w:tc>
      </w:tr>
      <w:tr w:rsidR="005A2D28" w:rsidRPr="008E7784" w:rsidTr="008E7784">
        <w:tc>
          <w:tcPr>
            <w:tcW w:w="1616" w:type="dxa"/>
            <w:vMerge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Деятельность ресторанов и кафе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38502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84415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84555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1186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878</w:t>
            </w:r>
          </w:p>
        </w:tc>
      </w:tr>
      <w:tr w:rsidR="005A2D28" w:rsidRPr="008E7784" w:rsidTr="008E7784">
        <w:tc>
          <w:tcPr>
            <w:tcW w:w="1616" w:type="dxa"/>
            <w:vMerge w:val="restart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Стоимость оборотных средств, тыс. руб.</w:t>
            </w:r>
          </w:p>
        </w:tc>
        <w:tc>
          <w:tcPr>
            <w:tcW w:w="1884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Всего по отраслям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316101767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441303781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636461648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644040118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714552833</w:t>
            </w:r>
          </w:p>
        </w:tc>
      </w:tr>
      <w:tr w:rsidR="005A2D28" w:rsidRPr="008E7784" w:rsidTr="008E7784">
        <w:tc>
          <w:tcPr>
            <w:tcW w:w="1616" w:type="dxa"/>
            <w:vMerge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Деятельность ресторанов и кафе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47268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119956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47061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16221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27755</w:t>
            </w:r>
          </w:p>
        </w:tc>
      </w:tr>
      <w:tr w:rsidR="005A2D28" w:rsidRPr="008E7784" w:rsidTr="008E7784">
        <w:tc>
          <w:tcPr>
            <w:tcW w:w="1616" w:type="dxa"/>
            <w:vMerge w:val="restart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Дебиторская задолж-ть, тыс. руб.</w:t>
            </w:r>
          </w:p>
        </w:tc>
        <w:tc>
          <w:tcPr>
            <w:tcW w:w="1884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Всего по отраслям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141069050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217548402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285884781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281599022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304146664</w:t>
            </w:r>
          </w:p>
        </w:tc>
      </w:tr>
      <w:tr w:rsidR="005A2D28" w:rsidRPr="008E7784" w:rsidTr="008E7784">
        <w:tc>
          <w:tcPr>
            <w:tcW w:w="1616" w:type="dxa"/>
            <w:vMerge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Деятельность ресторанов и кафе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11523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44938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13387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5250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4279</w:t>
            </w:r>
          </w:p>
        </w:tc>
      </w:tr>
      <w:tr w:rsidR="005A2D28" w:rsidRPr="008E7784" w:rsidTr="008E7784">
        <w:tc>
          <w:tcPr>
            <w:tcW w:w="1616" w:type="dxa"/>
            <w:vMerge w:val="restart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Кредиторская задолж-ть, тыс. руб.</w:t>
            </w:r>
          </w:p>
        </w:tc>
        <w:tc>
          <w:tcPr>
            <w:tcW w:w="1884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Всего по отраслям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169432015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220971228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302411091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326484298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355667158</w:t>
            </w:r>
          </w:p>
        </w:tc>
      </w:tr>
      <w:tr w:rsidR="005A2D28" w:rsidRPr="008E7784" w:rsidTr="008E7784">
        <w:tc>
          <w:tcPr>
            <w:tcW w:w="1616" w:type="dxa"/>
            <w:vMerge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Деятельность ресторанов и кафе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28641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48492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34794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12513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16434</w:t>
            </w:r>
          </w:p>
        </w:tc>
      </w:tr>
      <w:tr w:rsidR="005A2D28" w:rsidRPr="008E7784" w:rsidTr="008E7784">
        <w:tc>
          <w:tcPr>
            <w:tcW w:w="1616" w:type="dxa"/>
            <w:vMerge w:val="restart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Коэфф. обеспеч. собств. матер. оборотн. сред-ми, %</w:t>
            </w:r>
          </w:p>
        </w:tc>
        <w:tc>
          <w:tcPr>
            <w:tcW w:w="1884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Всего по отраслям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-34,52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-20,73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-23,4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-27,15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-23,51</w:t>
            </w:r>
          </w:p>
        </w:tc>
      </w:tr>
      <w:tr w:rsidR="005A2D28" w:rsidRPr="008E7784" w:rsidTr="008E7784">
        <w:tc>
          <w:tcPr>
            <w:tcW w:w="1616" w:type="dxa"/>
            <w:vMerge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Деятельность ресторанов и кафе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-34,89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7,68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-27,7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-98,32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-1,86</w:t>
            </w:r>
          </w:p>
        </w:tc>
      </w:tr>
      <w:tr w:rsidR="005A2D28" w:rsidRPr="008E7784" w:rsidTr="008E7784">
        <w:tc>
          <w:tcPr>
            <w:tcW w:w="1616" w:type="dxa"/>
            <w:vMerge w:val="restart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Коэффициент текущей ликвидности, %</w:t>
            </w:r>
          </w:p>
        </w:tc>
        <w:tc>
          <w:tcPr>
            <w:tcW w:w="1884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Всего по отраслям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134,5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142,13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151,89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153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163,09</w:t>
            </w:r>
          </w:p>
        </w:tc>
      </w:tr>
      <w:tr w:rsidR="005A2D28" w:rsidRPr="008E7784" w:rsidTr="008E7784">
        <w:tc>
          <w:tcPr>
            <w:tcW w:w="1616" w:type="dxa"/>
            <w:vMerge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Деятельность ресторанов и кафе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134,2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160,71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127,85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106,76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116,51</w:t>
            </w:r>
          </w:p>
        </w:tc>
      </w:tr>
      <w:tr w:rsidR="005A2D28" w:rsidRPr="008E7784" w:rsidTr="008E7784">
        <w:tc>
          <w:tcPr>
            <w:tcW w:w="1616" w:type="dxa"/>
            <w:vMerge w:val="restart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Рентабельность всех активов, %</w:t>
            </w:r>
          </w:p>
        </w:tc>
        <w:tc>
          <w:tcPr>
            <w:tcW w:w="1884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Всего по отраслям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-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9,83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8,28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3,63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6,56</w:t>
            </w:r>
          </w:p>
        </w:tc>
      </w:tr>
      <w:tr w:rsidR="005A2D28" w:rsidRPr="008E7784" w:rsidTr="008E7784">
        <w:tc>
          <w:tcPr>
            <w:tcW w:w="1616" w:type="dxa"/>
            <w:vMerge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Деятельность ресторанов и кафе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-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37,56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61,55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2,2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1,69</w:t>
            </w:r>
          </w:p>
        </w:tc>
      </w:tr>
      <w:tr w:rsidR="005A2D28" w:rsidRPr="008E7784" w:rsidTr="008E7784">
        <w:tc>
          <w:tcPr>
            <w:tcW w:w="1616" w:type="dxa"/>
            <w:vMerge w:val="restart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Уровень рентабельности услуг, %</w:t>
            </w:r>
          </w:p>
        </w:tc>
        <w:tc>
          <w:tcPr>
            <w:tcW w:w="1884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Всего по отраслям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-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8,17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9,01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7,95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9,13</w:t>
            </w:r>
          </w:p>
        </w:tc>
      </w:tr>
      <w:tr w:rsidR="005A2D28" w:rsidRPr="008E7784" w:rsidTr="008E7784">
        <w:tc>
          <w:tcPr>
            <w:tcW w:w="1616" w:type="dxa"/>
            <w:vMerge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Деятельность ресторанов и кафе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-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15,22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14,58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1,05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4,24</w:t>
            </w:r>
          </w:p>
        </w:tc>
      </w:tr>
      <w:tr w:rsidR="005A2D28" w:rsidRPr="008E7784" w:rsidTr="008E7784">
        <w:tc>
          <w:tcPr>
            <w:tcW w:w="1616" w:type="dxa"/>
            <w:vMerge w:val="restart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Себестоимость услуг, тыс. руб.</w:t>
            </w:r>
          </w:p>
        </w:tc>
        <w:tc>
          <w:tcPr>
            <w:tcW w:w="1884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Всего по отраслям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-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1036500196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1131964331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937386153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1143964762</w:t>
            </w:r>
          </w:p>
        </w:tc>
      </w:tr>
      <w:tr w:rsidR="005A2D28" w:rsidRPr="008E7784" w:rsidTr="008E7784">
        <w:tc>
          <w:tcPr>
            <w:tcW w:w="1616" w:type="dxa"/>
            <w:vMerge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</w:p>
        </w:tc>
        <w:tc>
          <w:tcPr>
            <w:tcW w:w="1884" w:type="dxa"/>
            <w:shd w:val="clear" w:color="auto" w:fill="auto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Деятельность ресторанов и кафе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</w:rPr>
            </w:pPr>
            <w:r w:rsidRPr="008E7784">
              <w:rPr>
                <w:sz w:val="20"/>
              </w:rPr>
              <w:t>-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447793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442536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127957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A2D28" w:rsidRPr="008E7784" w:rsidRDefault="005A2D28" w:rsidP="008E7784">
            <w:pPr>
              <w:spacing w:line="360" w:lineRule="auto"/>
              <w:rPr>
                <w:sz w:val="20"/>
                <w:szCs w:val="22"/>
              </w:rPr>
            </w:pPr>
            <w:r w:rsidRPr="008E7784">
              <w:rPr>
                <w:sz w:val="20"/>
                <w:szCs w:val="22"/>
              </w:rPr>
              <w:t>152695</w:t>
            </w:r>
          </w:p>
        </w:tc>
      </w:tr>
    </w:tbl>
    <w:p w:rsidR="005A2D28" w:rsidRDefault="005A2D28" w:rsidP="005A2D28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994" w:rsidRPr="005A2D28" w:rsidRDefault="009E273D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7405A2" w:rsidRPr="005A2D28">
        <w:rPr>
          <w:sz w:val="28"/>
          <w:szCs w:val="28"/>
        </w:rPr>
        <w:t>у предприятия достаточного объема собственных оборотных средств является также одним из главных условий его финансовой устойчивости, в связи, с чем в той же таблице был приведен Коэффициент обеспеченности собственными материальными оборотными средствам</w:t>
      </w:r>
      <w:r w:rsidR="00F33773" w:rsidRPr="005A2D28">
        <w:rPr>
          <w:sz w:val="28"/>
          <w:szCs w:val="28"/>
        </w:rPr>
        <w:t>, нормальное значение которого установлено в размере больше 10 %. Данное требование не удовлетворяется в течение всего периода наблюдения, значение показателя имеет сильно меняющуюся структуру, причем отклонение выражено чрезвычайно. Единственным</w:t>
      </w:r>
      <w:r w:rsidR="0017673A" w:rsidRPr="005A2D28">
        <w:rPr>
          <w:sz w:val="28"/>
          <w:szCs w:val="28"/>
        </w:rPr>
        <w:t xml:space="preserve"> позитивным фактом здесь является восходящий тренд, значение которого на 1.01.2011 г. составило</w:t>
      </w:r>
      <w:r w:rsidR="005A2D28">
        <w:rPr>
          <w:sz w:val="28"/>
          <w:szCs w:val="28"/>
        </w:rPr>
        <w:t xml:space="preserve"> </w:t>
      </w:r>
      <w:r w:rsidR="0017673A" w:rsidRPr="005A2D28">
        <w:rPr>
          <w:sz w:val="28"/>
          <w:szCs w:val="28"/>
        </w:rPr>
        <w:t xml:space="preserve">- 1, 86 %, что по-прежнему вне поля нормального состояния. Кроме того, показатель текущей ликвидности или покрытия также не отвечает установленному стандарту, равному 200 %. Данный показатель сократился на 15, 2 % по отрасли. </w:t>
      </w:r>
      <w:r w:rsidR="00374C72" w:rsidRPr="005A2D28">
        <w:rPr>
          <w:sz w:val="28"/>
          <w:szCs w:val="28"/>
        </w:rPr>
        <w:t>Подобные результаты соответствуют и падению общего уровня рентабельности и рентабельности оказываемой услуги, составившее, в процентном выражении, 95, 5 % и 72, 1 % соответственно. Однако стоит отметить и позитивный фактор развития отрасли, за обозначенный период произошло значительное снижение себестоимости услуги с 447</w:t>
      </w:r>
      <w:r w:rsidR="005A2D28">
        <w:rPr>
          <w:sz w:val="28"/>
          <w:szCs w:val="28"/>
        </w:rPr>
        <w:t xml:space="preserve"> </w:t>
      </w:r>
      <w:r w:rsidR="00374C72" w:rsidRPr="005A2D28">
        <w:rPr>
          <w:sz w:val="28"/>
          <w:szCs w:val="28"/>
        </w:rPr>
        <w:t>793 тыс. руб. до 152</w:t>
      </w:r>
      <w:r w:rsidR="005A2D28">
        <w:rPr>
          <w:sz w:val="28"/>
          <w:szCs w:val="28"/>
        </w:rPr>
        <w:t xml:space="preserve"> </w:t>
      </w:r>
      <w:r w:rsidR="00374C72" w:rsidRPr="005A2D28">
        <w:rPr>
          <w:sz w:val="28"/>
          <w:szCs w:val="28"/>
        </w:rPr>
        <w:t xml:space="preserve">695 тыс. руб. в 2007 и 2010 гг. соответственно. </w:t>
      </w:r>
      <w:r w:rsidR="009A62D7" w:rsidRPr="005A2D28">
        <w:rPr>
          <w:sz w:val="28"/>
          <w:szCs w:val="28"/>
        </w:rPr>
        <w:t>Хотя, скорее всего, такая динамика была вызвана либо сокращением ассортимента, либо вынужденным сокращением расходных статей, что также могло отрицательно сказаться на качестве оказываемой услуги.</w:t>
      </w:r>
    </w:p>
    <w:p w:rsidR="00326978" w:rsidRPr="005A2D28" w:rsidRDefault="00326978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Резюмируя всё вышеописанное в соответствии с целями работы, можно выявить следующие особенности и перспективы:</w:t>
      </w:r>
    </w:p>
    <w:p w:rsidR="00326978" w:rsidRPr="009E273D" w:rsidRDefault="00326978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- количество потребителей услуги</w:t>
      </w:r>
      <w:r w:rsidR="00676A0A" w:rsidRPr="005A2D28">
        <w:rPr>
          <w:sz w:val="28"/>
          <w:szCs w:val="28"/>
        </w:rPr>
        <w:t xml:space="preserve"> (в соответствии выбранным ГК “ПИР” принципом демократичности создаваемых заведений, данными статистики о доходах населения, а также индексом стоимости жизни, равным в 2010 г. по г. Н.Новгород и Нижегородской области</w:t>
      </w:r>
      <w:r w:rsidR="00C121FB" w:rsidRPr="005A2D28">
        <w:rPr>
          <w:sz w:val="28"/>
          <w:szCs w:val="28"/>
        </w:rPr>
        <w:t xml:space="preserve"> 100, 3 % и</w:t>
      </w:r>
      <w:r w:rsidR="00676A0A" w:rsidRPr="005A2D28">
        <w:rPr>
          <w:sz w:val="28"/>
          <w:szCs w:val="28"/>
        </w:rPr>
        <w:t xml:space="preserve"> 92, 6 %</w:t>
      </w:r>
      <w:r w:rsidR="00C121FB" w:rsidRPr="005A2D28">
        <w:rPr>
          <w:sz w:val="28"/>
          <w:szCs w:val="28"/>
        </w:rPr>
        <w:t xml:space="preserve"> соответственно</w:t>
      </w:r>
      <w:r w:rsidR="00676A0A" w:rsidRPr="005A2D28">
        <w:rPr>
          <w:sz w:val="28"/>
          <w:szCs w:val="28"/>
        </w:rPr>
        <w:t>)</w:t>
      </w:r>
      <w:r w:rsidR="00C121FB" w:rsidRPr="005A2D28">
        <w:rPr>
          <w:sz w:val="28"/>
          <w:szCs w:val="28"/>
        </w:rPr>
        <w:t xml:space="preserve"> около 100 500 человек;</w:t>
      </w:r>
    </w:p>
    <w:p w:rsidR="009F296A" w:rsidRPr="005A2D28" w:rsidRDefault="00C121FB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- скорость технологических изменений в отрасли является достаточно низкой, вследствие отвлечения крупных объемов денежных средств</w:t>
      </w:r>
      <w:r w:rsidR="009F296A" w:rsidRPr="005A2D28">
        <w:rPr>
          <w:sz w:val="28"/>
          <w:szCs w:val="28"/>
        </w:rPr>
        <w:t xml:space="preserve"> существующими предприятиями</w:t>
      </w:r>
      <w:r w:rsidRPr="005A2D28">
        <w:rPr>
          <w:sz w:val="28"/>
          <w:szCs w:val="28"/>
        </w:rPr>
        <w:t xml:space="preserve"> на решение оперативных и тактических задач</w:t>
      </w:r>
      <w:r w:rsidR="009F296A" w:rsidRPr="005A2D28">
        <w:rPr>
          <w:sz w:val="28"/>
          <w:szCs w:val="28"/>
        </w:rPr>
        <w:t xml:space="preserve"> по их поддержанию на существующем уровне и недопущении банкротств и ликвидаций;</w:t>
      </w:r>
    </w:p>
    <w:p w:rsidR="009F296A" w:rsidRPr="005A2D28" w:rsidRDefault="009F296A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-</w:t>
      </w:r>
      <w:r w:rsidR="005A2D28">
        <w:rPr>
          <w:sz w:val="28"/>
          <w:szCs w:val="28"/>
        </w:rPr>
        <w:t xml:space="preserve"> </w:t>
      </w:r>
      <w:r w:rsidRPr="005A2D28">
        <w:rPr>
          <w:sz w:val="28"/>
          <w:szCs w:val="28"/>
        </w:rPr>
        <w:t>степень дифференциации товаров/услуг предприятий-конкурентов можно охарактеризовать как среднюю;</w:t>
      </w:r>
    </w:p>
    <w:p w:rsidR="00C121FB" w:rsidRPr="005A2D28" w:rsidRDefault="009F296A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-</w:t>
      </w:r>
      <w:r w:rsidR="005A2D28">
        <w:rPr>
          <w:sz w:val="28"/>
          <w:szCs w:val="28"/>
        </w:rPr>
        <w:t xml:space="preserve"> </w:t>
      </w:r>
      <w:r w:rsidRPr="005A2D28">
        <w:rPr>
          <w:sz w:val="28"/>
          <w:szCs w:val="28"/>
        </w:rPr>
        <w:t>требуемый размер капиталовложений – около 10-15 млн. руб.;</w:t>
      </w:r>
    </w:p>
    <w:p w:rsidR="009F296A" w:rsidRPr="005A2D28" w:rsidRDefault="009F296A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 xml:space="preserve">- отраслевой показатель прибыльности отрасли ниже среднего по экономике, равен </w:t>
      </w:r>
      <w:r w:rsidR="00F6159B" w:rsidRPr="005A2D28">
        <w:rPr>
          <w:sz w:val="28"/>
          <w:szCs w:val="28"/>
        </w:rPr>
        <w:t>4, 24 % против 9, 13 % по экономике в целом.</w:t>
      </w:r>
    </w:p>
    <w:p w:rsidR="00F6159B" w:rsidRPr="005A2D28" w:rsidRDefault="00F6159B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</w:p>
    <w:p w:rsidR="00F6159B" w:rsidRPr="005A2D28" w:rsidRDefault="00F6159B" w:rsidP="005A2D28">
      <w:pPr>
        <w:tabs>
          <w:tab w:val="left" w:pos="166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2" w:name="_Toc289828027"/>
      <w:r w:rsidRPr="005A2D28">
        <w:rPr>
          <w:sz w:val="28"/>
          <w:szCs w:val="28"/>
        </w:rPr>
        <w:t>2. Форма и интенсивность конкуренции в отрасли</w:t>
      </w:r>
      <w:bookmarkEnd w:id="2"/>
    </w:p>
    <w:p w:rsidR="00C038C6" w:rsidRDefault="00C038C6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</w:p>
    <w:p w:rsidR="00F6159B" w:rsidRPr="005A2D28" w:rsidRDefault="00F6159B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Конкуренцию между участниками отрасли можно охарактеризовать как сильную на фоне падающего спроса и общего ухудшения экономической обстановки в регионе и отрасли. На фоне этого на первый план выходят ценовые методы конкурентной борьбы.</w:t>
      </w:r>
    </w:p>
    <w:p w:rsidR="00F6159B" w:rsidRPr="005A2D28" w:rsidRDefault="00F6159B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Вероятность вхождения на рынок соответствует общей негативной тенденции, выявленной ранее в части падения прибыли и ликвидации предприятий, в результате чего её можно оценить как низкую.</w:t>
      </w:r>
    </w:p>
    <w:p w:rsidR="005150B2" w:rsidRPr="005A2D28" w:rsidRDefault="005150B2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Конкурентное давление со стороны производителей товаров-заменителей сильное в силу прежде обозначенных факторов.</w:t>
      </w:r>
    </w:p>
    <w:p w:rsidR="005150B2" w:rsidRPr="005A2D28" w:rsidRDefault="00F6159B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 xml:space="preserve">Конкурентное давление поставщиков можно охарактеризовать как сильное вследствие повышения тарифов, отраженных в их косвенных расходах и переложенных на конечную стоимость предлагаемых услуг и товаров (повышение цен на </w:t>
      </w:r>
      <w:r w:rsidR="005150B2" w:rsidRPr="005A2D28">
        <w:rPr>
          <w:sz w:val="28"/>
          <w:szCs w:val="28"/>
        </w:rPr>
        <w:t>ГСМ</w:t>
      </w:r>
      <w:r w:rsidRPr="005A2D28">
        <w:rPr>
          <w:sz w:val="28"/>
          <w:szCs w:val="28"/>
        </w:rPr>
        <w:t>,</w:t>
      </w:r>
      <w:r w:rsidR="005150B2" w:rsidRPr="005A2D28">
        <w:rPr>
          <w:sz w:val="28"/>
          <w:szCs w:val="28"/>
        </w:rPr>
        <w:t xml:space="preserve"> общее увеличение жилищно-коммунальных тарифов и арендной платы</w:t>
      </w:r>
      <w:r w:rsidRPr="005A2D28">
        <w:rPr>
          <w:sz w:val="28"/>
          <w:szCs w:val="28"/>
        </w:rPr>
        <w:t>)</w:t>
      </w:r>
      <w:r w:rsidR="005150B2" w:rsidRPr="005A2D28">
        <w:rPr>
          <w:sz w:val="28"/>
          <w:szCs w:val="28"/>
        </w:rPr>
        <w:t>.</w:t>
      </w:r>
    </w:p>
    <w:p w:rsidR="005150B2" w:rsidRPr="005A2D28" w:rsidRDefault="005150B2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Конкурентное давление потребителей также высоко в силу их достаточной информированности об услуге и ценах на оказываемые услуги, а также из-за особой ценности каждого потребителя для данной отрасли.</w:t>
      </w:r>
    </w:p>
    <w:p w:rsidR="005150B2" w:rsidRPr="005A2D28" w:rsidRDefault="005150B2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</w:p>
    <w:p w:rsidR="005150B2" w:rsidRPr="005A2D28" w:rsidRDefault="00C038C6" w:rsidP="005A2D28">
      <w:pPr>
        <w:tabs>
          <w:tab w:val="left" w:pos="166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3" w:name="_Toc289828028"/>
      <w:r>
        <w:rPr>
          <w:sz w:val="28"/>
          <w:szCs w:val="28"/>
        </w:rPr>
        <w:br w:type="page"/>
      </w:r>
      <w:r w:rsidR="005150B2" w:rsidRPr="005A2D28">
        <w:rPr>
          <w:sz w:val="28"/>
          <w:szCs w:val="28"/>
        </w:rPr>
        <w:t>3. Причины изменений в структуре конкуренции</w:t>
      </w:r>
      <w:bookmarkEnd w:id="3"/>
    </w:p>
    <w:p w:rsidR="00C038C6" w:rsidRDefault="00C038C6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</w:p>
    <w:p w:rsidR="00623B86" w:rsidRPr="005A2D28" w:rsidRDefault="00623B86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Основными причинами изменений в структуре конкуренции на примере отрасли ресторанного бизнеса являются:</w:t>
      </w:r>
    </w:p>
    <w:p w:rsidR="005150B2" w:rsidRPr="005A2D28" w:rsidRDefault="00623B86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- изменение долгосрочных экономических тенденций отрасли (необходимость функционирования на падающем спросе);</w:t>
      </w:r>
    </w:p>
    <w:p w:rsidR="00623B86" w:rsidRPr="005A2D28" w:rsidRDefault="00623B86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- изменения в составе потребителей (продолжающееся расслоение</w:t>
      </w:r>
      <w:r w:rsidR="00AF5F51" w:rsidRPr="005A2D28">
        <w:rPr>
          <w:sz w:val="28"/>
          <w:szCs w:val="28"/>
        </w:rPr>
        <w:t xml:space="preserve"> общества, снижение</w:t>
      </w:r>
      <w:r w:rsidRPr="005A2D28">
        <w:rPr>
          <w:sz w:val="28"/>
          <w:szCs w:val="28"/>
        </w:rPr>
        <w:t xml:space="preserve"> уровня доходов)</w:t>
      </w:r>
      <w:r w:rsidR="00AF5F51" w:rsidRPr="005A2D28">
        <w:rPr>
          <w:sz w:val="28"/>
          <w:szCs w:val="28"/>
        </w:rPr>
        <w:t>;</w:t>
      </w:r>
    </w:p>
    <w:p w:rsidR="00AF5F51" w:rsidRPr="005A2D28" w:rsidRDefault="00AF5F51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 xml:space="preserve">- изменения в законодательстве (экспертами отмечаются негативные последствия в связи с принятием Федерального закона РФ от 28 декабря 2009 г. </w:t>
      </w:r>
      <w:r w:rsidRPr="005A2D28">
        <w:rPr>
          <w:sz w:val="28"/>
          <w:szCs w:val="28"/>
          <w:lang w:val="en-US"/>
        </w:rPr>
        <w:t>N</w:t>
      </w:r>
      <w:r w:rsidRPr="005A2D28">
        <w:rPr>
          <w:sz w:val="28"/>
          <w:szCs w:val="28"/>
        </w:rPr>
        <w:t xml:space="preserve"> 381-ФЗ “Об основах государственного регулирования торговой деятельности”, а также увеличение страховых взносов с 26 % до 34 % с 1.01.2011 г.).</w:t>
      </w:r>
    </w:p>
    <w:p w:rsidR="00AF5F51" w:rsidRPr="005A2D28" w:rsidRDefault="00AF5F51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Каждая из перечисленных причин практически в равной степени значительна в своем влиянии на отрасль, однако в качестве основной видится изменение долгосрочных экономических тенденций в отрасли, так как именно она диктует изменения в большинстве прочих, а зачастую иные причины являются следствием изменений по данной.</w:t>
      </w:r>
    </w:p>
    <w:p w:rsidR="00AF5F51" w:rsidRPr="005A2D28" w:rsidRDefault="00AF5F51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5F51" w:rsidRPr="005A2D28" w:rsidRDefault="00AF5F51" w:rsidP="005A2D28">
      <w:pPr>
        <w:tabs>
          <w:tab w:val="left" w:pos="166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4" w:name="_Toc289828029"/>
      <w:r w:rsidRPr="005A2D28">
        <w:rPr>
          <w:sz w:val="28"/>
          <w:szCs w:val="28"/>
        </w:rPr>
        <w:t xml:space="preserve">4. </w:t>
      </w:r>
      <w:r w:rsidR="00F84D84" w:rsidRPr="005A2D28">
        <w:rPr>
          <w:sz w:val="28"/>
          <w:szCs w:val="28"/>
        </w:rPr>
        <w:t>Характеристика стратегических групп</w:t>
      </w:r>
      <w:bookmarkEnd w:id="4"/>
    </w:p>
    <w:p w:rsidR="00C038C6" w:rsidRDefault="00C038C6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</w:p>
    <w:p w:rsidR="00F84D84" w:rsidRPr="009E273D" w:rsidRDefault="00F84D84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Группа компаний “ПИР” - крупнейшая региональная ресторанная компания, работающая на рынке общественного питания Нижнего Новгорода с 1997 года. ГК “ПИР” является признанным лидером ресторанного бизнеса, и по оценкам аналитиков занимает 20-25% ресторанного рынка Нижнего Новгорода. На сегодняшний день в компании работает около 1000 человек</w:t>
      </w:r>
      <w:r w:rsidRPr="005A2D28">
        <w:rPr>
          <w:rStyle w:val="a6"/>
          <w:sz w:val="28"/>
          <w:szCs w:val="28"/>
        </w:rPr>
        <w:footnoteReference w:id="3"/>
      </w:r>
      <w:r w:rsidRPr="009E273D">
        <w:rPr>
          <w:sz w:val="28"/>
          <w:szCs w:val="28"/>
        </w:rPr>
        <w:t>.</w:t>
      </w:r>
    </w:p>
    <w:p w:rsidR="00F84D84" w:rsidRPr="009E273D" w:rsidRDefault="00F84D84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</w:p>
    <w:p w:rsidR="00DA6509" w:rsidRPr="005A2D28" w:rsidRDefault="00C038C6" w:rsidP="005A2D28">
      <w:pPr>
        <w:tabs>
          <w:tab w:val="left" w:pos="166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5" w:name="_Toc289828030"/>
      <w:r>
        <w:rPr>
          <w:sz w:val="28"/>
          <w:szCs w:val="28"/>
        </w:rPr>
        <w:br w:type="page"/>
      </w:r>
      <w:r w:rsidR="00DA6509" w:rsidRPr="005A2D28">
        <w:rPr>
          <w:sz w:val="28"/>
          <w:szCs w:val="28"/>
        </w:rPr>
        <w:t>5. Ключевые факторы успеха</w:t>
      </w:r>
      <w:bookmarkEnd w:id="5"/>
      <w:r w:rsidR="000E5FDA" w:rsidRPr="005A2D28">
        <w:rPr>
          <w:sz w:val="28"/>
          <w:szCs w:val="28"/>
        </w:rPr>
        <w:t xml:space="preserve"> </w:t>
      </w:r>
    </w:p>
    <w:p w:rsidR="00C038C6" w:rsidRDefault="00C038C6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</w:p>
    <w:p w:rsidR="000E5FDA" w:rsidRPr="00C038C6" w:rsidRDefault="000E5FDA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В соответствии с таблицей 3.4., приведенной в учебнике “Стратегический менеджмент: концепции и ситуации”, в качестве основных факторов успеха выбраны следующие:</w:t>
      </w:r>
    </w:p>
    <w:p w:rsidR="00591CCA" w:rsidRPr="005A2D28" w:rsidRDefault="000E5FDA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- Имидж (вес 0,1)</w:t>
      </w:r>
      <w:r w:rsidR="00591CCA" w:rsidRPr="005A2D28">
        <w:rPr>
          <w:sz w:val="28"/>
          <w:szCs w:val="28"/>
        </w:rPr>
        <w:t xml:space="preserve"> в ресторанном бизнесе играет огромную роль при сохранении старых клиентов и привлечении новых. Так как выбранная ГК “ПИР” находится достаточно долго в данной отрасли и зарекомендовала себя с наилучшей стороны, выбор в пользу данного фактора очевиден.</w:t>
      </w:r>
    </w:p>
    <w:p w:rsidR="00591CCA" w:rsidRPr="005A2D28" w:rsidRDefault="00591CCA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 xml:space="preserve">- Дилерская сеть и возможности распространения (вес 0,05) также могут сыграть важную роль в сохранении лидирующего положения на рынке, здесь важно отметить, что для поставщиков данная компания занимает до 20 – 25 % рынка собственного сбыта. </w:t>
      </w:r>
    </w:p>
    <w:p w:rsidR="00591CCA" w:rsidRPr="005A2D28" w:rsidRDefault="00591CCA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- Обслуживание клиентов (вес 0,15) коррелирует с таким фактором как имидж и является также сильной стороной описываемой компании также в силу выбранных принципов и высокого качества оказываемой услуги.</w:t>
      </w:r>
    </w:p>
    <w:p w:rsidR="00591CCA" w:rsidRDefault="00591CCA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</w:p>
    <w:p w:rsidR="00591CCA" w:rsidRPr="005A2D28" w:rsidRDefault="00591CCA" w:rsidP="005A2D28">
      <w:pPr>
        <w:tabs>
          <w:tab w:val="left" w:pos="166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6" w:name="_Toc289828031"/>
      <w:r w:rsidRPr="005A2D28">
        <w:rPr>
          <w:sz w:val="28"/>
          <w:szCs w:val="28"/>
        </w:rPr>
        <w:t>6. Характеристика общей привлекательности отрасли</w:t>
      </w:r>
      <w:bookmarkEnd w:id="6"/>
    </w:p>
    <w:p w:rsidR="00C038C6" w:rsidRDefault="00C038C6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403A" w:rsidRPr="005A2D28" w:rsidRDefault="00591CCA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 xml:space="preserve">К основным факторам привлекательности можно отнести </w:t>
      </w:r>
      <w:r w:rsidR="00AF403A" w:rsidRPr="005A2D28">
        <w:rPr>
          <w:sz w:val="28"/>
          <w:szCs w:val="28"/>
        </w:rPr>
        <w:t>перспективы изменения конкуренции в будущем, а также лидирующую позицию компании.</w:t>
      </w:r>
    </w:p>
    <w:p w:rsidR="00AF403A" w:rsidRPr="005A2D28" w:rsidRDefault="00AF403A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В качестве факторов непривлекательности следует выделить значительные барьеры для входа в отрасль и высокую долю коррупционной составляющей в данном виде бизнеса, выраженных в частом немотивированном применении надзорными органами административного ресурса по отношению к таким предприятиями.</w:t>
      </w:r>
    </w:p>
    <w:p w:rsidR="00AF403A" w:rsidRPr="005A2D28" w:rsidRDefault="00AF403A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Специфические проблемы отрасли совпадают с факторами непривлекательности.</w:t>
      </w:r>
    </w:p>
    <w:p w:rsidR="000E5FDA" w:rsidRPr="005A2D28" w:rsidRDefault="00AF403A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Перспективы получения прибыли при реализации коммерческой идеи носят умеренный характер в силу выявленных негативных тенденций.</w:t>
      </w:r>
      <w:r w:rsidR="005A2D28">
        <w:rPr>
          <w:sz w:val="28"/>
          <w:szCs w:val="28"/>
        </w:rPr>
        <w:t xml:space="preserve"> </w:t>
      </w:r>
    </w:p>
    <w:p w:rsidR="00EE6EA7" w:rsidRPr="008E7784" w:rsidRDefault="00EE6EA7" w:rsidP="00EE6EA7">
      <w:pPr>
        <w:tabs>
          <w:tab w:val="left" w:pos="2715"/>
        </w:tabs>
        <w:ind w:firstLine="709"/>
        <w:jc w:val="both"/>
        <w:rPr>
          <w:color w:val="FFFFFF"/>
          <w:sz w:val="28"/>
        </w:rPr>
      </w:pPr>
      <w:r w:rsidRPr="008E7784">
        <w:rPr>
          <w:color w:val="FFFFFF"/>
          <w:sz w:val="28"/>
        </w:rPr>
        <w:t>ресторанный бизнес конкуренция</w:t>
      </w:r>
      <w:r w:rsidR="009E273D" w:rsidRPr="008E7784">
        <w:rPr>
          <w:color w:val="FFFFFF"/>
          <w:sz w:val="28"/>
        </w:rPr>
        <w:t xml:space="preserve"> привлекательность</w:t>
      </w:r>
    </w:p>
    <w:p w:rsidR="00966639" w:rsidRPr="005A2D28" w:rsidRDefault="00966639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</w:p>
    <w:p w:rsidR="00966639" w:rsidRPr="005A2D28" w:rsidRDefault="00EE6EA7" w:rsidP="005A2D28">
      <w:pPr>
        <w:tabs>
          <w:tab w:val="left" w:pos="166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7" w:name="_Toc289828032"/>
      <w:r>
        <w:rPr>
          <w:sz w:val="28"/>
          <w:szCs w:val="28"/>
        </w:rPr>
        <w:br w:type="page"/>
      </w:r>
      <w:r w:rsidRPr="005A2D28">
        <w:rPr>
          <w:sz w:val="28"/>
          <w:szCs w:val="28"/>
        </w:rPr>
        <w:t>Список использованной литературы</w:t>
      </w:r>
      <w:bookmarkEnd w:id="7"/>
    </w:p>
    <w:p w:rsidR="00EE6EA7" w:rsidRDefault="00EE6EA7" w:rsidP="005A2D28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</w:p>
    <w:p w:rsidR="00F95F3A" w:rsidRPr="005A2D28" w:rsidRDefault="00F95F3A" w:rsidP="00EE6EA7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 w:rsidRPr="005A2D28">
        <w:rPr>
          <w:sz w:val="28"/>
          <w:szCs w:val="28"/>
        </w:rPr>
        <w:t xml:space="preserve">Бригхэм, Ю. Финансовый менеджмент / Ю.Бригхэм, М.Эрхардт. – Спб.: Питер, 2009. – 960 с. </w:t>
      </w:r>
    </w:p>
    <w:p w:rsidR="00F95F3A" w:rsidRPr="005A2D28" w:rsidRDefault="00F95F3A" w:rsidP="00EE6EA7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Веретельникова, О. Рестораностроение волжской столицы. / О. Веретельникова // Король ресторанного бизнеса – 2009. – № 10. – С. 26</w:t>
      </w:r>
    </w:p>
    <w:p w:rsidR="00966639" w:rsidRPr="005A2D28" w:rsidRDefault="001B69E2" w:rsidP="00EE6EA7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Томпсон, А.А. мл., Стратегический менеджмент: концепции и ситуации: Учебник для вузов. / А.А.</w:t>
      </w:r>
      <w:r w:rsidR="00EE6EA7">
        <w:rPr>
          <w:sz w:val="28"/>
          <w:szCs w:val="28"/>
        </w:rPr>
        <w:t xml:space="preserve"> </w:t>
      </w:r>
      <w:r w:rsidRPr="005A2D28">
        <w:rPr>
          <w:sz w:val="28"/>
          <w:szCs w:val="28"/>
        </w:rPr>
        <w:t>Томпсон, А.Дж.</w:t>
      </w:r>
      <w:r w:rsidR="00EE6EA7">
        <w:rPr>
          <w:sz w:val="28"/>
          <w:szCs w:val="28"/>
        </w:rPr>
        <w:t xml:space="preserve"> </w:t>
      </w:r>
      <w:r w:rsidRPr="005A2D28">
        <w:rPr>
          <w:sz w:val="28"/>
          <w:szCs w:val="28"/>
        </w:rPr>
        <w:t>Стрикленд III. – М.: ИНФРА-М, 2000. – 857 с.</w:t>
      </w:r>
    </w:p>
    <w:p w:rsidR="008F3DD1" w:rsidRPr="005A2D28" w:rsidRDefault="008F3DD1" w:rsidP="00EE6EA7">
      <w:pPr>
        <w:tabs>
          <w:tab w:val="left" w:pos="1665"/>
        </w:tabs>
        <w:spacing w:line="360" w:lineRule="auto"/>
        <w:jc w:val="both"/>
        <w:rPr>
          <w:sz w:val="28"/>
          <w:szCs w:val="28"/>
        </w:rPr>
      </w:pPr>
      <w:r w:rsidRPr="005A2D28">
        <w:rPr>
          <w:sz w:val="28"/>
          <w:szCs w:val="28"/>
        </w:rPr>
        <w:t xml:space="preserve">Веб-сайт ГК “ПИР”: [электронный ресурс] // Компания / </w:t>
      </w:r>
      <w:hyperlink r:id="rId8" w:history="1">
        <w:r w:rsidRPr="005A2D28">
          <w:rPr>
            <w:rStyle w:val="a7"/>
            <w:color w:val="auto"/>
            <w:sz w:val="28"/>
            <w:szCs w:val="28"/>
          </w:rPr>
          <w:t>http://www.pir.nnov.ru</w:t>
        </w:r>
      </w:hyperlink>
    </w:p>
    <w:p w:rsidR="005A2D28" w:rsidRDefault="008F3DD1" w:rsidP="00EE6EA7">
      <w:pPr>
        <w:pStyle w:val="a4"/>
        <w:spacing w:line="360" w:lineRule="auto"/>
        <w:jc w:val="both"/>
        <w:rPr>
          <w:sz w:val="28"/>
          <w:szCs w:val="28"/>
        </w:rPr>
      </w:pPr>
      <w:r w:rsidRPr="005A2D28">
        <w:rPr>
          <w:sz w:val="28"/>
          <w:szCs w:val="28"/>
        </w:rPr>
        <w:t>Росстат.</w:t>
      </w:r>
      <w:r w:rsidR="00F95F3A" w:rsidRPr="005A2D28">
        <w:rPr>
          <w:sz w:val="28"/>
          <w:szCs w:val="28"/>
        </w:rPr>
        <w:t xml:space="preserve"> ЦБСД</w:t>
      </w:r>
      <w:r w:rsidRPr="005A2D28">
        <w:rPr>
          <w:sz w:val="28"/>
          <w:szCs w:val="28"/>
        </w:rPr>
        <w:t xml:space="preserve">: [электронный ресурс] // Федеральная служба государственной статистики – база данных / </w:t>
      </w:r>
      <w:r w:rsidRPr="005A2D28">
        <w:rPr>
          <w:sz w:val="28"/>
          <w:szCs w:val="28"/>
          <w:lang w:val="en-US"/>
        </w:rPr>
        <w:t>www</w:t>
      </w:r>
      <w:r w:rsidRPr="005A2D28">
        <w:rPr>
          <w:sz w:val="28"/>
          <w:szCs w:val="28"/>
        </w:rPr>
        <w:t>.</w:t>
      </w:r>
      <w:r w:rsidRPr="005A2D28">
        <w:rPr>
          <w:sz w:val="28"/>
          <w:szCs w:val="28"/>
          <w:lang w:val="en-US"/>
        </w:rPr>
        <w:t>gks</w:t>
      </w:r>
      <w:r w:rsidRPr="005A2D28">
        <w:rPr>
          <w:sz w:val="28"/>
          <w:szCs w:val="28"/>
        </w:rPr>
        <w:t>.</w:t>
      </w:r>
      <w:r w:rsidRPr="005A2D28">
        <w:rPr>
          <w:sz w:val="28"/>
          <w:szCs w:val="28"/>
          <w:lang w:val="en-US"/>
        </w:rPr>
        <w:t>ru</w:t>
      </w:r>
      <w:r w:rsidRPr="005A2D28">
        <w:rPr>
          <w:sz w:val="28"/>
          <w:szCs w:val="28"/>
        </w:rPr>
        <w:t xml:space="preserve"> </w:t>
      </w:r>
    </w:p>
    <w:p w:rsidR="00EE6EA7" w:rsidRPr="00EE6EA7" w:rsidRDefault="00EE6EA7" w:rsidP="00EE6EA7">
      <w:pPr>
        <w:spacing w:line="360" w:lineRule="auto"/>
        <w:jc w:val="center"/>
        <w:rPr>
          <w:color w:val="FFFFFF"/>
          <w:sz w:val="28"/>
          <w:szCs w:val="28"/>
        </w:rPr>
      </w:pPr>
      <w:bookmarkStart w:id="8" w:name="_GoBack"/>
      <w:bookmarkEnd w:id="8"/>
    </w:p>
    <w:sectPr w:rsidR="00EE6EA7" w:rsidRPr="00EE6EA7" w:rsidSect="005A2D2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784" w:rsidRDefault="008E7784">
      <w:r>
        <w:separator/>
      </w:r>
    </w:p>
  </w:endnote>
  <w:endnote w:type="continuationSeparator" w:id="0">
    <w:p w:rsidR="008E7784" w:rsidRDefault="008E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784" w:rsidRDefault="008E7784">
      <w:r>
        <w:separator/>
      </w:r>
    </w:p>
  </w:footnote>
  <w:footnote w:type="continuationSeparator" w:id="0">
    <w:p w:rsidR="008E7784" w:rsidRDefault="008E7784">
      <w:r>
        <w:continuationSeparator/>
      </w:r>
    </w:p>
  </w:footnote>
  <w:footnote w:id="1">
    <w:p w:rsidR="008E7784" w:rsidRDefault="008F3DD1">
      <w:pPr>
        <w:pStyle w:val="a4"/>
      </w:pPr>
      <w:r>
        <w:rPr>
          <w:rStyle w:val="a6"/>
        </w:rPr>
        <w:footnoteRef/>
      </w:r>
      <w:r>
        <w:t xml:space="preserve"> </w:t>
      </w:r>
      <w:r w:rsidRPr="008F3DD1">
        <w:t>http://www.gks.ru/dbscripts/Cbsd/DBInet.cgi#1</w:t>
      </w:r>
    </w:p>
  </w:footnote>
  <w:footnote w:id="2">
    <w:p w:rsidR="008E7784" w:rsidRDefault="008F3DD1">
      <w:pPr>
        <w:pStyle w:val="a4"/>
      </w:pPr>
      <w:r>
        <w:rPr>
          <w:rStyle w:val="a6"/>
        </w:rPr>
        <w:footnoteRef/>
      </w:r>
      <w:r>
        <w:t xml:space="preserve"> </w:t>
      </w:r>
      <w:r w:rsidRPr="008F3DD1">
        <w:t>http://www.gks.ru/dbscripts/Cbsd/DBInet.cgi#1</w:t>
      </w:r>
    </w:p>
  </w:footnote>
  <w:footnote w:id="3">
    <w:p w:rsidR="008E7784" w:rsidRDefault="00F84D84">
      <w:pPr>
        <w:pStyle w:val="a4"/>
      </w:pPr>
      <w:r>
        <w:rPr>
          <w:rStyle w:val="a6"/>
        </w:rPr>
        <w:footnoteRef/>
      </w:r>
      <w:r>
        <w:t xml:space="preserve"> </w:t>
      </w:r>
      <w:r w:rsidRPr="00F84D84">
        <w:t>http://www.pir.nnov.ru/company/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EC1" w:rsidRDefault="005E5EC1" w:rsidP="005E5EC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5EC1" w:rsidRDefault="005E5EC1" w:rsidP="005E5EC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28" w:rsidRPr="00D33711" w:rsidRDefault="005A2D28" w:rsidP="005A2D28">
    <w:pPr>
      <w:tabs>
        <w:tab w:val="left" w:pos="840"/>
      </w:tabs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F8D"/>
    <w:rsid w:val="00062994"/>
    <w:rsid w:val="000B2EBD"/>
    <w:rsid w:val="000E5FDA"/>
    <w:rsid w:val="0011011B"/>
    <w:rsid w:val="0017673A"/>
    <w:rsid w:val="0019001C"/>
    <w:rsid w:val="001B69E2"/>
    <w:rsid w:val="001D1F8D"/>
    <w:rsid w:val="00326978"/>
    <w:rsid w:val="00374C72"/>
    <w:rsid w:val="003D12FF"/>
    <w:rsid w:val="003E6D4D"/>
    <w:rsid w:val="00487EEA"/>
    <w:rsid w:val="005150B2"/>
    <w:rsid w:val="005532E3"/>
    <w:rsid w:val="00591CCA"/>
    <w:rsid w:val="005A2D28"/>
    <w:rsid w:val="005E5EC1"/>
    <w:rsid w:val="00623B86"/>
    <w:rsid w:val="006734AF"/>
    <w:rsid w:val="00676A0A"/>
    <w:rsid w:val="006A49BF"/>
    <w:rsid w:val="00730183"/>
    <w:rsid w:val="007405A2"/>
    <w:rsid w:val="00810D15"/>
    <w:rsid w:val="008466AA"/>
    <w:rsid w:val="008E7784"/>
    <w:rsid w:val="008F3DD1"/>
    <w:rsid w:val="00966639"/>
    <w:rsid w:val="009A62D7"/>
    <w:rsid w:val="009E273D"/>
    <w:rsid w:val="009F296A"/>
    <w:rsid w:val="00A83C7A"/>
    <w:rsid w:val="00AF403A"/>
    <w:rsid w:val="00AF5F51"/>
    <w:rsid w:val="00B55003"/>
    <w:rsid w:val="00B93D01"/>
    <w:rsid w:val="00C038C6"/>
    <w:rsid w:val="00C121FB"/>
    <w:rsid w:val="00CB7313"/>
    <w:rsid w:val="00D33711"/>
    <w:rsid w:val="00D41F3E"/>
    <w:rsid w:val="00DA6509"/>
    <w:rsid w:val="00DB489B"/>
    <w:rsid w:val="00DD5398"/>
    <w:rsid w:val="00E07C71"/>
    <w:rsid w:val="00ED0E92"/>
    <w:rsid w:val="00EE051E"/>
    <w:rsid w:val="00EE6EA7"/>
    <w:rsid w:val="00F33773"/>
    <w:rsid w:val="00F5448E"/>
    <w:rsid w:val="00F6159B"/>
    <w:rsid w:val="00F84D84"/>
    <w:rsid w:val="00F95F3A"/>
    <w:rsid w:val="00FA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FD346C3-AAB8-4813-A2CA-4BEA03F0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3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F84D84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  <w:lang w:val="x-none" w:eastAsia="zh-CN"/>
    </w:rPr>
  </w:style>
  <w:style w:type="character" w:styleId="a6">
    <w:name w:val="footnote reference"/>
    <w:uiPriority w:val="99"/>
    <w:semiHidden/>
    <w:rsid w:val="00F84D84"/>
    <w:rPr>
      <w:rFonts w:cs="Times New Roman"/>
      <w:vertAlign w:val="superscript"/>
    </w:rPr>
  </w:style>
  <w:style w:type="character" w:styleId="a7">
    <w:name w:val="Hyperlink"/>
    <w:uiPriority w:val="99"/>
    <w:rsid w:val="008F3DD1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5E5EC1"/>
  </w:style>
  <w:style w:type="paragraph" w:styleId="a8">
    <w:name w:val="header"/>
    <w:basedOn w:val="a"/>
    <w:link w:val="a9"/>
    <w:uiPriority w:val="99"/>
    <w:rsid w:val="005E5E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aa">
    <w:name w:val="page number"/>
    <w:uiPriority w:val="99"/>
    <w:rsid w:val="005E5EC1"/>
    <w:rPr>
      <w:rFonts w:cs="Times New Roman"/>
    </w:rPr>
  </w:style>
  <w:style w:type="paragraph" w:styleId="ab">
    <w:name w:val="footer"/>
    <w:basedOn w:val="a"/>
    <w:link w:val="ac"/>
    <w:uiPriority w:val="99"/>
    <w:rsid w:val="005A2D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4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r.nnov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_____Microsoft_Excel_97-20031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13399</CharactersWithSpaces>
  <SharedDoc>false</SharedDoc>
  <HLinks>
    <vt:vector size="24" baseType="variant">
      <vt:variant>
        <vt:i4>7536765</vt:i4>
      </vt:variant>
      <vt:variant>
        <vt:i4>15</vt:i4>
      </vt:variant>
      <vt:variant>
        <vt:i4>0</vt:i4>
      </vt:variant>
      <vt:variant>
        <vt:i4>5</vt:i4>
      </vt:variant>
      <vt:variant>
        <vt:lpwstr>http://www.pir.nnov.ru/</vt:lpwstr>
      </vt:variant>
      <vt:variant>
        <vt:lpwstr/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_Toc289828031</vt:lpwstr>
      </vt:variant>
      <vt:variant>
        <vt:i4>1900601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_Toc289828029</vt:lpwstr>
      </vt:variant>
      <vt:variant>
        <vt:i4>1900601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_Toc289828027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2014-03-27T23:45:00Z</dcterms:created>
  <dcterms:modified xsi:type="dcterms:W3CDTF">2014-03-27T23:45:00Z</dcterms:modified>
</cp:coreProperties>
</file>