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270" w:rsidRPr="00CC4936" w:rsidRDefault="005D2270" w:rsidP="00CC4936">
      <w:pPr>
        <w:pStyle w:val="1"/>
        <w:spacing w:before="0" w:after="0" w:line="360" w:lineRule="auto"/>
        <w:ind w:firstLine="709"/>
        <w:jc w:val="both"/>
        <w:rPr>
          <w:rFonts w:ascii="Times New Roman" w:hAnsi="Times New Roman" w:cs="Times New Roman"/>
          <w:b w:val="0"/>
          <w:sz w:val="28"/>
        </w:rPr>
      </w:pPr>
      <w:bookmarkStart w:id="0" w:name="_Toc136153375"/>
      <w:r w:rsidRPr="00CC4936">
        <w:rPr>
          <w:rFonts w:ascii="Times New Roman" w:hAnsi="Times New Roman" w:cs="Times New Roman"/>
          <w:b w:val="0"/>
          <w:sz w:val="28"/>
        </w:rPr>
        <w:t>Содержание</w:t>
      </w:r>
      <w:bookmarkEnd w:id="0"/>
    </w:p>
    <w:p w:rsidR="00CC4936" w:rsidRPr="00CC4936" w:rsidRDefault="00CC4936" w:rsidP="00CC4936">
      <w:pPr>
        <w:spacing w:line="360" w:lineRule="auto"/>
        <w:ind w:firstLine="709"/>
        <w:jc w:val="both"/>
        <w:rPr>
          <w:sz w:val="28"/>
        </w:rPr>
      </w:pPr>
    </w:p>
    <w:p w:rsidR="005D2270" w:rsidRPr="00CC4936" w:rsidRDefault="005D2270" w:rsidP="00CC4936">
      <w:pPr>
        <w:pStyle w:val="11"/>
        <w:tabs>
          <w:tab w:val="right" w:leader="dot" w:pos="9628"/>
        </w:tabs>
        <w:spacing w:line="360" w:lineRule="auto"/>
        <w:jc w:val="both"/>
        <w:rPr>
          <w:rStyle w:val="a6"/>
          <w:noProof/>
          <w:color w:val="auto"/>
          <w:sz w:val="28"/>
        </w:rPr>
      </w:pPr>
      <w:r w:rsidRPr="00EF2E89">
        <w:rPr>
          <w:rStyle w:val="a6"/>
          <w:noProof/>
          <w:color w:val="auto"/>
          <w:sz w:val="28"/>
        </w:rPr>
        <w:t>1. Анализ оборота средств в импортных операциях</w:t>
      </w:r>
    </w:p>
    <w:p w:rsidR="005D2270" w:rsidRPr="00CC4936" w:rsidRDefault="005D2270" w:rsidP="00CC4936">
      <w:pPr>
        <w:pStyle w:val="11"/>
        <w:tabs>
          <w:tab w:val="right" w:leader="dot" w:pos="9628"/>
        </w:tabs>
        <w:spacing w:line="360" w:lineRule="auto"/>
        <w:jc w:val="both"/>
        <w:rPr>
          <w:noProof/>
          <w:sz w:val="28"/>
        </w:rPr>
      </w:pPr>
      <w:r w:rsidRPr="00EF2E89">
        <w:rPr>
          <w:rStyle w:val="a6"/>
          <w:noProof/>
          <w:color w:val="auto"/>
          <w:sz w:val="28"/>
        </w:rPr>
        <w:t>2. Задача</w:t>
      </w:r>
    </w:p>
    <w:p w:rsidR="005D2270" w:rsidRPr="00CC4936" w:rsidRDefault="005D2270" w:rsidP="00CC4936">
      <w:pPr>
        <w:pStyle w:val="11"/>
        <w:tabs>
          <w:tab w:val="right" w:leader="dot" w:pos="9628"/>
        </w:tabs>
        <w:spacing w:line="360" w:lineRule="auto"/>
        <w:jc w:val="both"/>
        <w:rPr>
          <w:noProof/>
          <w:sz w:val="28"/>
        </w:rPr>
      </w:pPr>
      <w:r w:rsidRPr="00EF2E89">
        <w:rPr>
          <w:rStyle w:val="a6"/>
          <w:noProof/>
          <w:color w:val="auto"/>
          <w:sz w:val="28"/>
        </w:rPr>
        <w:t>Список литературы</w:t>
      </w:r>
    </w:p>
    <w:p w:rsidR="00CC4936" w:rsidRDefault="00CC4936" w:rsidP="00CC4936">
      <w:pPr>
        <w:pStyle w:val="1"/>
        <w:keepNext w:val="0"/>
        <w:spacing w:before="0" w:after="0" w:line="360" w:lineRule="auto"/>
        <w:ind w:firstLine="709"/>
        <w:jc w:val="both"/>
        <w:rPr>
          <w:rFonts w:ascii="Times New Roman" w:hAnsi="Times New Roman" w:cs="Times New Roman"/>
          <w:b w:val="0"/>
          <w:kern w:val="0"/>
          <w:sz w:val="28"/>
        </w:rPr>
      </w:pPr>
      <w:bookmarkStart w:id="1" w:name="_Toc136153376"/>
    </w:p>
    <w:p w:rsidR="00A2453A" w:rsidRPr="00CC4936" w:rsidRDefault="00CC4936" w:rsidP="00CC4936">
      <w:pPr>
        <w:pStyle w:val="1"/>
        <w:keepNext w:val="0"/>
        <w:spacing w:before="0" w:after="0" w:line="360" w:lineRule="auto"/>
        <w:ind w:firstLine="709"/>
        <w:jc w:val="both"/>
        <w:rPr>
          <w:rFonts w:ascii="Times New Roman" w:hAnsi="Times New Roman" w:cs="Times New Roman"/>
          <w:b w:val="0"/>
          <w:sz w:val="28"/>
        </w:rPr>
      </w:pPr>
      <w:r>
        <w:rPr>
          <w:rFonts w:ascii="Times New Roman" w:hAnsi="Times New Roman" w:cs="Times New Roman"/>
          <w:b w:val="0"/>
          <w:kern w:val="0"/>
          <w:sz w:val="28"/>
        </w:rPr>
        <w:br w:type="page"/>
      </w:r>
      <w:r w:rsidR="003F7427" w:rsidRPr="00CC4936">
        <w:rPr>
          <w:rFonts w:ascii="Times New Roman" w:hAnsi="Times New Roman" w:cs="Times New Roman"/>
          <w:b w:val="0"/>
          <w:sz w:val="28"/>
        </w:rPr>
        <w:t>1</w:t>
      </w:r>
      <w:r w:rsidR="00593E0B" w:rsidRPr="00CC4936">
        <w:rPr>
          <w:rFonts w:ascii="Times New Roman" w:hAnsi="Times New Roman" w:cs="Times New Roman"/>
          <w:b w:val="0"/>
          <w:sz w:val="28"/>
        </w:rPr>
        <w:t xml:space="preserve">. </w:t>
      </w:r>
      <w:r w:rsidR="00A70D53" w:rsidRPr="00CC4936">
        <w:rPr>
          <w:rFonts w:ascii="Times New Roman" w:hAnsi="Times New Roman" w:cs="Times New Roman"/>
          <w:b w:val="0"/>
          <w:sz w:val="28"/>
        </w:rPr>
        <w:t>Анализ оборот</w:t>
      </w:r>
      <w:r w:rsidR="00593E0B" w:rsidRPr="00CC4936">
        <w:rPr>
          <w:rFonts w:ascii="Times New Roman" w:hAnsi="Times New Roman" w:cs="Times New Roman"/>
          <w:b w:val="0"/>
          <w:sz w:val="28"/>
        </w:rPr>
        <w:t>а средств в импортных операциях</w:t>
      </w:r>
      <w:bookmarkEnd w:id="1"/>
    </w:p>
    <w:p w:rsidR="00CC4936" w:rsidRDefault="00CC4936" w:rsidP="00CC4936">
      <w:pPr>
        <w:pStyle w:val="ConsNormal"/>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Финансовый анализ краткосрочных импортных сделок опирается на следующие основные положения.</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1. Краткосрочными считаются текущие сделки продолжительностью менее одного года. Поэтому основной единицей измерения времени является календарный месяц или день.</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2. Предполагается, что прибыль по сделке в течение краткосрочного периода не капитализируется, а для сравнимости денежных потоков во времени рассчитывают средние значения различных экономических показателей, в частности среднюю продолжительность производственно - коммерческого цикла, средние остатки оборотных средств, среднюю величину собственного капитала предприятия.</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3. Объектом анализа обычно выступает текущая деятельность предприятия в целом или какого-либо его подразделения или направления деятельности.</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4. Основными источниками информации для оперативного финансового анализа служат данные бухгалтерского учета и маркетинговой службы предприятия, а для перспективного и последующего анализа, кроме указанных источников, широко используют периодическую бухгалтерскую и налоговую отчетность предприятия</w:t>
      </w:r>
      <w:r w:rsidR="003F27C5" w:rsidRPr="00CC4936">
        <w:rPr>
          <w:rStyle w:val="a9"/>
          <w:rFonts w:ascii="Times New Roman" w:hAnsi="Times New Roman"/>
          <w:sz w:val="28"/>
          <w:szCs w:val="28"/>
        </w:rPr>
        <w:footnoteReference w:id="1"/>
      </w:r>
      <w:r w:rsidRPr="00CC4936">
        <w:rPr>
          <w:rFonts w:ascii="Times New Roman" w:hAnsi="Times New Roman" w:cs="Times New Roman"/>
          <w:sz w:val="28"/>
          <w:szCs w:val="28"/>
        </w:rPr>
        <w:t>.</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5. Основной метод анализа эффективности краткосрочного проекта - расчет абсолютных показателей (товарооборота и валового дохода) и относительных финансовых коэффициентов рентабельности (в части анализа прибыльности проекта). В последние годы под влиянием западного финансового менеджмента для анализа эффективности текущей, т.е. краткосрочной, деятельности предприятия используют метод определения точки безубыточности или "мертвой точки" текущих продаж. Практикуется также определение цены оборотного капитала предприятия для дальнейшего сопоставления с валовой прибылью от производственной или торговой деятельности.</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Использование указанных методов финансового анализа позволяет быстро и относительно несложно определять степень эффективности деятельности предприятия в краткосрочной перспективе и управлять текущими денежными потоками; принимать оперативные управленческие и финансовые решения с целью максимизации прибыли за текущий отчетный период - месяц, квартал, год. Однако эти методы имеют следующие недостатки.</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Во-первых, при определении рентабельности текущей деятельности или какого-либо краткосрочного проекта, а тем более долгосрочного, не учитывается так называемая альтернативная стоимость денег, под которой понимается уровень доходности каких-либо других проектов, соответствующих рассматриваемому по уровню рисков.</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Во-вторых, рентабельность по данным бухгалтерского учета сравнивают с показателями за предшествующие периоды и среднеотраслевыми, упуская из поля зрения денежные потоки предприятия.</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При его проведении возникает проблема выбора информационной базы анализа, так как начало и конец исполнения контракта не совпадают ни с календарным, ни с налоговым периодами</w:t>
      </w:r>
      <w:r w:rsidR="003F27C5" w:rsidRPr="00CC4936">
        <w:rPr>
          <w:rStyle w:val="a9"/>
          <w:rFonts w:ascii="Times New Roman" w:hAnsi="Times New Roman"/>
          <w:sz w:val="28"/>
          <w:szCs w:val="28"/>
        </w:rPr>
        <w:footnoteReference w:id="2"/>
      </w:r>
      <w:r w:rsidRPr="00CC4936">
        <w:rPr>
          <w:rFonts w:ascii="Times New Roman" w:hAnsi="Times New Roman" w:cs="Times New Roman"/>
          <w:sz w:val="28"/>
          <w:szCs w:val="28"/>
        </w:rPr>
        <w:t>. Поэтому данные периодической бухгалтерской отчетности не могут служить непосредственным источником информации для такого анализа.</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Для расчета показателей оборачиваемости оборотного капитала (в днях), а также для обеспечения сравнимости результатов анализа эффективности заключаемого контракта с другими импортными сделками и альтернативными краткосрочными торговыми операциями лучше использовать данные маркетинговой службы предприятия о спросе и предложении на импортный товар; службы снабжения - о протекании закупок импортного товара, а также различную аналитическую и периодическую информацию, получаемую из средств массовой информации и по каналам электронной связи; отчеты бухгалтерии о движении товара на складе, об уровне дебиторской и кредиторской задолженностей. Всю информацию можно условно разделить на информацию о закупках и продажах импортного товара по отдельным контрактам.</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Для ее получения и изучения предприятие</w:t>
      </w:r>
      <w:r w:rsidR="000F22C3">
        <w:rPr>
          <w:rFonts w:ascii="Times New Roman" w:hAnsi="Times New Roman" w:cs="Times New Roman"/>
          <w:sz w:val="28"/>
          <w:szCs w:val="28"/>
        </w:rPr>
        <w:t>-</w:t>
      </w:r>
      <w:r w:rsidRPr="00CC4936">
        <w:rPr>
          <w:rFonts w:ascii="Times New Roman" w:hAnsi="Times New Roman" w:cs="Times New Roman"/>
          <w:sz w:val="28"/>
          <w:szCs w:val="28"/>
        </w:rPr>
        <w:t>импортер должно использовать информационное обеспечение внешнеторгового ценообразования. Оно представляет собой совокупность ценовых показателей мирового рынка и источников информации о них, включая оперативные, и услуги специализированных фирм и организаций.</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Эффективность краткосрочной импортной сделки определяется ее доходностью, т.е. разностью между ценами покупки и продажи как в целом по импортному контракту, так и по отдельным партиям импортного товара в абсолютном и относительном выражениях. Таким образом, в абсолютном выражении предметом анализа будет величина валового дохода от реализации импортного товара, а в относительном - коэффициент рентабельности исполнения сделки. Рентабельность импортного контракта можно рассчитать либо как отношение валового дохода от внешнеторговой деятельности к внешнеторговой себестоимости импортного товара, поступившего по контракту, без НДС, либо как отношение валового дохода к авансированному в исполнение сделки оборотному капиталу. Для анализа эффективности исполнения импортного контракта внешнеторговую себестоимость импортного товара определяют как сумму затрат по этому контракту</w:t>
      </w:r>
      <w:r w:rsidR="0093153D" w:rsidRPr="00CC4936">
        <w:rPr>
          <w:rStyle w:val="a9"/>
          <w:rFonts w:ascii="Times New Roman" w:hAnsi="Times New Roman"/>
          <w:sz w:val="28"/>
          <w:szCs w:val="28"/>
        </w:rPr>
        <w:footnoteReference w:id="3"/>
      </w:r>
      <w:r w:rsidRPr="00CC4936">
        <w:rPr>
          <w:rFonts w:ascii="Times New Roman" w:hAnsi="Times New Roman" w:cs="Times New Roman"/>
          <w:sz w:val="28"/>
          <w:szCs w:val="28"/>
        </w:rPr>
        <w:t>. Согласно действующей системе нормативного регулирования бухгалтерского учета внешнеторговая себестоимость импортного товара представляет собой сумму расходов на его приобретение и доставку. Тогда, если ВД - валовой доход по импорту; ВС - внешнеторговая себестоимость импортного товара; ОКср - средняя сумма авансированного оборотного капитала:</w:t>
      </w:r>
    </w:p>
    <w:p w:rsidR="00A70D53" w:rsidRPr="00CC4936" w:rsidRDefault="00A70D53" w:rsidP="00CC4936">
      <w:pPr>
        <w:pStyle w:val="ConsNonformat"/>
        <w:spacing w:line="360" w:lineRule="auto"/>
        <w:ind w:firstLine="709"/>
        <w:jc w:val="both"/>
        <w:rPr>
          <w:rFonts w:ascii="Times New Roman" w:hAnsi="Times New Roman" w:cs="Times New Roman"/>
          <w:sz w:val="28"/>
          <w:szCs w:val="28"/>
        </w:rPr>
      </w:pPr>
    </w:p>
    <w:p w:rsidR="00A70D53" w:rsidRPr="00CC4936" w:rsidRDefault="00A70D53" w:rsidP="00CC4936">
      <w:pPr>
        <w:pStyle w:val="ConsNonformat"/>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Кп = ВД : ВС x 100%</w:t>
      </w:r>
      <w:r w:rsidR="00CC4936" w:rsidRPr="00CC4936">
        <w:rPr>
          <w:rFonts w:ascii="Times New Roman" w:hAnsi="Times New Roman" w:cs="Times New Roman"/>
          <w:sz w:val="28"/>
          <w:szCs w:val="28"/>
        </w:rPr>
        <w:t xml:space="preserve"> </w:t>
      </w:r>
    </w:p>
    <w:p w:rsidR="00A70D53" w:rsidRPr="00CC4936" w:rsidRDefault="00A70D53" w:rsidP="00CC4936">
      <w:pPr>
        <w:pStyle w:val="ConsNonformat"/>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Кд = ВД : ОКср x 100%,</w:t>
      </w:r>
      <w:r w:rsidR="00CC4936" w:rsidRPr="00CC4936">
        <w:rPr>
          <w:rFonts w:ascii="Times New Roman" w:hAnsi="Times New Roman" w:cs="Times New Roman"/>
          <w:sz w:val="28"/>
          <w:szCs w:val="28"/>
        </w:rPr>
        <w:t xml:space="preserve"> </w:t>
      </w:r>
    </w:p>
    <w:p w:rsidR="00CC4936" w:rsidRDefault="00CC4936" w:rsidP="00CC4936">
      <w:pPr>
        <w:pStyle w:val="ConsNormal"/>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где Кп - коэффициент рентабельности исполнения импортного контракта по отношению к внешнеторговой себестоимости (далее по тексту - "коэффициент прибыльности"); Кд - коэффициент рентабельности импортного контракта по отношению к средней сумме авансированного оборотного капитала (далее по тексту - "коэффициент доходности").</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Коэффициенты прибыльности и доходности являются обобщающими относительными показателями эффективности импортной сделки</w:t>
      </w:r>
      <w:r w:rsidR="00B3556E" w:rsidRPr="00CC4936">
        <w:rPr>
          <w:rStyle w:val="a9"/>
          <w:rFonts w:ascii="Times New Roman" w:hAnsi="Times New Roman"/>
          <w:sz w:val="28"/>
          <w:szCs w:val="28"/>
        </w:rPr>
        <w:footnoteReference w:id="4"/>
      </w:r>
      <w:r w:rsidRPr="00CC4936">
        <w:rPr>
          <w:rFonts w:ascii="Times New Roman" w:hAnsi="Times New Roman" w:cs="Times New Roman"/>
          <w:sz w:val="28"/>
          <w:szCs w:val="28"/>
        </w:rPr>
        <w:t>. В табл. 1 приведены исходные данные, необходимые для дальнейшего анализа.</w:t>
      </w:r>
    </w:p>
    <w:p w:rsidR="00A70D53" w:rsidRPr="00CC4936" w:rsidRDefault="00A70D53" w:rsidP="00CC4936">
      <w:pPr>
        <w:pStyle w:val="ConsNonformat"/>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Таблица 1</w:t>
      </w:r>
      <w:r w:rsidR="00CC4936" w:rsidRPr="00CC4936">
        <w:rPr>
          <w:rFonts w:ascii="Times New Roman" w:hAnsi="Times New Roman" w:cs="Times New Roman"/>
          <w:sz w:val="28"/>
          <w:szCs w:val="28"/>
        </w:rPr>
        <w:t xml:space="preserve">. </w:t>
      </w:r>
      <w:r w:rsidRPr="00CC4936">
        <w:rPr>
          <w:rFonts w:ascii="Times New Roman" w:hAnsi="Times New Roman" w:cs="Times New Roman"/>
          <w:sz w:val="28"/>
          <w:szCs w:val="28"/>
        </w:rPr>
        <w:t>Расчет основных показателей для анализа</w:t>
      </w:r>
      <w:r w:rsidR="00CC4936">
        <w:rPr>
          <w:rFonts w:ascii="Times New Roman" w:hAnsi="Times New Roman" w:cs="Times New Roman"/>
          <w:sz w:val="28"/>
          <w:szCs w:val="28"/>
        </w:rPr>
        <w:t xml:space="preserve"> </w:t>
      </w:r>
      <w:r w:rsidRPr="00CC4936">
        <w:rPr>
          <w:rFonts w:ascii="Times New Roman" w:hAnsi="Times New Roman" w:cs="Times New Roman"/>
          <w:sz w:val="28"/>
          <w:szCs w:val="28"/>
        </w:rPr>
        <w:t>эффективности импортной сделки</w:t>
      </w:r>
    </w:p>
    <w:tbl>
      <w:tblPr>
        <w:tblW w:w="9072" w:type="dxa"/>
        <w:jc w:val="center"/>
        <w:tblLayout w:type="fixed"/>
        <w:tblCellMar>
          <w:left w:w="70" w:type="dxa"/>
          <w:right w:w="70" w:type="dxa"/>
        </w:tblCellMar>
        <w:tblLook w:val="0000" w:firstRow="0" w:lastRow="0" w:firstColumn="0" w:lastColumn="0" w:noHBand="0" w:noVBand="0"/>
      </w:tblPr>
      <w:tblGrid>
        <w:gridCol w:w="511"/>
        <w:gridCol w:w="1633"/>
        <w:gridCol w:w="1009"/>
        <w:gridCol w:w="1217"/>
        <w:gridCol w:w="1009"/>
        <w:gridCol w:w="1176"/>
        <w:gridCol w:w="1009"/>
        <w:gridCol w:w="1508"/>
      </w:tblGrid>
      <w:tr w:rsidR="00A70D53" w:rsidRPr="00CC4936" w:rsidTr="00CC4936">
        <w:trPr>
          <w:trHeight w:val="240"/>
          <w:jc w:val="center"/>
        </w:trPr>
        <w:tc>
          <w:tcPr>
            <w:tcW w:w="540" w:type="dxa"/>
            <w:vMerge w:val="restart"/>
            <w:tcBorders>
              <w:top w:val="single" w:sz="6" w:space="0" w:color="auto"/>
              <w:left w:val="single" w:sz="6" w:space="0" w:color="auto"/>
              <w:bottom w:val="nil"/>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N</w:t>
            </w:r>
            <w:r w:rsidR="00CC4936" w:rsidRPr="00CC4936">
              <w:rPr>
                <w:rFonts w:ascii="Times New Roman" w:hAnsi="Times New Roman" w:cs="Times New Roman"/>
              </w:rPr>
              <w:t xml:space="preserve"> </w:t>
            </w:r>
            <w:r w:rsidRPr="00CC4936">
              <w:rPr>
                <w:rFonts w:ascii="Times New Roman" w:hAnsi="Times New Roman" w:cs="Times New Roman"/>
              </w:rPr>
              <w:t>п/п</w:t>
            </w:r>
          </w:p>
        </w:tc>
        <w:tc>
          <w:tcPr>
            <w:tcW w:w="1755" w:type="dxa"/>
            <w:vMerge w:val="restart"/>
            <w:tcBorders>
              <w:top w:val="single" w:sz="6" w:space="0" w:color="auto"/>
              <w:left w:val="single" w:sz="6" w:space="0" w:color="auto"/>
              <w:bottom w:val="nil"/>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Сделка по</w:t>
            </w:r>
            <w:r w:rsidR="00CC4936" w:rsidRPr="00CC4936">
              <w:rPr>
                <w:rFonts w:ascii="Times New Roman" w:hAnsi="Times New Roman" w:cs="Times New Roman"/>
              </w:rPr>
              <w:t xml:space="preserve"> </w:t>
            </w:r>
            <w:r w:rsidRPr="00CC4936">
              <w:rPr>
                <w:rFonts w:ascii="Times New Roman" w:hAnsi="Times New Roman" w:cs="Times New Roman"/>
              </w:rPr>
              <w:t>импорту</w:t>
            </w:r>
            <w:r w:rsidR="00CC4936" w:rsidRPr="00CC4936">
              <w:rPr>
                <w:rFonts w:ascii="Times New Roman" w:hAnsi="Times New Roman" w:cs="Times New Roman"/>
              </w:rPr>
              <w:t xml:space="preserve"> </w:t>
            </w:r>
          </w:p>
        </w:tc>
        <w:tc>
          <w:tcPr>
            <w:tcW w:w="2385" w:type="dxa"/>
            <w:gridSpan w:val="2"/>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ТО</w:t>
            </w:r>
            <w:r w:rsidR="00CC4936" w:rsidRPr="00CC4936">
              <w:rPr>
                <w:rFonts w:ascii="Times New Roman" w:hAnsi="Times New Roman" w:cs="Times New Roman"/>
              </w:rPr>
              <w:t xml:space="preserve"> </w:t>
            </w:r>
          </w:p>
        </w:tc>
        <w:tc>
          <w:tcPr>
            <w:tcW w:w="2340" w:type="dxa"/>
            <w:gridSpan w:val="2"/>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ВС</w:t>
            </w:r>
            <w:r w:rsidR="00CC4936" w:rsidRPr="00CC4936">
              <w:rPr>
                <w:rFonts w:ascii="Times New Roman" w:hAnsi="Times New Roman" w:cs="Times New Roman"/>
              </w:rPr>
              <w:t xml:space="preserve"> </w:t>
            </w:r>
          </w:p>
        </w:tc>
        <w:tc>
          <w:tcPr>
            <w:tcW w:w="2700" w:type="dxa"/>
            <w:gridSpan w:val="2"/>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ВД</w:t>
            </w:r>
            <w:r w:rsidR="00CC4936" w:rsidRPr="00CC4936">
              <w:rPr>
                <w:rFonts w:ascii="Times New Roman" w:hAnsi="Times New Roman" w:cs="Times New Roman"/>
              </w:rPr>
              <w:t xml:space="preserve"> </w:t>
            </w:r>
          </w:p>
        </w:tc>
      </w:tr>
      <w:tr w:rsidR="00A70D53" w:rsidRPr="00CC4936" w:rsidTr="00CC4936">
        <w:trPr>
          <w:trHeight w:val="240"/>
          <w:jc w:val="center"/>
        </w:trPr>
        <w:tc>
          <w:tcPr>
            <w:tcW w:w="540" w:type="dxa"/>
            <w:vMerge/>
            <w:tcBorders>
              <w:top w:val="nil"/>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p>
        </w:tc>
        <w:tc>
          <w:tcPr>
            <w:tcW w:w="1755" w:type="dxa"/>
            <w:vMerge/>
            <w:tcBorders>
              <w:top w:val="nil"/>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рубли </w:t>
            </w:r>
          </w:p>
        </w:tc>
        <w:tc>
          <w:tcPr>
            <w:tcW w:w="130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доллары</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рубли </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доллары</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рубли </w:t>
            </w:r>
          </w:p>
        </w:tc>
        <w:tc>
          <w:tcPr>
            <w:tcW w:w="162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доллары</w:t>
            </w:r>
          </w:p>
        </w:tc>
      </w:tr>
      <w:tr w:rsidR="00A70D53" w:rsidRPr="00CC4936" w:rsidTr="00CC4936">
        <w:trPr>
          <w:trHeight w:val="240"/>
          <w:jc w:val="center"/>
        </w:trPr>
        <w:tc>
          <w:tcPr>
            <w:tcW w:w="54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1.</w:t>
            </w:r>
          </w:p>
        </w:tc>
        <w:tc>
          <w:tcPr>
            <w:tcW w:w="175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Контракт 1</w:t>
            </w:r>
            <w:r w:rsidR="00CC4936" w:rsidRPr="00CC4936">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200 000</w:t>
            </w:r>
          </w:p>
        </w:tc>
        <w:tc>
          <w:tcPr>
            <w:tcW w:w="130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10 386</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148 077</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9 255</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51 923</w:t>
            </w:r>
          </w:p>
        </w:tc>
        <w:tc>
          <w:tcPr>
            <w:tcW w:w="162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1 131 </w:t>
            </w:r>
          </w:p>
        </w:tc>
      </w:tr>
      <w:tr w:rsidR="00A70D53" w:rsidRPr="00CC4936" w:rsidTr="00CC4936">
        <w:trPr>
          <w:trHeight w:val="240"/>
          <w:jc w:val="center"/>
        </w:trPr>
        <w:tc>
          <w:tcPr>
            <w:tcW w:w="54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2.</w:t>
            </w:r>
          </w:p>
        </w:tc>
        <w:tc>
          <w:tcPr>
            <w:tcW w:w="175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Контракт 2</w:t>
            </w:r>
            <w:r w:rsidR="00CC4936" w:rsidRPr="00CC4936">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303 412</w:t>
            </w:r>
          </w:p>
        </w:tc>
        <w:tc>
          <w:tcPr>
            <w:tcW w:w="130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13 932</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249 240</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12 462</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54 172</w:t>
            </w:r>
          </w:p>
        </w:tc>
        <w:tc>
          <w:tcPr>
            <w:tcW w:w="162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1 470 </w:t>
            </w:r>
          </w:p>
        </w:tc>
      </w:tr>
      <w:tr w:rsidR="00A70D53" w:rsidRPr="00CC4936" w:rsidTr="00CC4936">
        <w:trPr>
          <w:trHeight w:val="240"/>
          <w:jc w:val="center"/>
        </w:trPr>
        <w:tc>
          <w:tcPr>
            <w:tcW w:w="54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3.</w:t>
            </w:r>
          </w:p>
        </w:tc>
        <w:tc>
          <w:tcPr>
            <w:tcW w:w="175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Всего</w:t>
            </w:r>
            <w:r w:rsidR="00CC4936" w:rsidRPr="00CC4936">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503 412</w:t>
            </w:r>
          </w:p>
        </w:tc>
        <w:tc>
          <w:tcPr>
            <w:tcW w:w="130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24 318</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397 317</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21 717</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106 095</w:t>
            </w:r>
          </w:p>
        </w:tc>
        <w:tc>
          <w:tcPr>
            <w:tcW w:w="1620"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2 601 </w:t>
            </w:r>
          </w:p>
        </w:tc>
      </w:tr>
    </w:tbl>
    <w:p w:rsidR="00A70D53" w:rsidRPr="00CC4936" w:rsidRDefault="00A70D53" w:rsidP="00CC4936">
      <w:pPr>
        <w:pStyle w:val="ConsNonformat"/>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Согласно формуле (1) коэффициент прибыльности по контракту 1 составит при расчете:</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в рублях -</w:t>
      </w:r>
    </w:p>
    <w:p w:rsidR="00CC4936" w:rsidRDefault="00CC4936" w:rsidP="00CC4936">
      <w:pPr>
        <w:pStyle w:val="ConsNormal"/>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Кп = 51 923 : 148 077 x 100% = 35,06%;</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в долларах США -</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Кп = 1131 : 9255 x 100% = 12,22%.</w:t>
      </w:r>
    </w:p>
    <w:p w:rsidR="00CC4936" w:rsidRDefault="00CC4936" w:rsidP="00CC4936">
      <w:pPr>
        <w:pStyle w:val="ConsNormal"/>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Коэффициент прибыльности по контракту 2 равен:</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в рублях -</w:t>
      </w:r>
    </w:p>
    <w:p w:rsidR="00CC4936" w:rsidRDefault="00CC4936" w:rsidP="00CC4936">
      <w:pPr>
        <w:pStyle w:val="ConsNormal"/>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Кп = 54 172 : 249 240 x 100% = 21,73%;</w:t>
      </w:r>
    </w:p>
    <w:p w:rsidR="00CC4936" w:rsidRDefault="00CC4936" w:rsidP="00CC4936">
      <w:pPr>
        <w:pStyle w:val="ConsNormal"/>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в долларах США -</w:t>
      </w:r>
    </w:p>
    <w:p w:rsidR="00CC4936" w:rsidRDefault="00CC4936" w:rsidP="00CC4936">
      <w:pPr>
        <w:pStyle w:val="ConsNormal"/>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Кп = 1470 : 12 462 x 100% = 11,80%.</w:t>
      </w:r>
    </w:p>
    <w:p w:rsidR="00CC4936" w:rsidRDefault="00CC4936" w:rsidP="00CC4936">
      <w:pPr>
        <w:pStyle w:val="ConsNormal"/>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Таким образом, разность в уровнях рентабельности продаж импортного товара - 22,84% (35,06 - 12,22) и 9,93% (21,73 - 11,80) - представляет собой "запас", который необходим импортеру, чтобы оплатить расходы на конвертацию рублей в доллары США, а также застраховать импортную сделку от такого падения обменного курса, которое вызовет абсолютное обесценение вложенного в нее капитала. Высокий уровень рентабельности в рублях обусловлен неэффективной формой рынка в инфляционной экономике</w:t>
      </w:r>
      <w:r w:rsidR="00B3556E" w:rsidRPr="00CC4936">
        <w:rPr>
          <w:rStyle w:val="a9"/>
          <w:rFonts w:ascii="Times New Roman" w:hAnsi="Times New Roman"/>
          <w:sz w:val="28"/>
          <w:szCs w:val="28"/>
        </w:rPr>
        <w:footnoteReference w:id="5"/>
      </w:r>
      <w:r w:rsidRPr="00CC4936">
        <w:rPr>
          <w:rFonts w:ascii="Times New Roman" w:hAnsi="Times New Roman" w:cs="Times New Roman"/>
          <w:sz w:val="28"/>
          <w:szCs w:val="28"/>
        </w:rPr>
        <w:t>.</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Абсолютное обесценение капитала означает получение в результате сделки валового убытка от реализации импортного товара в иностранной валюте. Однако отсутствие такого убытка не означает, что оборотный капитал в иностранной валюте не обесценился: просто это обесценение носит относительный характер. Чтобы его определить количественно, нужно провести дальнейший анализ.</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В</w:t>
      </w:r>
      <w:r w:rsidR="00D83BEE" w:rsidRPr="00CC4936">
        <w:rPr>
          <w:rFonts w:ascii="Times New Roman" w:hAnsi="Times New Roman" w:cs="Times New Roman"/>
          <w:sz w:val="28"/>
          <w:szCs w:val="28"/>
        </w:rPr>
        <w:t xml:space="preserve"> приведенном</w:t>
      </w:r>
      <w:r w:rsidRPr="00CC4936">
        <w:rPr>
          <w:rFonts w:ascii="Times New Roman" w:hAnsi="Times New Roman" w:cs="Times New Roman"/>
          <w:sz w:val="28"/>
          <w:szCs w:val="28"/>
        </w:rPr>
        <w:t xml:space="preserve"> примере коэффициенты прибыльности по контракту 1 выше, чем по контракту 2. Однако результаты расчетов, сделанные на </w:t>
      </w:r>
      <w:r w:rsidR="00D83BEE" w:rsidRPr="00CC4936">
        <w:rPr>
          <w:rFonts w:ascii="Times New Roman" w:hAnsi="Times New Roman" w:cs="Times New Roman"/>
          <w:sz w:val="28"/>
          <w:szCs w:val="28"/>
        </w:rPr>
        <w:t>основании данных таблицы</w:t>
      </w:r>
      <w:r w:rsidRPr="00CC4936">
        <w:rPr>
          <w:rFonts w:ascii="Times New Roman" w:hAnsi="Times New Roman" w:cs="Times New Roman"/>
          <w:sz w:val="28"/>
          <w:szCs w:val="28"/>
        </w:rPr>
        <w:t xml:space="preserve"> 1, не позволяют дать оценку эффективности рассматриваемых контрактов, поскольку при расчете коэффициента прибыльности предполагалось, что внешнеторговая себестоимость импортного товара авансируется в исполнение контракта единовременно в момент заключения сделки. Тем самым не учитывалась неравномерность нарастания и погашения затрат на протяжении коммерческого цикла импортных сделок, которая влияет на уровень эффективности импортного контракта.</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Для расчета коэффициента рентабельности контракта в целом или крупной партии импортного товара, поступившей по данному контракту, нужно предварительно определить среднюю величину авансированного в исполнение этой сделки оборотного капитала.</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Принимая решение о том, какую сумму оборотного капитала следует брать для расчета - максимальную, т.е. внешнеторговую себестоимость импортного товара, или среднюю его величину, надо обращать внимание на общую продолжительность коммерческого цикла контракта и длительность периода наращивания оборотного капитала.</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Чем ниже удельный вес единовременных затрат авансированного оборотного капитала (т.е. чем выше процент аванса иностранному поставщику по отношению к общей сумме контракта) и чем длиннее период поставки и таможенной очистки импортного груза, а также чем выше ставка таможенной пошлины и уровень переменных расходов по доставке импортного товара на склад предприятия - импортера, тем важнее для расчета относительных коэффициентов рентабельности всего импортного контракта или отдельной партии импортного товара, поступившего по данному контракту, предварительно определять среднюю величину авансированного оборотного капитала. Ее целесообразно рассчитывать по данным так называемого штафельного</w:t>
      </w:r>
      <w:r w:rsidR="00D83BEE" w:rsidRPr="00CC4936">
        <w:rPr>
          <w:rFonts w:ascii="Times New Roman" w:hAnsi="Times New Roman" w:cs="Times New Roman"/>
          <w:sz w:val="28"/>
          <w:szCs w:val="28"/>
        </w:rPr>
        <w:t xml:space="preserve"> счета импортного контракта (таблица</w:t>
      </w:r>
      <w:r w:rsidR="00ED7335" w:rsidRPr="00CC4936">
        <w:rPr>
          <w:rFonts w:ascii="Times New Roman" w:hAnsi="Times New Roman" w:cs="Times New Roman"/>
          <w:sz w:val="28"/>
          <w:szCs w:val="28"/>
        </w:rPr>
        <w:t xml:space="preserve"> 2).</w:t>
      </w:r>
    </w:p>
    <w:p w:rsidR="00A70D53" w:rsidRPr="00CC4936" w:rsidRDefault="00550767" w:rsidP="00CC4936">
      <w:pPr>
        <w:spacing w:line="360" w:lineRule="auto"/>
        <w:ind w:firstLine="709"/>
        <w:jc w:val="both"/>
        <w:rPr>
          <w:sz w:val="28"/>
          <w:szCs w:val="28"/>
        </w:rPr>
      </w:pPr>
      <w:r w:rsidRPr="00CC4936">
        <w:br w:type="page"/>
      </w:r>
      <w:r w:rsidR="00A70D53" w:rsidRPr="00CC4936">
        <w:rPr>
          <w:sz w:val="28"/>
          <w:szCs w:val="28"/>
        </w:rPr>
        <w:t>Таблица 2</w:t>
      </w:r>
      <w:r w:rsidR="00CC4936" w:rsidRPr="00CC4936">
        <w:rPr>
          <w:sz w:val="28"/>
          <w:szCs w:val="28"/>
        </w:rPr>
        <w:t xml:space="preserve">. </w:t>
      </w:r>
      <w:r w:rsidR="00A70D53" w:rsidRPr="00CC4936">
        <w:rPr>
          <w:sz w:val="28"/>
          <w:szCs w:val="28"/>
        </w:rPr>
        <w:t>Штафельный счет исполнения</w:t>
      </w:r>
      <w:r w:rsidR="00CC4936" w:rsidRPr="00CC4936">
        <w:rPr>
          <w:sz w:val="28"/>
          <w:szCs w:val="28"/>
        </w:rPr>
        <w:t xml:space="preserve"> </w:t>
      </w:r>
      <w:r w:rsidR="00A70D53" w:rsidRPr="00CC4936">
        <w:rPr>
          <w:sz w:val="28"/>
          <w:szCs w:val="28"/>
        </w:rPr>
        <w:t>контракта 1 в долларах США</w:t>
      </w:r>
    </w:p>
    <w:tbl>
      <w:tblPr>
        <w:tblW w:w="8630" w:type="dxa"/>
        <w:jc w:val="center"/>
        <w:tblLayout w:type="fixed"/>
        <w:tblCellMar>
          <w:left w:w="70" w:type="dxa"/>
          <w:right w:w="70" w:type="dxa"/>
        </w:tblCellMar>
        <w:tblLook w:val="0000" w:firstRow="0" w:lastRow="0" w:firstColumn="0" w:lastColumn="0" w:noHBand="0" w:noVBand="0"/>
      </w:tblPr>
      <w:tblGrid>
        <w:gridCol w:w="485"/>
        <w:gridCol w:w="722"/>
        <w:gridCol w:w="841"/>
        <w:gridCol w:w="722"/>
        <w:gridCol w:w="1235"/>
        <w:gridCol w:w="1117"/>
        <w:gridCol w:w="1274"/>
        <w:gridCol w:w="1117"/>
        <w:gridCol w:w="1117"/>
      </w:tblGrid>
      <w:tr w:rsidR="00A70D53" w:rsidRPr="00CC4936" w:rsidTr="00CC4936">
        <w:trPr>
          <w:trHeight w:val="1506"/>
          <w:jc w:val="center"/>
        </w:trPr>
        <w:tc>
          <w:tcPr>
            <w:tcW w:w="48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N</w:t>
            </w:r>
            <w:r w:rsidR="00CC4936" w:rsidRPr="00CC4936">
              <w:rPr>
                <w:rFonts w:ascii="Times New Roman" w:hAnsi="Times New Roman" w:cs="Times New Roman"/>
              </w:rPr>
              <w:t xml:space="preserve"> </w:t>
            </w:r>
            <w:r w:rsidRPr="00CC4936">
              <w:rPr>
                <w:rFonts w:ascii="Times New Roman" w:hAnsi="Times New Roman" w:cs="Times New Roman"/>
              </w:rPr>
              <w:t>п/п</w:t>
            </w:r>
          </w:p>
        </w:tc>
        <w:tc>
          <w:tcPr>
            <w:tcW w:w="722"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Дата</w:t>
            </w:r>
            <w:r w:rsidR="00CC4936" w:rsidRPr="00CC4936">
              <w:rPr>
                <w:rFonts w:ascii="Times New Roman" w:hAnsi="Times New Roman" w:cs="Times New Roman"/>
              </w:rPr>
              <w:t xml:space="preserve"> </w:t>
            </w:r>
            <w:r w:rsidRPr="00CC4936">
              <w:rPr>
                <w:rFonts w:ascii="Times New Roman" w:hAnsi="Times New Roman" w:cs="Times New Roman"/>
              </w:rPr>
              <w:t>операции</w:t>
            </w:r>
          </w:p>
        </w:tc>
        <w:tc>
          <w:tcPr>
            <w:tcW w:w="841"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Содержание</w:t>
            </w:r>
            <w:r w:rsidR="00CC4936" w:rsidRPr="00CC4936">
              <w:rPr>
                <w:rFonts w:ascii="Times New Roman" w:hAnsi="Times New Roman" w:cs="Times New Roman"/>
              </w:rPr>
              <w:t xml:space="preserve"> </w:t>
            </w:r>
            <w:r w:rsidR="00CC4936">
              <w:rPr>
                <w:rFonts w:ascii="Times New Roman" w:hAnsi="Times New Roman" w:cs="Times New Roman"/>
              </w:rPr>
              <w:t>опера</w:t>
            </w:r>
            <w:r w:rsidRPr="00CC4936">
              <w:rPr>
                <w:rFonts w:ascii="Times New Roman" w:hAnsi="Times New Roman" w:cs="Times New Roman"/>
              </w:rPr>
              <w:t>ции по</w:t>
            </w:r>
            <w:r w:rsidR="00CC4936" w:rsidRPr="00CC4936">
              <w:rPr>
                <w:rFonts w:ascii="Times New Roman" w:hAnsi="Times New Roman" w:cs="Times New Roman"/>
              </w:rPr>
              <w:t xml:space="preserve"> </w:t>
            </w:r>
            <w:r w:rsidR="00CC4936">
              <w:rPr>
                <w:rFonts w:ascii="Times New Roman" w:hAnsi="Times New Roman" w:cs="Times New Roman"/>
              </w:rPr>
              <w:t>испол</w:t>
            </w:r>
            <w:r w:rsidRPr="00CC4936">
              <w:rPr>
                <w:rFonts w:ascii="Times New Roman" w:hAnsi="Times New Roman" w:cs="Times New Roman"/>
              </w:rPr>
              <w:t>нению</w:t>
            </w:r>
            <w:r w:rsidR="00CC4936" w:rsidRPr="00CC4936">
              <w:rPr>
                <w:rFonts w:ascii="Times New Roman" w:hAnsi="Times New Roman" w:cs="Times New Roman"/>
              </w:rPr>
              <w:t xml:space="preserve"> </w:t>
            </w:r>
            <w:r w:rsidR="00CC4936">
              <w:rPr>
                <w:rFonts w:ascii="Times New Roman" w:hAnsi="Times New Roman" w:cs="Times New Roman"/>
              </w:rPr>
              <w:t>импо</w:t>
            </w:r>
            <w:r w:rsidRPr="00CC4936">
              <w:rPr>
                <w:rFonts w:ascii="Times New Roman" w:hAnsi="Times New Roman" w:cs="Times New Roman"/>
              </w:rPr>
              <w:t>ртного</w:t>
            </w:r>
            <w:r w:rsidR="00CC4936" w:rsidRPr="00CC4936">
              <w:rPr>
                <w:rFonts w:ascii="Times New Roman" w:hAnsi="Times New Roman" w:cs="Times New Roman"/>
              </w:rPr>
              <w:t xml:space="preserve"> </w:t>
            </w:r>
            <w:r w:rsidR="00CC4936">
              <w:rPr>
                <w:rFonts w:ascii="Times New Roman" w:hAnsi="Times New Roman" w:cs="Times New Roman"/>
              </w:rPr>
              <w:t>конт</w:t>
            </w:r>
            <w:r w:rsidRPr="00CC4936">
              <w:rPr>
                <w:rFonts w:ascii="Times New Roman" w:hAnsi="Times New Roman" w:cs="Times New Roman"/>
              </w:rPr>
              <w:t xml:space="preserve">ракта </w:t>
            </w:r>
          </w:p>
        </w:tc>
        <w:tc>
          <w:tcPr>
            <w:tcW w:w="722"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Курс</w:t>
            </w:r>
            <w:r w:rsidR="00CC4936" w:rsidRPr="00CC4936">
              <w:rPr>
                <w:rFonts w:ascii="Times New Roman" w:hAnsi="Times New Roman" w:cs="Times New Roman"/>
              </w:rPr>
              <w:t xml:space="preserve"> </w:t>
            </w:r>
            <w:r w:rsidRPr="00CC4936">
              <w:rPr>
                <w:rFonts w:ascii="Times New Roman" w:hAnsi="Times New Roman" w:cs="Times New Roman"/>
              </w:rPr>
              <w:t>обмена,</w:t>
            </w:r>
            <w:r w:rsidR="00CC4936" w:rsidRPr="00CC4936">
              <w:rPr>
                <w:rFonts w:ascii="Times New Roman" w:hAnsi="Times New Roman" w:cs="Times New Roman"/>
              </w:rPr>
              <w:t xml:space="preserve"> </w:t>
            </w:r>
            <w:r w:rsidRPr="00CC4936">
              <w:rPr>
                <w:rFonts w:ascii="Times New Roman" w:hAnsi="Times New Roman" w:cs="Times New Roman"/>
              </w:rPr>
              <w:t>руб./</w:t>
            </w:r>
            <w:r w:rsidR="00CC4936" w:rsidRPr="00CC4936">
              <w:rPr>
                <w:rFonts w:ascii="Times New Roman" w:hAnsi="Times New Roman" w:cs="Times New Roman"/>
              </w:rPr>
              <w:t xml:space="preserve"> </w:t>
            </w:r>
            <w:r w:rsidRPr="00CC4936">
              <w:rPr>
                <w:rFonts w:ascii="Times New Roman" w:hAnsi="Times New Roman" w:cs="Times New Roman"/>
              </w:rPr>
              <w:t>долл.</w:t>
            </w:r>
          </w:p>
        </w:tc>
        <w:tc>
          <w:tcPr>
            <w:tcW w:w="123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Закупка</w:t>
            </w:r>
            <w:r w:rsidR="00CC4936" w:rsidRPr="00CC4936">
              <w:rPr>
                <w:rFonts w:ascii="Times New Roman" w:hAnsi="Times New Roman" w:cs="Times New Roman"/>
              </w:rPr>
              <w:t xml:space="preserve"> </w:t>
            </w:r>
            <w:r w:rsidR="00CC4936">
              <w:rPr>
                <w:rFonts w:ascii="Times New Roman" w:hAnsi="Times New Roman" w:cs="Times New Roman"/>
              </w:rPr>
              <w:t>импорт</w:t>
            </w:r>
            <w:r w:rsidRPr="00CC4936">
              <w:rPr>
                <w:rFonts w:ascii="Times New Roman" w:hAnsi="Times New Roman" w:cs="Times New Roman"/>
              </w:rPr>
              <w:t>ного</w:t>
            </w:r>
            <w:r w:rsidR="00CC4936" w:rsidRPr="00CC4936">
              <w:rPr>
                <w:rFonts w:ascii="Times New Roman" w:hAnsi="Times New Roman" w:cs="Times New Roman"/>
              </w:rPr>
              <w:t xml:space="preserve"> </w:t>
            </w:r>
            <w:r w:rsidRPr="00CC4936">
              <w:rPr>
                <w:rFonts w:ascii="Times New Roman" w:hAnsi="Times New Roman" w:cs="Times New Roman"/>
              </w:rPr>
              <w:t>товара,</w:t>
            </w:r>
            <w:r w:rsidR="00CC4936" w:rsidRPr="00CC4936">
              <w:rPr>
                <w:rFonts w:ascii="Times New Roman" w:hAnsi="Times New Roman" w:cs="Times New Roman"/>
              </w:rPr>
              <w:t xml:space="preserve"> </w:t>
            </w:r>
            <w:r w:rsidRPr="00CC4936">
              <w:rPr>
                <w:rFonts w:ascii="Times New Roman" w:hAnsi="Times New Roman" w:cs="Times New Roman"/>
              </w:rPr>
              <w:t>долл.</w:t>
            </w:r>
            <w:r w:rsidR="00CC4936" w:rsidRPr="00CC4936">
              <w:rPr>
                <w:rFonts w:ascii="Times New Roman" w:hAnsi="Times New Roman" w:cs="Times New Roman"/>
              </w:rPr>
              <w:t xml:space="preserve">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Продажа</w:t>
            </w:r>
            <w:r w:rsidR="00CC4936" w:rsidRPr="00CC4936">
              <w:rPr>
                <w:rFonts w:ascii="Times New Roman" w:hAnsi="Times New Roman" w:cs="Times New Roman"/>
              </w:rPr>
              <w:t xml:space="preserve"> </w:t>
            </w:r>
            <w:r w:rsidR="00CC4936">
              <w:rPr>
                <w:rFonts w:ascii="Times New Roman" w:hAnsi="Times New Roman" w:cs="Times New Roman"/>
              </w:rPr>
              <w:t>импорт</w:t>
            </w:r>
            <w:r w:rsidRPr="00CC4936">
              <w:rPr>
                <w:rFonts w:ascii="Times New Roman" w:hAnsi="Times New Roman" w:cs="Times New Roman"/>
              </w:rPr>
              <w:t>ного</w:t>
            </w:r>
            <w:r w:rsidR="00CC4936" w:rsidRPr="00CC4936">
              <w:rPr>
                <w:rFonts w:ascii="Times New Roman" w:hAnsi="Times New Roman" w:cs="Times New Roman"/>
              </w:rPr>
              <w:t xml:space="preserve"> </w:t>
            </w:r>
            <w:r w:rsidRPr="00CC4936">
              <w:rPr>
                <w:rFonts w:ascii="Times New Roman" w:hAnsi="Times New Roman" w:cs="Times New Roman"/>
              </w:rPr>
              <w:t>товара,</w:t>
            </w:r>
            <w:r w:rsidR="00CC4936" w:rsidRPr="00CC4936">
              <w:rPr>
                <w:rFonts w:ascii="Times New Roman" w:hAnsi="Times New Roman" w:cs="Times New Roman"/>
              </w:rPr>
              <w:t xml:space="preserve"> </w:t>
            </w:r>
            <w:r w:rsidRPr="00CC4936">
              <w:rPr>
                <w:rFonts w:ascii="Times New Roman" w:hAnsi="Times New Roman" w:cs="Times New Roman"/>
              </w:rPr>
              <w:t>долл.</w:t>
            </w:r>
            <w:r w:rsidR="00CC4936" w:rsidRPr="00CC4936">
              <w:rPr>
                <w:rFonts w:ascii="Times New Roman" w:hAnsi="Times New Roman" w:cs="Times New Roman"/>
              </w:rPr>
              <w:t xml:space="preserve"> </w:t>
            </w:r>
          </w:p>
        </w:tc>
        <w:tc>
          <w:tcPr>
            <w:tcW w:w="1274"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Остаток</w:t>
            </w:r>
            <w:r w:rsidR="00CC4936" w:rsidRPr="00CC4936">
              <w:rPr>
                <w:rFonts w:ascii="Times New Roman" w:hAnsi="Times New Roman" w:cs="Times New Roman"/>
              </w:rPr>
              <w:t xml:space="preserve"> </w:t>
            </w:r>
            <w:r w:rsidRPr="00CC4936">
              <w:rPr>
                <w:rFonts w:ascii="Times New Roman" w:hAnsi="Times New Roman" w:cs="Times New Roman"/>
              </w:rPr>
              <w:t>оборотного</w:t>
            </w:r>
            <w:r w:rsidR="00CC4936" w:rsidRPr="00CC4936">
              <w:rPr>
                <w:rFonts w:ascii="Times New Roman" w:hAnsi="Times New Roman" w:cs="Times New Roman"/>
              </w:rPr>
              <w:t xml:space="preserve"> </w:t>
            </w:r>
            <w:r w:rsidRPr="00CC4936">
              <w:rPr>
                <w:rFonts w:ascii="Times New Roman" w:hAnsi="Times New Roman" w:cs="Times New Roman"/>
              </w:rPr>
              <w:t>капитала,</w:t>
            </w:r>
            <w:r w:rsidR="00CC4936" w:rsidRPr="00CC4936">
              <w:rPr>
                <w:rFonts w:ascii="Times New Roman" w:hAnsi="Times New Roman" w:cs="Times New Roman"/>
              </w:rPr>
              <w:t xml:space="preserve"> </w:t>
            </w:r>
            <w:r w:rsidRPr="00CC4936">
              <w:rPr>
                <w:rFonts w:ascii="Times New Roman" w:hAnsi="Times New Roman" w:cs="Times New Roman"/>
              </w:rPr>
              <w:t>долл.</w:t>
            </w:r>
            <w:r w:rsidR="00CC4936" w:rsidRPr="00CC4936">
              <w:rPr>
                <w:rFonts w:ascii="Times New Roman" w:hAnsi="Times New Roman" w:cs="Times New Roman"/>
              </w:rPr>
              <w:t xml:space="preserve">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Интервал</w:t>
            </w:r>
            <w:r w:rsidR="00CC4936" w:rsidRPr="00CC4936">
              <w:rPr>
                <w:rFonts w:ascii="Times New Roman" w:hAnsi="Times New Roman" w:cs="Times New Roman"/>
              </w:rPr>
              <w:t xml:space="preserve"> </w:t>
            </w:r>
            <w:r w:rsidRPr="00CC4936">
              <w:rPr>
                <w:rFonts w:ascii="Times New Roman" w:hAnsi="Times New Roman" w:cs="Times New Roman"/>
              </w:rPr>
              <w:t>между</w:t>
            </w:r>
            <w:r w:rsidR="00CC4936" w:rsidRPr="00CC4936">
              <w:rPr>
                <w:rFonts w:ascii="Times New Roman" w:hAnsi="Times New Roman" w:cs="Times New Roman"/>
              </w:rPr>
              <w:t xml:space="preserve"> </w:t>
            </w:r>
            <w:r w:rsidR="00CC4936">
              <w:rPr>
                <w:rFonts w:ascii="Times New Roman" w:hAnsi="Times New Roman" w:cs="Times New Roman"/>
              </w:rPr>
              <w:t>операци</w:t>
            </w:r>
            <w:r w:rsidRPr="00CC4936">
              <w:rPr>
                <w:rFonts w:ascii="Times New Roman" w:hAnsi="Times New Roman" w:cs="Times New Roman"/>
              </w:rPr>
              <w:t>ями,</w:t>
            </w:r>
            <w:r w:rsidR="00CC4936" w:rsidRPr="00CC4936">
              <w:rPr>
                <w:rFonts w:ascii="Times New Roman" w:hAnsi="Times New Roman" w:cs="Times New Roman"/>
              </w:rPr>
              <w:t xml:space="preserve"> </w:t>
            </w:r>
            <w:r w:rsidRPr="00CC4936">
              <w:rPr>
                <w:rFonts w:ascii="Times New Roman" w:hAnsi="Times New Roman" w:cs="Times New Roman"/>
              </w:rPr>
              <w:t>дни</w:t>
            </w:r>
            <w:r w:rsidR="00CC4936" w:rsidRPr="00CC4936">
              <w:rPr>
                <w:rFonts w:ascii="Times New Roman" w:hAnsi="Times New Roman" w:cs="Times New Roman"/>
              </w:rPr>
              <w:t xml:space="preserve">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Показа</w:t>
            </w:r>
            <w:r w:rsidR="00CC4936">
              <w:rPr>
                <w:rFonts w:ascii="Times New Roman" w:hAnsi="Times New Roman" w:cs="Times New Roman"/>
              </w:rPr>
              <w:t xml:space="preserve">тель </w:t>
            </w:r>
            <w:r w:rsidRPr="00CC4936">
              <w:rPr>
                <w:rFonts w:ascii="Times New Roman" w:hAnsi="Times New Roman" w:cs="Times New Roman"/>
              </w:rPr>
              <w:t>для</w:t>
            </w:r>
            <w:r w:rsidR="00CC4936" w:rsidRPr="00CC4936">
              <w:rPr>
                <w:rFonts w:ascii="Times New Roman" w:hAnsi="Times New Roman" w:cs="Times New Roman"/>
              </w:rPr>
              <w:t xml:space="preserve"> </w:t>
            </w:r>
            <w:r w:rsidRPr="00CC4936">
              <w:rPr>
                <w:rFonts w:ascii="Times New Roman" w:hAnsi="Times New Roman" w:cs="Times New Roman"/>
              </w:rPr>
              <w:t>расчета</w:t>
            </w:r>
            <w:r w:rsidR="00CC4936" w:rsidRPr="00CC4936">
              <w:rPr>
                <w:rFonts w:ascii="Times New Roman" w:hAnsi="Times New Roman" w:cs="Times New Roman"/>
              </w:rPr>
              <w:t xml:space="preserve"> </w:t>
            </w:r>
            <w:r w:rsidRPr="00CC4936">
              <w:rPr>
                <w:rFonts w:ascii="Times New Roman" w:hAnsi="Times New Roman" w:cs="Times New Roman"/>
              </w:rPr>
              <w:t>среднего</w:t>
            </w:r>
            <w:r w:rsidR="00CC4936" w:rsidRPr="00CC4936">
              <w:rPr>
                <w:rFonts w:ascii="Times New Roman" w:hAnsi="Times New Roman" w:cs="Times New Roman"/>
              </w:rPr>
              <w:t xml:space="preserve"> </w:t>
            </w:r>
            <w:r w:rsidRPr="00CC4936">
              <w:rPr>
                <w:rFonts w:ascii="Times New Roman" w:hAnsi="Times New Roman" w:cs="Times New Roman"/>
              </w:rPr>
              <w:t>остатка</w:t>
            </w:r>
            <w:r w:rsidR="00CC4936" w:rsidRPr="00CC4936">
              <w:rPr>
                <w:rFonts w:ascii="Times New Roman" w:hAnsi="Times New Roman" w:cs="Times New Roman"/>
              </w:rPr>
              <w:t xml:space="preserve"> </w:t>
            </w:r>
            <w:r w:rsidR="00CC4936">
              <w:rPr>
                <w:rFonts w:ascii="Times New Roman" w:hAnsi="Times New Roman" w:cs="Times New Roman"/>
              </w:rPr>
              <w:t>аванси</w:t>
            </w:r>
            <w:r w:rsidR="00CC4936" w:rsidRPr="00CC4936">
              <w:rPr>
                <w:rFonts w:ascii="Times New Roman" w:hAnsi="Times New Roman" w:cs="Times New Roman"/>
              </w:rPr>
              <w:t>рова</w:t>
            </w:r>
            <w:r w:rsidR="00CC4936">
              <w:rPr>
                <w:rFonts w:ascii="Times New Roman" w:hAnsi="Times New Roman" w:cs="Times New Roman"/>
              </w:rPr>
              <w:t>нного обо</w:t>
            </w:r>
            <w:r w:rsidRPr="00CC4936">
              <w:rPr>
                <w:rFonts w:ascii="Times New Roman" w:hAnsi="Times New Roman" w:cs="Times New Roman"/>
              </w:rPr>
              <w:t>ротного</w:t>
            </w:r>
            <w:r w:rsidR="00CC4936" w:rsidRPr="00CC4936">
              <w:rPr>
                <w:rFonts w:ascii="Times New Roman" w:hAnsi="Times New Roman" w:cs="Times New Roman"/>
              </w:rPr>
              <w:t xml:space="preserve"> </w:t>
            </w:r>
            <w:r w:rsidRPr="00CC4936">
              <w:rPr>
                <w:rFonts w:ascii="Times New Roman" w:hAnsi="Times New Roman" w:cs="Times New Roman"/>
              </w:rPr>
              <w:t>капитала</w:t>
            </w:r>
            <w:r w:rsidR="00CC4936" w:rsidRPr="00CC4936">
              <w:rPr>
                <w:rFonts w:ascii="Times New Roman" w:hAnsi="Times New Roman" w:cs="Times New Roman"/>
              </w:rPr>
              <w:t xml:space="preserve"> </w:t>
            </w:r>
            <w:r w:rsidRPr="00CC4936">
              <w:rPr>
                <w:rFonts w:ascii="Times New Roman" w:hAnsi="Times New Roman" w:cs="Times New Roman"/>
              </w:rPr>
              <w:t>(гр. 7 x</w:t>
            </w:r>
            <w:r w:rsidR="00CC4936" w:rsidRPr="00CC4936">
              <w:rPr>
                <w:rFonts w:ascii="Times New Roman" w:hAnsi="Times New Roman" w:cs="Times New Roman"/>
              </w:rPr>
              <w:t xml:space="preserve"> </w:t>
            </w:r>
            <w:r w:rsidRPr="00CC4936">
              <w:rPr>
                <w:rFonts w:ascii="Times New Roman" w:hAnsi="Times New Roman" w:cs="Times New Roman"/>
              </w:rPr>
              <w:t>гр. 8)</w:t>
            </w:r>
            <w:r w:rsidR="00CC4936" w:rsidRPr="00CC4936">
              <w:rPr>
                <w:rFonts w:ascii="Times New Roman" w:hAnsi="Times New Roman" w:cs="Times New Roman"/>
              </w:rPr>
              <w:t xml:space="preserve"> </w:t>
            </w:r>
          </w:p>
        </w:tc>
      </w:tr>
      <w:tr w:rsidR="00A70D53" w:rsidRPr="00CC4936" w:rsidTr="00CC4936">
        <w:trPr>
          <w:trHeight w:val="1043"/>
          <w:jc w:val="center"/>
        </w:trPr>
        <w:tc>
          <w:tcPr>
            <w:tcW w:w="48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1.</w:t>
            </w:r>
          </w:p>
        </w:tc>
        <w:tc>
          <w:tcPr>
            <w:tcW w:w="722"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10/11</w:t>
            </w:r>
          </w:p>
        </w:tc>
        <w:tc>
          <w:tcPr>
            <w:tcW w:w="841"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Пере-</w:t>
            </w:r>
            <w:r w:rsidR="00CC4936" w:rsidRPr="00CC4936">
              <w:rPr>
                <w:rFonts w:ascii="Times New Roman" w:hAnsi="Times New Roman" w:cs="Times New Roman"/>
              </w:rPr>
              <w:t xml:space="preserve"> </w:t>
            </w:r>
            <w:r w:rsidRPr="00CC4936">
              <w:rPr>
                <w:rFonts w:ascii="Times New Roman" w:hAnsi="Times New Roman" w:cs="Times New Roman"/>
              </w:rPr>
              <w:t>числен</w:t>
            </w:r>
            <w:r w:rsidR="00CC4936" w:rsidRPr="00CC4936">
              <w:rPr>
                <w:rFonts w:ascii="Times New Roman" w:hAnsi="Times New Roman" w:cs="Times New Roman"/>
              </w:rPr>
              <w:t xml:space="preserve"> </w:t>
            </w:r>
            <w:r w:rsidRPr="00CC4936">
              <w:rPr>
                <w:rFonts w:ascii="Times New Roman" w:hAnsi="Times New Roman" w:cs="Times New Roman"/>
              </w:rPr>
              <w:t>аванс</w:t>
            </w:r>
            <w:r w:rsidR="00CC4936" w:rsidRPr="00CC4936">
              <w:rPr>
                <w:rFonts w:ascii="Times New Roman" w:hAnsi="Times New Roman" w:cs="Times New Roman"/>
              </w:rPr>
              <w:t xml:space="preserve"> </w:t>
            </w:r>
            <w:r w:rsidRPr="00CC4936">
              <w:rPr>
                <w:rFonts w:ascii="Times New Roman" w:hAnsi="Times New Roman" w:cs="Times New Roman"/>
              </w:rPr>
              <w:t>100%</w:t>
            </w:r>
            <w:r w:rsidR="00CC4936" w:rsidRPr="00CC4936">
              <w:rPr>
                <w:rFonts w:ascii="Times New Roman" w:hAnsi="Times New Roman" w:cs="Times New Roman"/>
              </w:rPr>
              <w:t xml:space="preserve"> </w:t>
            </w:r>
            <w:r w:rsidRPr="00CC4936">
              <w:rPr>
                <w:rFonts w:ascii="Times New Roman" w:hAnsi="Times New Roman" w:cs="Times New Roman"/>
              </w:rPr>
              <w:t>по</w:t>
            </w:r>
            <w:r w:rsidR="00CC4936" w:rsidRPr="00CC4936">
              <w:rPr>
                <w:rFonts w:ascii="Times New Roman" w:hAnsi="Times New Roman" w:cs="Times New Roman"/>
              </w:rPr>
              <w:t xml:space="preserve"> </w:t>
            </w:r>
            <w:r w:rsidR="00CC4936">
              <w:rPr>
                <w:rFonts w:ascii="Times New Roman" w:hAnsi="Times New Roman" w:cs="Times New Roman"/>
              </w:rPr>
              <w:t>конт</w:t>
            </w:r>
            <w:r w:rsidRPr="00CC4936">
              <w:rPr>
                <w:rFonts w:ascii="Times New Roman" w:hAnsi="Times New Roman" w:cs="Times New Roman"/>
              </w:rPr>
              <w:t>ракту 1</w:t>
            </w:r>
            <w:r w:rsidR="00CC4936" w:rsidRPr="00CC4936">
              <w:rPr>
                <w:rFonts w:ascii="Times New Roman" w:hAnsi="Times New Roman" w:cs="Times New Roman"/>
              </w:rPr>
              <w:t xml:space="preserve"> </w:t>
            </w:r>
          </w:p>
        </w:tc>
        <w:tc>
          <w:tcPr>
            <w:tcW w:w="722"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13,0 </w:t>
            </w:r>
          </w:p>
        </w:tc>
        <w:tc>
          <w:tcPr>
            <w:tcW w:w="123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7 692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w:t>
            </w:r>
            <w:r w:rsidR="00CC4936" w:rsidRPr="00CC4936">
              <w:rPr>
                <w:rFonts w:ascii="Times New Roman" w:hAnsi="Times New Roman" w:cs="Times New Roman"/>
              </w:rPr>
              <w:t xml:space="preserve"> </w:t>
            </w:r>
          </w:p>
        </w:tc>
        <w:tc>
          <w:tcPr>
            <w:tcW w:w="1274"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7 692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10</w:t>
            </w:r>
            <w:r w:rsidR="00CC4936" w:rsidRPr="00CC4936">
              <w:rPr>
                <w:rFonts w:ascii="Times New Roman" w:hAnsi="Times New Roman" w:cs="Times New Roman"/>
              </w:rPr>
              <w:t xml:space="preserve">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76 920</w:t>
            </w:r>
          </w:p>
        </w:tc>
      </w:tr>
      <w:tr w:rsidR="00A70D53" w:rsidRPr="00CC4936" w:rsidTr="00CC4936">
        <w:trPr>
          <w:trHeight w:val="695"/>
          <w:jc w:val="center"/>
        </w:trPr>
        <w:tc>
          <w:tcPr>
            <w:tcW w:w="48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2.</w:t>
            </w:r>
          </w:p>
        </w:tc>
        <w:tc>
          <w:tcPr>
            <w:tcW w:w="722"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20/12</w:t>
            </w:r>
          </w:p>
        </w:tc>
        <w:tc>
          <w:tcPr>
            <w:tcW w:w="841" w:type="dxa"/>
            <w:tcBorders>
              <w:top w:val="single" w:sz="6" w:space="0" w:color="auto"/>
              <w:left w:val="single" w:sz="6" w:space="0" w:color="auto"/>
              <w:bottom w:val="single" w:sz="6" w:space="0" w:color="auto"/>
              <w:right w:val="single" w:sz="6" w:space="0" w:color="auto"/>
            </w:tcBorders>
          </w:tcPr>
          <w:p w:rsidR="00A70D53" w:rsidRPr="00CC4936" w:rsidRDefault="00CC4936" w:rsidP="00CC4936">
            <w:pPr>
              <w:pStyle w:val="ConsCell"/>
              <w:spacing w:line="360" w:lineRule="auto"/>
              <w:jc w:val="both"/>
              <w:rPr>
                <w:rFonts w:ascii="Times New Roman" w:hAnsi="Times New Roman" w:cs="Times New Roman"/>
              </w:rPr>
            </w:pPr>
            <w:r>
              <w:rPr>
                <w:rFonts w:ascii="Times New Roman" w:hAnsi="Times New Roman" w:cs="Times New Roman"/>
              </w:rPr>
              <w:t>Тамо</w:t>
            </w:r>
            <w:r w:rsidR="00A70D53" w:rsidRPr="00CC4936">
              <w:rPr>
                <w:rFonts w:ascii="Times New Roman" w:hAnsi="Times New Roman" w:cs="Times New Roman"/>
              </w:rPr>
              <w:t>женная</w:t>
            </w:r>
            <w:r w:rsidRPr="00CC4936">
              <w:rPr>
                <w:rFonts w:ascii="Times New Roman" w:hAnsi="Times New Roman" w:cs="Times New Roman"/>
              </w:rPr>
              <w:t xml:space="preserve"> </w:t>
            </w:r>
            <w:r w:rsidR="00A70D53" w:rsidRPr="00CC4936">
              <w:rPr>
                <w:rFonts w:ascii="Times New Roman" w:hAnsi="Times New Roman" w:cs="Times New Roman"/>
              </w:rPr>
              <w:t>очис</w:t>
            </w:r>
            <w:r>
              <w:rPr>
                <w:rFonts w:ascii="Times New Roman" w:hAnsi="Times New Roman" w:cs="Times New Roman"/>
              </w:rPr>
              <w:t>т</w:t>
            </w:r>
            <w:r w:rsidR="00A70D53" w:rsidRPr="00CC4936">
              <w:rPr>
                <w:rFonts w:ascii="Times New Roman" w:hAnsi="Times New Roman" w:cs="Times New Roman"/>
              </w:rPr>
              <w:t>ка</w:t>
            </w:r>
            <w:r w:rsidRPr="00CC4936">
              <w:rPr>
                <w:rFonts w:ascii="Times New Roman" w:hAnsi="Times New Roman" w:cs="Times New Roman"/>
              </w:rPr>
              <w:t xml:space="preserve"> </w:t>
            </w:r>
            <w:r w:rsidR="00A70D53" w:rsidRPr="00CC4936">
              <w:rPr>
                <w:rFonts w:ascii="Times New Roman" w:hAnsi="Times New Roman" w:cs="Times New Roman"/>
              </w:rPr>
              <w:t xml:space="preserve">груза </w:t>
            </w:r>
          </w:p>
        </w:tc>
        <w:tc>
          <w:tcPr>
            <w:tcW w:w="722"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16,0 </w:t>
            </w:r>
          </w:p>
        </w:tc>
        <w:tc>
          <w:tcPr>
            <w:tcW w:w="123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1 563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w:t>
            </w:r>
            <w:r w:rsidR="00CC4936" w:rsidRPr="00CC4936">
              <w:rPr>
                <w:rFonts w:ascii="Times New Roman" w:hAnsi="Times New Roman" w:cs="Times New Roman"/>
              </w:rPr>
              <w:t xml:space="preserve"> </w:t>
            </w:r>
          </w:p>
        </w:tc>
        <w:tc>
          <w:tcPr>
            <w:tcW w:w="1274"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9 255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15</w:t>
            </w:r>
            <w:r w:rsidR="00CC4936" w:rsidRPr="00CC4936">
              <w:rPr>
                <w:rFonts w:ascii="Times New Roman" w:hAnsi="Times New Roman" w:cs="Times New Roman"/>
              </w:rPr>
              <w:t xml:space="preserve">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138 822</w:t>
            </w:r>
          </w:p>
        </w:tc>
      </w:tr>
      <w:tr w:rsidR="00A70D53" w:rsidRPr="00CC4936" w:rsidTr="00CC4936">
        <w:trPr>
          <w:trHeight w:val="348"/>
          <w:jc w:val="center"/>
        </w:trPr>
        <w:tc>
          <w:tcPr>
            <w:tcW w:w="48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3.</w:t>
            </w:r>
          </w:p>
        </w:tc>
        <w:tc>
          <w:tcPr>
            <w:tcW w:w="722"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05/12</w:t>
            </w:r>
          </w:p>
        </w:tc>
        <w:tc>
          <w:tcPr>
            <w:tcW w:w="841" w:type="dxa"/>
            <w:tcBorders>
              <w:top w:val="single" w:sz="6" w:space="0" w:color="auto"/>
              <w:left w:val="single" w:sz="6" w:space="0" w:color="auto"/>
              <w:bottom w:val="single" w:sz="6" w:space="0" w:color="auto"/>
              <w:right w:val="single" w:sz="6" w:space="0" w:color="auto"/>
            </w:tcBorders>
          </w:tcPr>
          <w:p w:rsidR="00A70D53" w:rsidRPr="00CC4936" w:rsidRDefault="00CC4936" w:rsidP="00CC4936">
            <w:pPr>
              <w:pStyle w:val="ConsCell"/>
              <w:spacing w:line="360" w:lineRule="auto"/>
              <w:jc w:val="both"/>
              <w:rPr>
                <w:rFonts w:ascii="Times New Roman" w:hAnsi="Times New Roman" w:cs="Times New Roman"/>
              </w:rPr>
            </w:pPr>
            <w:r>
              <w:rPr>
                <w:rFonts w:ascii="Times New Roman" w:hAnsi="Times New Roman" w:cs="Times New Roman"/>
              </w:rPr>
              <w:t>Прода</w:t>
            </w:r>
            <w:r w:rsidR="00A70D53" w:rsidRPr="00CC4936">
              <w:rPr>
                <w:rFonts w:ascii="Times New Roman" w:hAnsi="Times New Roman" w:cs="Times New Roman"/>
              </w:rPr>
              <w:t>жа 1</w:t>
            </w:r>
            <w:r w:rsidRPr="00CC4936">
              <w:rPr>
                <w:rFonts w:ascii="Times New Roman" w:hAnsi="Times New Roman" w:cs="Times New Roman"/>
              </w:rPr>
              <w:t xml:space="preserve"> </w:t>
            </w:r>
          </w:p>
        </w:tc>
        <w:tc>
          <w:tcPr>
            <w:tcW w:w="722"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17,0 </w:t>
            </w:r>
          </w:p>
        </w:tc>
        <w:tc>
          <w:tcPr>
            <w:tcW w:w="123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w:t>
            </w:r>
            <w:r w:rsidR="00CC4936" w:rsidRPr="00CC4936">
              <w:rPr>
                <w:rFonts w:ascii="Times New Roman" w:hAnsi="Times New Roman" w:cs="Times New Roman"/>
              </w:rPr>
              <w:t xml:space="preserve">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2 491 </w:t>
            </w:r>
          </w:p>
        </w:tc>
        <w:tc>
          <w:tcPr>
            <w:tcW w:w="1274"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6 764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23</w:t>
            </w:r>
            <w:r w:rsidR="00CC4936" w:rsidRPr="00CC4936">
              <w:rPr>
                <w:rFonts w:ascii="Times New Roman" w:hAnsi="Times New Roman" w:cs="Times New Roman"/>
              </w:rPr>
              <w:t xml:space="preserve">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155 572</w:t>
            </w:r>
          </w:p>
        </w:tc>
      </w:tr>
      <w:tr w:rsidR="00A70D53" w:rsidRPr="00CC4936" w:rsidTr="00CC4936">
        <w:trPr>
          <w:trHeight w:val="348"/>
          <w:jc w:val="center"/>
        </w:trPr>
        <w:tc>
          <w:tcPr>
            <w:tcW w:w="48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4.</w:t>
            </w:r>
          </w:p>
        </w:tc>
        <w:tc>
          <w:tcPr>
            <w:tcW w:w="722"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28/12</w:t>
            </w:r>
          </w:p>
        </w:tc>
        <w:tc>
          <w:tcPr>
            <w:tcW w:w="841" w:type="dxa"/>
            <w:tcBorders>
              <w:top w:val="single" w:sz="6" w:space="0" w:color="auto"/>
              <w:left w:val="single" w:sz="6" w:space="0" w:color="auto"/>
              <w:bottom w:val="single" w:sz="6" w:space="0" w:color="auto"/>
              <w:right w:val="single" w:sz="6" w:space="0" w:color="auto"/>
            </w:tcBorders>
          </w:tcPr>
          <w:p w:rsidR="00A70D53" w:rsidRPr="00CC4936" w:rsidRDefault="00CC4936" w:rsidP="00CC4936">
            <w:pPr>
              <w:pStyle w:val="ConsCell"/>
              <w:spacing w:line="360" w:lineRule="auto"/>
              <w:jc w:val="both"/>
              <w:rPr>
                <w:rFonts w:ascii="Times New Roman" w:hAnsi="Times New Roman" w:cs="Times New Roman"/>
              </w:rPr>
            </w:pPr>
            <w:r>
              <w:rPr>
                <w:rFonts w:ascii="Times New Roman" w:hAnsi="Times New Roman" w:cs="Times New Roman"/>
              </w:rPr>
              <w:t>Прода</w:t>
            </w:r>
            <w:r w:rsidR="00A70D53" w:rsidRPr="00CC4936">
              <w:rPr>
                <w:rFonts w:ascii="Times New Roman" w:hAnsi="Times New Roman" w:cs="Times New Roman"/>
              </w:rPr>
              <w:t>жа 2</w:t>
            </w:r>
            <w:r w:rsidRPr="00CC4936">
              <w:rPr>
                <w:rFonts w:ascii="Times New Roman" w:hAnsi="Times New Roman" w:cs="Times New Roman"/>
              </w:rPr>
              <w:t xml:space="preserve"> </w:t>
            </w:r>
          </w:p>
        </w:tc>
        <w:tc>
          <w:tcPr>
            <w:tcW w:w="722"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19,0 </w:t>
            </w:r>
          </w:p>
        </w:tc>
        <w:tc>
          <w:tcPr>
            <w:tcW w:w="123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w:t>
            </w:r>
            <w:r w:rsidR="00CC4936" w:rsidRPr="00CC4936">
              <w:rPr>
                <w:rFonts w:ascii="Times New Roman" w:hAnsi="Times New Roman" w:cs="Times New Roman"/>
              </w:rPr>
              <w:t xml:space="preserve">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7 895 </w:t>
            </w:r>
          </w:p>
        </w:tc>
        <w:tc>
          <w:tcPr>
            <w:tcW w:w="1274"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-1 131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w:t>
            </w:r>
            <w:r w:rsidR="00CC4936" w:rsidRPr="00CC4936">
              <w:rPr>
                <w:rFonts w:ascii="Times New Roman" w:hAnsi="Times New Roman" w:cs="Times New Roman"/>
              </w:rPr>
              <w:t xml:space="preserve">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w:t>
            </w:r>
            <w:r w:rsidR="00CC4936" w:rsidRPr="00CC4936">
              <w:rPr>
                <w:rFonts w:ascii="Times New Roman" w:hAnsi="Times New Roman" w:cs="Times New Roman"/>
              </w:rPr>
              <w:t xml:space="preserve"> </w:t>
            </w:r>
          </w:p>
        </w:tc>
      </w:tr>
      <w:tr w:rsidR="00A70D53" w:rsidRPr="00CC4936" w:rsidTr="00CC4936">
        <w:trPr>
          <w:trHeight w:val="579"/>
          <w:jc w:val="center"/>
        </w:trPr>
        <w:tc>
          <w:tcPr>
            <w:tcW w:w="48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5.</w:t>
            </w:r>
          </w:p>
        </w:tc>
        <w:tc>
          <w:tcPr>
            <w:tcW w:w="722"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x</w:t>
            </w:r>
            <w:r w:rsidR="00CC4936" w:rsidRPr="00CC4936">
              <w:rPr>
                <w:rFonts w:ascii="Times New Roman" w:hAnsi="Times New Roman" w:cs="Times New Roman"/>
              </w:rPr>
              <w:t xml:space="preserve"> </w:t>
            </w:r>
          </w:p>
        </w:tc>
        <w:tc>
          <w:tcPr>
            <w:tcW w:w="841"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Итого</w:t>
            </w:r>
            <w:r w:rsidR="00CC4936" w:rsidRPr="00CC4936">
              <w:rPr>
                <w:rFonts w:ascii="Times New Roman" w:hAnsi="Times New Roman" w:cs="Times New Roman"/>
              </w:rPr>
              <w:t xml:space="preserve"> </w:t>
            </w:r>
            <w:r w:rsidRPr="00CC4936">
              <w:rPr>
                <w:rFonts w:ascii="Times New Roman" w:hAnsi="Times New Roman" w:cs="Times New Roman"/>
              </w:rPr>
              <w:t>по</w:t>
            </w:r>
            <w:r w:rsidR="00CC4936" w:rsidRPr="00CC4936">
              <w:rPr>
                <w:rFonts w:ascii="Times New Roman" w:hAnsi="Times New Roman" w:cs="Times New Roman"/>
              </w:rPr>
              <w:t xml:space="preserve"> </w:t>
            </w:r>
            <w:r w:rsidRPr="00CC4936">
              <w:rPr>
                <w:rFonts w:ascii="Times New Roman" w:hAnsi="Times New Roman" w:cs="Times New Roman"/>
              </w:rPr>
              <w:t xml:space="preserve">контракту </w:t>
            </w:r>
          </w:p>
        </w:tc>
        <w:tc>
          <w:tcPr>
            <w:tcW w:w="722"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x</w:t>
            </w:r>
            <w:r w:rsidR="00CC4936" w:rsidRPr="00CC4936">
              <w:rPr>
                <w:rFonts w:ascii="Times New Roman" w:hAnsi="Times New Roman" w:cs="Times New Roman"/>
              </w:rPr>
              <w:t xml:space="preserve"> </w:t>
            </w:r>
          </w:p>
        </w:tc>
        <w:tc>
          <w:tcPr>
            <w:tcW w:w="1235"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9 255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 xml:space="preserve">10 386 </w:t>
            </w:r>
          </w:p>
        </w:tc>
        <w:tc>
          <w:tcPr>
            <w:tcW w:w="1274"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x</w:t>
            </w:r>
            <w:r w:rsidR="00CC4936" w:rsidRPr="00CC4936">
              <w:rPr>
                <w:rFonts w:ascii="Times New Roman" w:hAnsi="Times New Roman" w:cs="Times New Roman"/>
              </w:rPr>
              <w:t xml:space="preserve">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48</w:t>
            </w:r>
            <w:r w:rsidR="00CC4936" w:rsidRPr="00CC4936">
              <w:rPr>
                <w:rFonts w:ascii="Times New Roman" w:hAnsi="Times New Roman" w:cs="Times New Roman"/>
              </w:rPr>
              <w:t xml:space="preserve"> </w:t>
            </w:r>
          </w:p>
        </w:tc>
        <w:tc>
          <w:tcPr>
            <w:tcW w:w="1117" w:type="dxa"/>
            <w:tcBorders>
              <w:top w:val="single" w:sz="6" w:space="0" w:color="auto"/>
              <w:left w:val="single" w:sz="6" w:space="0" w:color="auto"/>
              <w:bottom w:val="single" w:sz="6" w:space="0" w:color="auto"/>
              <w:right w:val="single" w:sz="6" w:space="0" w:color="auto"/>
            </w:tcBorders>
          </w:tcPr>
          <w:p w:rsidR="00A70D53" w:rsidRPr="00CC4936" w:rsidRDefault="00A70D53" w:rsidP="00CC4936">
            <w:pPr>
              <w:pStyle w:val="ConsCell"/>
              <w:spacing w:line="360" w:lineRule="auto"/>
              <w:jc w:val="both"/>
              <w:rPr>
                <w:rFonts w:ascii="Times New Roman" w:hAnsi="Times New Roman" w:cs="Times New Roman"/>
              </w:rPr>
            </w:pPr>
            <w:r w:rsidRPr="00CC4936">
              <w:rPr>
                <w:rFonts w:ascii="Times New Roman" w:hAnsi="Times New Roman" w:cs="Times New Roman"/>
              </w:rPr>
              <w:t>371 317</w:t>
            </w:r>
          </w:p>
        </w:tc>
      </w:tr>
    </w:tbl>
    <w:p w:rsidR="00A70D53" w:rsidRPr="00CC4936" w:rsidRDefault="00A70D53" w:rsidP="00CC4936">
      <w:pPr>
        <w:pStyle w:val="ConsNonformat"/>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На стадии закупки и доставки импортного товара до склада фирмы - импортера происходило постепенное нарастание авансированного в импортную сделку оборотного капитала. В результате его совокупная величина, совпадающая с внешнеторговой себестоимостью импортного товара, составила 9255 долл. После выпуска импортного товара в свободное обращение и его реализации со склада предприятия-импортера авансированный оборотный капитал постепенно погашался из выручки от продаж импортного товара.</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Эта выручка направлялась на оплату различных расходов предприятия - им</w:t>
      </w:r>
      <w:r w:rsidR="00CC4936">
        <w:rPr>
          <w:rFonts w:ascii="Times New Roman" w:hAnsi="Times New Roman" w:cs="Times New Roman"/>
          <w:sz w:val="28"/>
          <w:szCs w:val="28"/>
        </w:rPr>
        <w:t>портера, в том числе и на куплю</w:t>
      </w:r>
      <w:r w:rsidRPr="00CC4936">
        <w:rPr>
          <w:rFonts w:ascii="Times New Roman" w:hAnsi="Times New Roman" w:cs="Times New Roman"/>
          <w:sz w:val="28"/>
          <w:szCs w:val="28"/>
        </w:rPr>
        <w:t>-продажу новых товаров (см. гр. 7 табл. 2). Уже 28 декабря в ходе исполнения контракта 1 авансированный в сделку оборотный капитал был полностью компенсирован, так как выручка от продажи импортного товара по этому контракту впервые превысила величину авансированного оборотного капитала.</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Среднюю величину авансированного в контракт 1 оборотного капитала (ОКср) можно рассчитать по формуле</w:t>
      </w:r>
    </w:p>
    <w:p w:rsidR="00A70D53" w:rsidRPr="00CC4936" w:rsidRDefault="00A70D53" w:rsidP="00CC4936">
      <w:pPr>
        <w:pStyle w:val="ConsNonformat"/>
        <w:spacing w:line="360" w:lineRule="auto"/>
        <w:ind w:firstLine="709"/>
        <w:jc w:val="both"/>
        <w:rPr>
          <w:rFonts w:ascii="Times New Roman" w:hAnsi="Times New Roman" w:cs="Times New Roman"/>
          <w:sz w:val="28"/>
          <w:szCs w:val="28"/>
        </w:rPr>
      </w:pPr>
    </w:p>
    <w:p w:rsidR="00A70D53" w:rsidRPr="00CC4936" w:rsidRDefault="00A70D53" w:rsidP="00CC4936">
      <w:pPr>
        <w:pStyle w:val="ConsNonformat"/>
        <w:spacing w:line="360" w:lineRule="auto"/>
        <w:ind w:firstLine="1800"/>
        <w:jc w:val="both"/>
        <w:rPr>
          <w:rFonts w:ascii="Times New Roman" w:hAnsi="Times New Roman" w:cs="Times New Roman"/>
          <w:sz w:val="28"/>
          <w:szCs w:val="28"/>
          <w:lang w:val="en-US"/>
        </w:rPr>
      </w:pPr>
      <w:r w:rsidRPr="00CC4936">
        <w:rPr>
          <w:rFonts w:ascii="Times New Roman" w:hAnsi="Times New Roman" w:cs="Times New Roman"/>
          <w:sz w:val="28"/>
          <w:szCs w:val="28"/>
          <w:lang w:val="en-US"/>
        </w:rPr>
        <w:t>n</w:t>
      </w:r>
    </w:p>
    <w:p w:rsidR="00A70D53" w:rsidRPr="00CC4936" w:rsidRDefault="00A70D53" w:rsidP="00CC4936">
      <w:pPr>
        <w:pStyle w:val="ConsNonformat"/>
        <w:spacing w:line="360" w:lineRule="auto"/>
        <w:ind w:firstLine="1800"/>
        <w:jc w:val="both"/>
        <w:rPr>
          <w:rFonts w:ascii="Times New Roman" w:hAnsi="Times New Roman" w:cs="Times New Roman"/>
          <w:sz w:val="28"/>
          <w:szCs w:val="28"/>
          <w:lang w:val="en-US"/>
        </w:rPr>
      </w:pPr>
      <w:r w:rsidRPr="00CC4936">
        <w:rPr>
          <w:rFonts w:ascii="Times New Roman" w:hAnsi="Times New Roman" w:cs="Times New Roman"/>
          <w:sz w:val="28"/>
          <w:szCs w:val="28"/>
          <w:lang w:val="en-US"/>
        </w:rPr>
        <w:t xml:space="preserve">(SUM) Ki x </w:t>
      </w:r>
      <w:r w:rsidRPr="00CC4936">
        <w:rPr>
          <w:rFonts w:ascii="Times New Roman" w:hAnsi="Times New Roman" w:cs="Times New Roman"/>
          <w:sz w:val="28"/>
          <w:szCs w:val="28"/>
        </w:rPr>
        <w:t>Д</w:t>
      </w:r>
      <w:r w:rsidRPr="00CC4936">
        <w:rPr>
          <w:rFonts w:ascii="Times New Roman" w:hAnsi="Times New Roman" w:cs="Times New Roman"/>
          <w:sz w:val="28"/>
          <w:szCs w:val="28"/>
          <w:lang w:val="en-US"/>
        </w:rPr>
        <w:t>i</w:t>
      </w:r>
    </w:p>
    <w:p w:rsidR="00A70D53" w:rsidRPr="00CC4936" w:rsidRDefault="00A70D53" w:rsidP="00CC4936">
      <w:pPr>
        <w:pStyle w:val="ConsNonformat"/>
        <w:spacing w:line="360" w:lineRule="auto"/>
        <w:ind w:firstLine="1800"/>
        <w:jc w:val="both"/>
        <w:rPr>
          <w:rFonts w:ascii="Times New Roman" w:hAnsi="Times New Roman" w:cs="Times New Roman"/>
          <w:sz w:val="28"/>
          <w:szCs w:val="28"/>
          <w:lang w:val="en-US"/>
        </w:rPr>
      </w:pPr>
      <w:r w:rsidRPr="00CC4936">
        <w:rPr>
          <w:rFonts w:ascii="Times New Roman" w:hAnsi="Times New Roman" w:cs="Times New Roman"/>
          <w:sz w:val="28"/>
          <w:szCs w:val="28"/>
          <w:lang w:val="en-US"/>
        </w:rPr>
        <w:t>i=1</w:t>
      </w:r>
    </w:p>
    <w:p w:rsidR="00A70D53" w:rsidRPr="00CC4936" w:rsidRDefault="00A70D53" w:rsidP="00CC4936">
      <w:pPr>
        <w:pStyle w:val="ConsNonformat"/>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ОКср = -------------,</w:t>
      </w:r>
    </w:p>
    <w:p w:rsidR="00A70D53" w:rsidRPr="00CC4936" w:rsidRDefault="00A70D53" w:rsidP="00CC4936">
      <w:pPr>
        <w:pStyle w:val="ConsNonformat"/>
        <w:spacing w:line="360" w:lineRule="auto"/>
        <w:ind w:firstLine="1800"/>
        <w:jc w:val="both"/>
        <w:rPr>
          <w:rFonts w:ascii="Times New Roman" w:hAnsi="Times New Roman" w:cs="Times New Roman"/>
          <w:sz w:val="28"/>
          <w:szCs w:val="28"/>
        </w:rPr>
      </w:pPr>
      <w:r w:rsidRPr="00CC4936">
        <w:rPr>
          <w:rFonts w:ascii="Times New Roman" w:hAnsi="Times New Roman" w:cs="Times New Roman"/>
          <w:sz w:val="28"/>
          <w:szCs w:val="28"/>
        </w:rPr>
        <w:t>П</w:t>
      </w:r>
    </w:p>
    <w:p w:rsidR="00A70D53" w:rsidRPr="00CC4936" w:rsidRDefault="00A70D53" w:rsidP="00CC4936">
      <w:pPr>
        <w:pStyle w:val="ConsNonformat"/>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где К - остаток оборотного капитала в интервале между операциями; Д -число дней между операциями; П - продолжительность оборота капитала в днях; i - конкретная операция; n - число операций.</w:t>
      </w:r>
    </w:p>
    <w:p w:rsidR="004754C9" w:rsidRDefault="004754C9" w:rsidP="00CC4936">
      <w:pPr>
        <w:pStyle w:val="ConsNormal"/>
        <w:spacing w:line="360" w:lineRule="auto"/>
        <w:ind w:firstLine="709"/>
        <w:jc w:val="both"/>
        <w:rPr>
          <w:rFonts w:ascii="Times New Roman" w:hAnsi="Times New Roman" w:cs="Times New Roman"/>
          <w:sz w:val="28"/>
          <w:szCs w:val="28"/>
        </w:rPr>
      </w:pPr>
    </w:p>
    <w:p w:rsidR="00A70D53"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В нашем примере средняя сумма оборотного капитала, авансированного в контракт 1, составила: 371 317 : 48 = 7736 долл. и оказалась на 1519 долл. меньше, чем внешнеторговая себестоимость импортного товара (9255 - 7736).</w:t>
      </w:r>
      <w:r w:rsidR="004754C9">
        <w:rPr>
          <w:rFonts w:ascii="Times New Roman" w:hAnsi="Times New Roman" w:cs="Times New Roman"/>
          <w:sz w:val="28"/>
          <w:szCs w:val="28"/>
        </w:rPr>
        <w:t xml:space="preserve"> </w:t>
      </w:r>
      <w:r w:rsidRPr="00CC4936">
        <w:rPr>
          <w:rFonts w:ascii="Times New Roman" w:hAnsi="Times New Roman" w:cs="Times New Roman"/>
          <w:sz w:val="28"/>
          <w:szCs w:val="28"/>
        </w:rPr>
        <w:t>Теперь рассчитаем коэффициент доходности (Кд) по отношению к среднедневной сумме авансированного оборотного капитала, разделив валовой доход, полученный по данной импортной сделке (ВД), на среднюю сумму оборотного капитала (ОКср). По контракту 1 при расчете в долларах США он составит:</w:t>
      </w:r>
    </w:p>
    <w:p w:rsidR="00A70D53" w:rsidRPr="00CC4936" w:rsidRDefault="004754C9" w:rsidP="00CC4936">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70D53" w:rsidRPr="00CC4936">
        <w:rPr>
          <w:rFonts w:ascii="Times New Roman" w:hAnsi="Times New Roman" w:cs="Times New Roman"/>
          <w:sz w:val="28"/>
          <w:szCs w:val="28"/>
        </w:rPr>
        <w:t>Кд = 1131 : 7736 x 100% = 14,62%.</w:t>
      </w:r>
    </w:p>
    <w:p w:rsidR="00A70D53" w:rsidRPr="00CC4936" w:rsidRDefault="00A70D53" w:rsidP="00CC4936">
      <w:pPr>
        <w:pStyle w:val="ConsNonformat"/>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Это на 2,4% больше коэффициента прибыльности, рассчитанного к внешнеторговой себестоимости импортного товара: 14,62% - 12,22 % = 2,4%.</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При расчете в рублях средняя величина авансированного оборотного капитала и соответствующий ему коэффициент доходности контракта 1 составят:</w:t>
      </w:r>
    </w:p>
    <w:p w:rsidR="00A70D53" w:rsidRPr="00CC4936" w:rsidRDefault="00A70D53" w:rsidP="00CC4936">
      <w:pPr>
        <w:pStyle w:val="ConsNonformat"/>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ОКср = 5 476 923 : 48 = 114 103 руб.</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Кд = 51 923 : 114 103 x 100% = 45,51%</w:t>
      </w:r>
    </w:p>
    <w:p w:rsidR="004754C9" w:rsidRDefault="004754C9" w:rsidP="00CC4936">
      <w:pPr>
        <w:pStyle w:val="ConsNormal"/>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Это на 10,45% больше коэффициента прибыльности, рассчитанного к внешнеторговой себестоимости импортного товара: 45,51% - 35,06% = 10,45%.</w:t>
      </w:r>
      <w:r w:rsidR="004754C9">
        <w:rPr>
          <w:rFonts w:ascii="Times New Roman" w:hAnsi="Times New Roman" w:cs="Times New Roman"/>
          <w:sz w:val="28"/>
          <w:szCs w:val="28"/>
        </w:rPr>
        <w:t xml:space="preserve"> </w:t>
      </w:r>
      <w:r w:rsidRPr="00CC4936">
        <w:rPr>
          <w:rFonts w:ascii="Times New Roman" w:hAnsi="Times New Roman" w:cs="Times New Roman"/>
          <w:sz w:val="28"/>
          <w:szCs w:val="28"/>
        </w:rPr>
        <w:t>Результаты расчетов по контрактам 1 и 2 и в целом по обоим контрактам приведены в табл. 3, из которой видно, что коэффициенты рентабельности для каждого контракта и в целом имеют общую тенденцию изменения. При расчете в долларах США они значительно ниже соответствующих им уровней в рублях, а коэффициенты прибыльности значительно ниже соответствующих им значений коэффициентов</w:t>
      </w:r>
      <w:r w:rsidR="00CB18F0" w:rsidRPr="00CC4936">
        <w:rPr>
          <w:rFonts w:ascii="Times New Roman" w:hAnsi="Times New Roman" w:cs="Times New Roman"/>
          <w:sz w:val="28"/>
          <w:szCs w:val="28"/>
        </w:rPr>
        <w:t xml:space="preserve"> доходности (гр. 6 - 7 таблицы</w:t>
      </w:r>
      <w:r w:rsidRPr="00CC4936">
        <w:rPr>
          <w:rFonts w:ascii="Times New Roman" w:hAnsi="Times New Roman" w:cs="Times New Roman"/>
          <w:sz w:val="28"/>
          <w:szCs w:val="28"/>
        </w:rPr>
        <w:t xml:space="preserve"> 3).</w:t>
      </w:r>
    </w:p>
    <w:p w:rsidR="004754C9" w:rsidRDefault="004754C9" w:rsidP="00CC4936">
      <w:pPr>
        <w:pStyle w:val="ConsNormal"/>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Таблица 3</w:t>
      </w:r>
      <w:r w:rsidR="004754C9">
        <w:rPr>
          <w:rFonts w:ascii="Times New Roman" w:hAnsi="Times New Roman" w:cs="Times New Roman"/>
          <w:sz w:val="28"/>
          <w:szCs w:val="28"/>
        </w:rPr>
        <w:t xml:space="preserve">. </w:t>
      </w:r>
      <w:r w:rsidRPr="00CC4936">
        <w:rPr>
          <w:rFonts w:ascii="Times New Roman" w:hAnsi="Times New Roman" w:cs="Times New Roman"/>
          <w:sz w:val="28"/>
          <w:szCs w:val="28"/>
        </w:rPr>
        <w:t>Расчет коэффициентов рентабельности по импортным сделкам</w:t>
      </w:r>
    </w:p>
    <w:tbl>
      <w:tblPr>
        <w:tblW w:w="9072" w:type="dxa"/>
        <w:jc w:val="center"/>
        <w:tblLayout w:type="fixed"/>
        <w:tblCellMar>
          <w:left w:w="70" w:type="dxa"/>
          <w:right w:w="70" w:type="dxa"/>
        </w:tblCellMar>
        <w:tblLook w:val="0000" w:firstRow="0" w:lastRow="0" w:firstColumn="0" w:lastColumn="0" w:noHBand="0" w:noVBand="0"/>
      </w:tblPr>
      <w:tblGrid>
        <w:gridCol w:w="510"/>
        <w:gridCol w:w="1176"/>
        <w:gridCol w:w="1009"/>
        <w:gridCol w:w="1342"/>
        <w:gridCol w:w="1176"/>
        <w:gridCol w:w="1134"/>
        <w:gridCol w:w="1009"/>
        <w:gridCol w:w="1716"/>
      </w:tblGrid>
      <w:tr w:rsidR="00A70D53" w:rsidRPr="00CC4936" w:rsidTr="004754C9">
        <w:trPr>
          <w:trHeight w:val="1200"/>
          <w:jc w:val="center"/>
        </w:trPr>
        <w:tc>
          <w:tcPr>
            <w:tcW w:w="54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N</w:t>
            </w:r>
            <w:r w:rsidR="00CC4936" w:rsidRPr="00CC4936">
              <w:t xml:space="preserve"> </w:t>
            </w:r>
            <w:r w:rsidRPr="00CC4936">
              <w:t>п/п</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4754C9" w:rsidP="004754C9">
            <w:pPr>
              <w:pStyle w:val="12"/>
            </w:pPr>
            <w:r>
              <w:t>Еди</w:t>
            </w:r>
            <w:r w:rsidR="00A70D53" w:rsidRPr="00CC4936">
              <w:t>ница</w:t>
            </w:r>
            <w:r w:rsidR="00CC4936" w:rsidRPr="00CC4936">
              <w:t xml:space="preserve"> </w:t>
            </w:r>
            <w:r w:rsidR="00A70D53" w:rsidRPr="00CC4936">
              <w:t>измерения</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Валовой</w:t>
            </w:r>
            <w:r w:rsidR="00CC4936" w:rsidRPr="00CC4936">
              <w:t xml:space="preserve"> </w:t>
            </w:r>
            <w:r w:rsidRPr="00CC4936">
              <w:t>доход,</w:t>
            </w:r>
            <w:r w:rsidR="00CC4936" w:rsidRPr="00CC4936">
              <w:t xml:space="preserve"> </w:t>
            </w:r>
            <w:r w:rsidRPr="00CC4936">
              <w:t>ВД</w:t>
            </w:r>
            <w:r w:rsidR="00CC4936" w:rsidRPr="00CC4936">
              <w:t xml:space="preserve"> </w:t>
            </w:r>
          </w:p>
        </w:tc>
        <w:tc>
          <w:tcPr>
            <w:tcW w:w="144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Внешне-</w:t>
            </w:r>
            <w:r w:rsidR="00CC4936" w:rsidRPr="00CC4936">
              <w:t xml:space="preserve"> </w:t>
            </w:r>
            <w:r w:rsidRPr="00CC4936">
              <w:t>торговая</w:t>
            </w:r>
            <w:r w:rsidR="00CC4936" w:rsidRPr="00CC4936">
              <w:t xml:space="preserve"> </w:t>
            </w:r>
            <w:r w:rsidR="004754C9">
              <w:t>себесто</w:t>
            </w:r>
            <w:r w:rsidRPr="00CC4936">
              <w:t>имость</w:t>
            </w:r>
            <w:r w:rsidR="00CC4936" w:rsidRPr="00CC4936">
              <w:t xml:space="preserve"> </w:t>
            </w:r>
            <w:r w:rsidRPr="00CC4936">
              <w:t>импортного</w:t>
            </w:r>
            <w:r w:rsidR="00CC4936" w:rsidRPr="00CC4936">
              <w:t xml:space="preserve"> </w:t>
            </w:r>
            <w:r w:rsidRPr="00CC4936">
              <w:t>товара,</w:t>
            </w:r>
            <w:r w:rsidR="00CC4936" w:rsidRPr="00CC4936">
              <w:t xml:space="preserve"> </w:t>
            </w:r>
            <w:r w:rsidRPr="00CC4936">
              <w:t>ВС</w:t>
            </w:r>
            <w:r w:rsidR="00CC4936" w:rsidRPr="00CC4936">
              <w:t xml:space="preserve"> </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Среднее</w:t>
            </w:r>
            <w:r w:rsidR="00CC4936" w:rsidRPr="00CC4936">
              <w:t xml:space="preserve"> </w:t>
            </w:r>
            <w:r w:rsidRPr="00CC4936">
              <w:t>значение</w:t>
            </w:r>
            <w:r w:rsidR="00CC4936" w:rsidRPr="00CC4936">
              <w:t xml:space="preserve"> </w:t>
            </w:r>
            <w:r w:rsidR="004754C9">
              <w:t>авансирован</w:t>
            </w:r>
            <w:r w:rsidRPr="00CC4936">
              <w:t>ного</w:t>
            </w:r>
            <w:r w:rsidR="00CC4936" w:rsidRPr="00CC4936">
              <w:t xml:space="preserve"> </w:t>
            </w:r>
            <w:r w:rsidR="004754C9">
              <w:t>оборотного ка</w:t>
            </w:r>
            <w:r w:rsidRPr="00CC4936">
              <w:t>питала,</w:t>
            </w:r>
            <w:r w:rsidR="00CC4936" w:rsidRPr="00CC4936">
              <w:t xml:space="preserve"> </w:t>
            </w:r>
            <w:r w:rsidRPr="00CC4936">
              <w:t>ОКср</w:t>
            </w:r>
            <w:r w:rsidR="00CC4936" w:rsidRPr="00CC4936">
              <w:t xml:space="preserve"> </w:t>
            </w:r>
          </w:p>
        </w:tc>
        <w:tc>
          <w:tcPr>
            <w:tcW w:w="1215" w:type="dxa"/>
            <w:tcBorders>
              <w:top w:val="single" w:sz="6" w:space="0" w:color="auto"/>
              <w:left w:val="single" w:sz="6" w:space="0" w:color="auto"/>
              <w:bottom w:val="single" w:sz="6" w:space="0" w:color="auto"/>
              <w:right w:val="single" w:sz="6" w:space="0" w:color="auto"/>
            </w:tcBorders>
          </w:tcPr>
          <w:p w:rsidR="00A70D53" w:rsidRPr="00CC4936" w:rsidRDefault="004754C9" w:rsidP="004754C9">
            <w:pPr>
              <w:pStyle w:val="12"/>
            </w:pPr>
            <w:r>
              <w:t>Коэффи</w:t>
            </w:r>
            <w:r w:rsidR="00A70D53" w:rsidRPr="00CC4936">
              <w:t>циент</w:t>
            </w:r>
            <w:r w:rsidR="00CC4936" w:rsidRPr="00CC4936">
              <w:t xml:space="preserve"> </w:t>
            </w:r>
            <w:r>
              <w:t>прибыль</w:t>
            </w:r>
            <w:r w:rsidR="00A70D53" w:rsidRPr="00CC4936">
              <w:t>ности</w:t>
            </w:r>
            <w:r w:rsidR="00CC4936" w:rsidRPr="00CC4936">
              <w:t xml:space="preserve"> </w:t>
            </w:r>
            <w:r w:rsidR="00A70D53" w:rsidRPr="00CC4936">
              <w:t>(гр. 3 :</w:t>
            </w:r>
            <w:r w:rsidR="00CC4936" w:rsidRPr="00CC4936">
              <w:t xml:space="preserve"> </w:t>
            </w:r>
            <w:r w:rsidR="00A70D53" w:rsidRPr="00CC4936">
              <w:t>гр. 4),</w:t>
            </w:r>
            <w:r w:rsidR="00CC4936" w:rsidRPr="00CC4936">
              <w:t xml:space="preserve"> </w:t>
            </w:r>
            <w:r w:rsidR="00A70D53" w:rsidRPr="00CC4936">
              <w:t>%, Кр</w:t>
            </w:r>
            <w:r w:rsidR="00CC4936" w:rsidRPr="00CC4936">
              <w:t xml:space="preserve"> </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4754C9" w:rsidP="004754C9">
            <w:pPr>
              <w:pStyle w:val="12"/>
            </w:pPr>
            <w:r>
              <w:t>Коэффи</w:t>
            </w:r>
            <w:r w:rsidR="00A70D53" w:rsidRPr="00CC4936">
              <w:t>циент</w:t>
            </w:r>
            <w:r w:rsidR="00CC4936" w:rsidRPr="00CC4936">
              <w:t xml:space="preserve"> </w:t>
            </w:r>
            <w:r w:rsidR="00A70D53" w:rsidRPr="00CC4936">
              <w:t>доходности</w:t>
            </w:r>
            <w:r w:rsidR="00CC4936" w:rsidRPr="00CC4936">
              <w:t xml:space="preserve"> </w:t>
            </w:r>
            <w:r w:rsidR="00A70D53" w:rsidRPr="00CC4936">
              <w:t>(гр. 3</w:t>
            </w:r>
            <w:r w:rsidR="00CC4936" w:rsidRPr="00CC4936">
              <w:t xml:space="preserve"> </w:t>
            </w:r>
            <w:r w:rsidR="00A70D53" w:rsidRPr="00CC4936">
              <w:t>: гр.</w:t>
            </w:r>
            <w:r w:rsidR="00CC4936" w:rsidRPr="00CC4936">
              <w:t xml:space="preserve"> </w:t>
            </w:r>
            <w:r w:rsidR="00A70D53" w:rsidRPr="00CC4936">
              <w:t>5),</w:t>
            </w:r>
            <w:r w:rsidR="00CC4936" w:rsidRPr="00CC4936">
              <w:t xml:space="preserve"> </w:t>
            </w:r>
            <w:r w:rsidR="00A70D53" w:rsidRPr="00CC4936">
              <w:t>%, Кд</w:t>
            </w:r>
            <w:r w:rsidR="00CC4936" w:rsidRPr="00CC4936">
              <w:t xml:space="preserve"> </w:t>
            </w:r>
          </w:p>
        </w:tc>
        <w:tc>
          <w:tcPr>
            <w:tcW w:w="1845"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Коэффициент</w:t>
            </w:r>
            <w:r w:rsidR="00CC4936" w:rsidRPr="00CC4936">
              <w:t xml:space="preserve"> </w:t>
            </w:r>
            <w:r w:rsidRPr="00CC4936">
              <w:t>нарастания</w:t>
            </w:r>
            <w:r w:rsidR="00CC4936" w:rsidRPr="00CC4936">
              <w:t xml:space="preserve"> </w:t>
            </w:r>
            <w:r w:rsidRPr="00CC4936">
              <w:t>авансированного</w:t>
            </w:r>
            <w:r w:rsidR="00CC4936" w:rsidRPr="00CC4936">
              <w:t xml:space="preserve"> </w:t>
            </w:r>
            <w:r w:rsidRPr="00CC4936">
              <w:t>оборотного</w:t>
            </w:r>
            <w:r w:rsidR="00CC4936" w:rsidRPr="00CC4936">
              <w:t xml:space="preserve"> </w:t>
            </w:r>
            <w:r w:rsidRPr="00CC4936">
              <w:t>капитала</w:t>
            </w:r>
            <w:r w:rsidR="00CC4936" w:rsidRPr="00CC4936">
              <w:t xml:space="preserve"> </w:t>
            </w:r>
            <w:r w:rsidRPr="00CC4936">
              <w:t>(гр. 5 :</w:t>
            </w:r>
            <w:r w:rsidR="00CC4936" w:rsidRPr="00CC4936">
              <w:t xml:space="preserve"> </w:t>
            </w:r>
            <w:r w:rsidRPr="00CC4936">
              <w:t>гр. 4),</w:t>
            </w:r>
            <w:r w:rsidR="00CC4936" w:rsidRPr="00CC4936">
              <w:t xml:space="preserve"> </w:t>
            </w:r>
            <w:r w:rsidRPr="00CC4936">
              <w:t>%, Кн</w:t>
            </w:r>
            <w:r w:rsidR="00CC4936" w:rsidRPr="00CC4936">
              <w:t xml:space="preserve"> </w:t>
            </w:r>
          </w:p>
        </w:tc>
      </w:tr>
      <w:tr w:rsidR="00A70D53" w:rsidRPr="00CC4936" w:rsidTr="004754C9">
        <w:trPr>
          <w:trHeight w:val="240"/>
          <w:jc w:val="center"/>
        </w:trPr>
        <w:tc>
          <w:tcPr>
            <w:tcW w:w="9720" w:type="dxa"/>
            <w:gridSpan w:val="8"/>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Контракт 1</w:t>
            </w:r>
            <w:r w:rsidR="00CC4936" w:rsidRPr="00CC4936">
              <w:t xml:space="preserve"> </w:t>
            </w:r>
          </w:p>
        </w:tc>
      </w:tr>
      <w:tr w:rsidR="00A70D53" w:rsidRPr="00CC4936" w:rsidTr="004754C9">
        <w:trPr>
          <w:trHeight w:val="360"/>
          <w:jc w:val="center"/>
        </w:trPr>
        <w:tc>
          <w:tcPr>
            <w:tcW w:w="54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1. </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4754C9" w:rsidP="004754C9">
            <w:pPr>
              <w:pStyle w:val="12"/>
            </w:pPr>
            <w:r>
              <w:t>Дол</w:t>
            </w:r>
            <w:r w:rsidR="00A70D53" w:rsidRPr="00CC4936">
              <w:t>лар</w:t>
            </w:r>
            <w:r w:rsidR="00CC4936" w:rsidRPr="00CC4936">
              <w:t xml:space="preserve"> </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1 131</w:t>
            </w:r>
          </w:p>
        </w:tc>
        <w:tc>
          <w:tcPr>
            <w:tcW w:w="144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9 255 </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7 736 </w:t>
            </w:r>
          </w:p>
        </w:tc>
        <w:tc>
          <w:tcPr>
            <w:tcW w:w="1215"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12,22 </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14,62 </w:t>
            </w:r>
          </w:p>
        </w:tc>
        <w:tc>
          <w:tcPr>
            <w:tcW w:w="1845"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83,59</w:t>
            </w:r>
            <w:r w:rsidR="00CC4936" w:rsidRPr="00CC4936">
              <w:t xml:space="preserve"> </w:t>
            </w:r>
          </w:p>
        </w:tc>
      </w:tr>
      <w:tr w:rsidR="00A70D53" w:rsidRPr="00CC4936" w:rsidTr="004754C9">
        <w:trPr>
          <w:trHeight w:val="480"/>
          <w:jc w:val="center"/>
        </w:trPr>
        <w:tc>
          <w:tcPr>
            <w:tcW w:w="54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2. </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Рубль</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51 923</w:t>
            </w:r>
          </w:p>
        </w:tc>
        <w:tc>
          <w:tcPr>
            <w:tcW w:w="144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148 077 </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114 103 </w:t>
            </w:r>
          </w:p>
        </w:tc>
        <w:tc>
          <w:tcPr>
            <w:tcW w:w="1215"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35,06 </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45,51 </w:t>
            </w:r>
          </w:p>
        </w:tc>
        <w:tc>
          <w:tcPr>
            <w:tcW w:w="1845"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77,06</w:t>
            </w:r>
            <w:r w:rsidR="00CC4936" w:rsidRPr="00CC4936">
              <w:t xml:space="preserve"> </w:t>
            </w:r>
          </w:p>
        </w:tc>
      </w:tr>
      <w:tr w:rsidR="00A70D53" w:rsidRPr="00CC4936" w:rsidTr="004754C9">
        <w:trPr>
          <w:trHeight w:val="240"/>
          <w:jc w:val="center"/>
        </w:trPr>
        <w:tc>
          <w:tcPr>
            <w:tcW w:w="9720" w:type="dxa"/>
            <w:gridSpan w:val="8"/>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Контракт 2</w:t>
            </w:r>
            <w:r w:rsidR="00CC4936" w:rsidRPr="00CC4936">
              <w:t xml:space="preserve"> </w:t>
            </w:r>
          </w:p>
        </w:tc>
      </w:tr>
      <w:tr w:rsidR="00A70D53" w:rsidRPr="00CC4936" w:rsidTr="004754C9">
        <w:trPr>
          <w:trHeight w:val="360"/>
          <w:jc w:val="center"/>
        </w:trPr>
        <w:tc>
          <w:tcPr>
            <w:tcW w:w="54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3. </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4754C9" w:rsidP="004754C9">
            <w:pPr>
              <w:pStyle w:val="12"/>
            </w:pPr>
            <w:r>
              <w:t>Дол</w:t>
            </w:r>
            <w:r w:rsidR="00A70D53" w:rsidRPr="00CC4936">
              <w:t>лар</w:t>
            </w:r>
            <w:r w:rsidR="00CC4936" w:rsidRPr="00CC4936">
              <w:t xml:space="preserve"> </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1 470</w:t>
            </w:r>
          </w:p>
        </w:tc>
        <w:tc>
          <w:tcPr>
            <w:tcW w:w="144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12 462 </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9 798 </w:t>
            </w:r>
          </w:p>
        </w:tc>
        <w:tc>
          <w:tcPr>
            <w:tcW w:w="1215"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11,80 </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15,0</w:t>
            </w:r>
            <w:r w:rsidR="00CC4936" w:rsidRPr="00CC4936">
              <w:t xml:space="preserve"> </w:t>
            </w:r>
          </w:p>
        </w:tc>
        <w:tc>
          <w:tcPr>
            <w:tcW w:w="1845"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78,62</w:t>
            </w:r>
            <w:r w:rsidR="00CC4936" w:rsidRPr="00CC4936">
              <w:t xml:space="preserve"> </w:t>
            </w:r>
          </w:p>
        </w:tc>
      </w:tr>
      <w:tr w:rsidR="00A70D53" w:rsidRPr="00CC4936" w:rsidTr="004754C9">
        <w:trPr>
          <w:trHeight w:val="480"/>
          <w:jc w:val="center"/>
        </w:trPr>
        <w:tc>
          <w:tcPr>
            <w:tcW w:w="54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4. </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Рубль</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54 172</w:t>
            </w:r>
          </w:p>
        </w:tc>
        <w:tc>
          <w:tcPr>
            <w:tcW w:w="144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249 240 </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164 523 </w:t>
            </w:r>
          </w:p>
        </w:tc>
        <w:tc>
          <w:tcPr>
            <w:tcW w:w="1215"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21,73 </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32,93 </w:t>
            </w:r>
          </w:p>
        </w:tc>
        <w:tc>
          <w:tcPr>
            <w:tcW w:w="1845"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66,00</w:t>
            </w:r>
            <w:r w:rsidR="00CC4936" w:rsidRPr="00CC4936">
              <w:t xml:space="preserve"> </w:t>
            </w:r>
          </w:p>
        </w:tc>
      </w:tr>
      <w:tr w:rsidR="00A70D53" w:rsidRPr="00CC4936" w:rsidTr="004754C9">
        <w:trPr>
          <w:trHeight w:val="240"/>
          <w:jc w:val="center"/>
        </w:trPr>
        <w:tc>
          <w:tcPr>
            <w:tcW w:w="9720" w:type="dxa"/>
            <w:gridSpan w:val="8"/>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В целом по двум контрактам</w:t>
            </w:r>
            <w:r w:rsidR="00CC4936" w:rsidRPr="00CC4936">
              <w:t xml:space="preserve"> </w:t>
            </w:r>
          </w:p>
        </w:tc>
      </w:tr>
      <w:tr w:rsidR="00A70D53" w:rsidRPr="00CC4936" w:rsidTr="004754C9">
        <w:trPr>
          <w:trHeight w:val="360"/>
          <w:jc w:val="center"/>
        </w:trPr>
        <w:tc>
          <w:tcPr>
            <w:tcW w:w="54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5. </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4754C9" w:rsidP="004754C9">
            <w:pPr>
              <w:pStyle w:val="12"/>
            </w:pPr>
            <w:r>
              <w:t>Дол</w:t>
            </w:r>
            <w:r w:rsidR="00A70D53" w:rsidRPr="00CC4936">
              <w:t>лар</w:t>
            </w:r>
            <w:r w:rsidR="00CC4936" w:rsidRPr="00CC4936">
              <w:t xml:space="preserve"> </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2 601</w:t>
            </w:r>
          </w:p>
        </w:tc>
        <w:tc>
          <w:tcPr>
            <w:tcW w:w="144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21 717 </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17 534 </w:t>
            </w:r>
          </w:p>
        </w:tc>
        <w:tc>
          <w:tcPr>
            <w:tcW w:w="1215"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11,98 </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14,83 </w:t>
            </w:r>
          </w:p>
        </w:tc>
        <w:tc>
          <w:tcPr>
            <w:tcW w:w="1845"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80,74</w:t>
            </w:r>
            <w:r w:rsidR="00CC4936" w:rsidRPr="00CC4936">
              <w:t xml:space="preserve"> </w:t>
            </w:r>
          </w:p>
        </w:tc>
      </w:tr>
      <w:tr w:rsidR="00A70D53" w:rsidRPr="00CC4936" w:rsidTr="004754C9">
        <w:trPr>
          <w:trHeight w:val="480"/>
          <w:jc w:val="center"/>
        </w:trPr>
        <w:tc>
          <w:tcPr>
            <w:tcW w:w="54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6. </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Рубль</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106 095</w:t>
            </w:r>
          </w:p>
        </w:tc>
        <w:tc>
          <w:tcPr>
            <w:tcW w:w="144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397 317 </w:t>
            </w:r>
          </w:p>
        </w:tc>
        <w:tc>
          <w:tcPr>
            <w:tcW w:w="126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278 626 </w:t>
            </w:r>
          </w:p>
        </w:tc>
        <w:tc>
          <w:tcPr>
            <w:tcW w:w="1215"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26,70 </w:t>
            </w:r>
          </w:p>
        </w:tc>
        <w:tc>
          <w:tcPr>
            <w:tcW w:w="1080"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 xml:space="preserve">38,08 </w:t>
            </w:r>
          </w:p>
        </w:tc>
        <w:tc>
          <w:tcPr>
            <w:tcW w:w="1845" w:type="dxa"/>
            <w:tcBorders>
              <w:top w:val="single" w:sz="6" w:space="0" w:color="auto"/>
              <w:left w:val="single" w:sz="6" w:space="0" w:color="auto"/>
              <w:bottom w:val="single" w:sz="6" w:space="0" w:color="auto"/>
              <w:right w:val="single" w:sz="6" w:space="0" w:color="auto"/>
            </w:tcBorders>
          </w:tcPr>
          <w:p w:rsidR="00A70D53" w:rsidRPr="00CC4936" w:rsidRDefault="00A70D53" w:rsidP="004754C9">
            <w:pPr>
              <w:pStyle w:val="12"/>
            </w:pPr>
            <w:r w:rsidRPr="00CC4936">
              <w:t>70,13</w:t>
            </w:r>
            <w:r w:rsidR="00CC4936" w:rsidRPr="00CC4936">
              <w:t xml:space="preserve"> </w:t>
            </w:r>
          </w:p>
        </w:tc>
      </w:tr>
    </w:tbl>
    <w:p w:rsidR="00AB469B" w:rsidRPr="00CC4936" w:rsidRDefault="00AB469B" w:rsidP="00CC4936">
      <w:pPr>
        <w:pStyle w:val="ConsNonformat"/>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Чтобы установить причины этого, обратимся к уравнению (3):</w:t>
      </w:r>
    </w:p>
    <w:p w:rsidR="00A70D53" w:rsidRPr="00CC4936" w:rsidRDefault="00A70D53" w:rsidP="00CC4936">
      <w:pPr>
        <w:pStyle w:val="ConsNonformat"/>
        <w:spacing w:line="360" w:lineRule="auto"/>
        <w:ind w:firstLine="709"/>
        <w:jc w:val="both"/>
        <w:rPr>
          <w:rFonts w:ascii="Times New Roman" w:hAnsi="Times New Roman" w:cs="Times New Roman"/>
          <w:sz w:val="28"/>
          <w:szCs w:val="28"/>
        </w:rPr>
      </w:pPr>
    </w:p>
    <w:p w:rsidR="00A70D53" w:rsidRPr="00CC4936" w:rsidRDefault="00A70D53" w:rsidP="00CC4936">
      <w:pPr>
        <w:pStyle w:val="ConsNonformat"/>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 xml:space="preserve">ВД : ВС = ВД : ОКср x ОКср : </w:t>
      </w:r>
      <w:r w:rsidR="00CB18F0" w:rsidRPr="00CC4936">
        <w:rPr>
          <w:rFonts w:ascii="Times New Roman" w:hAnsi="Times New Roman" w:cs="Times New Roman"/>
          <w:sz w:val="28"/>
          <w:szCs w:val="28"/>
        </w:rPr>
        <w:t>ВС</w:t>
      </w:r>
      <w:r w:rsidR="00CC4936" w:rsidRPr="00CC4936">
        <w:rPr>
          <w:rFonts w:ascii="Times New Roman" w:hAnsi="Times New Roman" w:cs="Times New Roman"/>
          <w:sz w:val="28"/>
          <w:szCs w:val="28"/>
        </w:rPr>
        <w:t xml:space="preserve"> </w:t>
      </w:r>
    </w:p>
    <w:p w:rsidR="00A70D53" w:rsidRPr="00CC4936" w:rsidRDefault="00A70D53" w:rsidP="00CC4936">
      <w:pPr>
        <w:pStyle w:val="ConsNonformat"/>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В левой части данного уравнения находится коэффициент прибыльности (Кп), а в правой - произведение коэффициента доходности (Кд) и отношения среднего значения авансированного оборотного капитала (ОКср) к внешнеторговой себестоимости импортного товара (ВС). Это равенство можно представить в таком виде:</w:t>
      </w:r>
    </w:p>
    <w:p w:rsidR="00A70D53" w:rsidRPr="00CC4936" w:rsidRDefault="00A70D53" w:rsidP="00CC4936">
      <w:pPr>
        <w:pStyle w:val="ConsNonformat"/>
        <w:spacing w:line="360" w:lineRule="auto"/>
        <w:ind w:firstLine="709"/>
        <w:jc w:val="both"/>
        <w:rPr>
          <w:rFonts w:ascii="Times New Roman" w:hAnsi="Times New Roman" w:cs="Times New Roman"/>
          <w:sz w:val="28"/>
          <w:szCs w:val="28"/>
        </w:rPr>
      </w:pPr>
    </w:p>
    <w:p w:rsidR="00A70D53" w:rsidRPr="00CC4936" w:rsidRDefault="00A70D53" w:rsidP="00CC4936">
      <w:pPr>
        <w:pStyle w:val="ConsNonformat"/>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Кр = Кд x Кн,</w:t>
      </w:r>
      <w:r w:rsidR="00CC4936" w:rsidRPr="00CC4936">
        <w:rPr>
          <w:rFonts w:ascii="Times New Roman" w:hAnsi="Times New Roman" w:cs="Times New Roman"/>
          <w:sz w:val="28"/>
          <w:szCs w:val="28"/>
        </w:rPr>
        <w:t xml:space="preserve"> </w:t>
      </w:r>
    </w:p>
    <w:p w:rsidR="00A70D53" w:rsidRPr="00CC4936" w:rsidRDefault="00A70D53" w:rsidP="00CC4936">
      <w:pPr>
        <w:pStyle w:val="ConsNonformat"/>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где Кн - коэффициент нарастания затрат авансированного оборотного капитала на стадиях закупки и продажи импортного товара. Значение коэффициента будет тем выше, чем быстрее происходит нарастание и медленнее погашение авансированного оборотного капитала хотя бы на одной из стадий сделки - закупки или продажи импортного товара.</w:t>
      </w:r>
    </w:p>
    <w:p w:rsidR="004754C9" w:rsidRDefault="004754C9" w:rsidP="00CC4936">
      <w:pPr>
        <w:pStyle w:val="ConsNormal"/>
        <w:spacing w:line="360" w:lineRule="auto"/>
        <w:ind w:firstLine="709"/>
        <w:jc w:val="both"/>
        <w:rPr>
          <w:rFonts w:ascii="Times New Roman" w:hAnsi="Times New Roman" w:cs="Times New Roman"/>
          <w:sz w:val="28"/>
          <w:szCs w:val="28"/>
        </w:rPr>
      </w:pP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Коэффициенты Кн, рассчитанные в долларах США, всегда выше коэффициентов Кн, рассчитанных в рублях, что объясняется повышением курса доллара на стадии продаж импортного товара, а также тем, что по действующим у нас правилам учета валютных операций переоценка товарных запасов на складе в связи с изменением официального курса доллара не проводится. Кроме того, рост продажных цен в рублях отстает от роста обменного курса доллара. Поэтому погашение затрат авансированного оборотного капитала в рублях и долларах США происходит с разной скоростью: быстрее погашаются затраты в рублях, медленнее - в долларах США. Это объясняется тем, что в связи с повышением обменного курса доллара продажная рублевая цена импортного товара в пересчете на доллары США снижается. В результате каждая продажа после очередного повышения валютного курса приносит все меньше выручки в пересчете на иностранную валюту. Поэтому оборот капитала в иностранной валюте замедляется, что непосредственно влияет на темпы его обесценения. Этим объясняется более высокий уровень коэффициента нарастания затрат и их погашения (Кн) в долларах США. Когда повышение курса доллара превышает критическую величину, обеспечивающую простую окупаемость валютных затрат на закупку импортного товара, происходит либо повышение продажной цены в рублях и уровень коэффициента Кн в иностранной валюте начинает приближаться к его значению, рассчитанному исходя из рублевых показателей, или же товар вообще исчезает с рынка.</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Таким образом, коэффициент Кн является как бы функцией валютного курса и по его уровню можно судить о степени относительных потерь импортера от повышения курса доллара США, а также о выгодности вложения капитала в контракты с различными условиями поставки и на различные виды импортируемых товаров.</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Например, при повышении курса доллара нужно установить, что важнее для импортера: получить коммерческий кредит от иностранного поставщика и таким образом снизить единовременные затраты денежных средств на оплату сделки или же оплатить контракт авансом.</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При высоких темпах инфляции, когда рублевая выручка обесценивается практически ежедневно, нужно определять потери оборотного капитала от повышения курса доллара за предполагаемый срок реализации импортного товара. Для минимизации таких потерь импортерам следует заключать договоры на продажу товаров еще до заключения контракта на их поставку, поскольку увеличение продолжительности исполнения импортной сделки является основным риском потерь оборотного капитала при переводе его в долларовый эквивалент.</w:t>
      </w:r>
    </w:p>
    <w:p w:rsidR="00A70D53" w:rsidRPr="00CC4936" w:rsidRDefault="00A70D53" w:rsidP="00CC4936">
      <w:pPr>
        <w:pStyle w:val="ConsNormal"/>
        <w:spacing w:line="360" w:lineRule="auto"/>
        <w:ind w:firstLine="709"/>
        <w:jc w:val="both"/>
        <w:rPr>
          <w:rFonts w:ascii="Times New Roman" w:hAnsi="Times New Roman" w:cs="Times New Roman"/>
          <w:sz w:val="28"/>
          <w:szCs w:val="28"/>
        </w:rPr>
      </w:pPr>
      <w:r w:rsidRPr="00CC4936">
        <w:rPr>
          <w:rFonts w:ascii="Times New Roman" w:hAnsi="Times New Roman" w:cs="Times New Roman"/>
          <w:sz w:val="28"/>
          <w:szCs w:val="28"/>
        </w:rPr>
        <w:t>Сравнение данных, полученных в ходе анализа, позволит определять уровень единовременных затрат в сделку, максимально благоприятный для ее успеха; минимальную рыночную продажную цену и среднедневной размер продаж поступившего товара; уровень среднедневных затрат капитала, соответствующий планируемому показателю доходности сделки. Кроме того, предлагаемый подход позволяет накопить и систематизировать информацию об уровне доходности вложений капитала в импортные сделки с разными товарами, что дает возможность выявлять наиболее эффективные направления краткосрочных импортных инвестиций. Это необходимо для построения правильной маркетинговой стратегии предприятия - импортера.</w:t>
      </w:r>
    </w:p>
    <w:p w:rsidR="004754C9" w:rsidRDefault="004754C9" w:rsidP="00CC4936">
      <w:pPr>
        <w:pStyle w:val="1"/>
        <w:spacing w:before="0" w:after="0" w:line="360" w:lineRule="auto"/>
        <w:ind w:firstLine="709"/>
        <w:jc w:val="both"/>
        <w:rPr>
          <w:rFonts w:ascii="Times New Roman" w:hAnsi="Times New Roman" w:cs="Times New Roman"/>
          <w:b w:val="0"/>
          <w:sz w:val="28"/>
        </w:rPr>
      </w:pPr>
      <w:bookmarkStart w:id="2" w:name="_Toc136153377"/>
    </w:p>
    <w:p w:rsidR="00A70D53" w:rsidRDefault="00CB18F0" w:rsidP="00CC4936">
      <w:pPr>
        <w:pStyle w:val="1"/>
        <w:spacing w:before="0" w:after="0" w:line="360" w:lineRule="auto"/>
        <w:ind w:firstLine="709"/>
        <w:jc w:val="both"/>
        <w:rPr>
          <w:rFonts w:ascii="Times New Roman" w:hAnsi="Times New Roman" w:cs="Times New Roman"/>
          <w:b w:val="0"/>
          <w:sz w:val="28"/>
        </w:rPr>
      </w:pPr>
      <w:r w:rsidRPr="00CC4936">
        <w:rPr>
          <w:rFonts w:ascii="Times New Roman" w:hAnsi="Times New Roman" w:cs="Times New Roman"/>
          <w:b w:val="0"/>
          <w:sz w:val="28"/>
        </w:rPr>
        <w:t>2. Задача</w:t>
      </w:r>
      <w:bookmarkEnd w:id="2"/>
    </w:p>
    <w:p w:rsidR="004754C9" w:rsidRPr="004754C9" w:rsidRDefault="004754C9" w:rsidP="004754C9">
      <w:pPr>
        <w:spacing w:line="360" w:lineRule="auto"/>
        <w:rPr>
          <w:sz w:val="28"/>
          <w:szCs w:val="28"/>
        </w:rPr>
      </w:pPr>
    </w:p>
    <w:p w:rsidR="00CB18F0" w:rsidRPr="00CC4936" w:rsidRDefault="00CB18F0" w:rsidP="00CC4936">
      <w:pPr>
        <w:spacing w:line="360" w:lineRule="auto"/>
        <w:ind w:firstLine="709"/>
        <w:jc w:val="both"/>
        <w:rPr>
          <w:sz w:val="28"/>
          <w:szCs w:val="28"/>
        </w:rPr>
      </w:pPr>
      <w:r w:rsidRPr="00CC4936">
        <w:rPr>
          <w:sz w:val="28"/>
          <w:szCs w:val="28"/>
        </w:rPr>
        <w:t>ООО «Импортер» для оплаты командировочных расходов сотрудников, направляемых за рубеж, необходимо приобрести 5000 долларов США. Для этого «Импортер» подал в банк заявку на приобретение валюты и перечислил 165000 руб.</w:t>
      </w:r>
    </w:p>
    <w:p w:rsidR="00CB18F0" w:rsidRPr="00CC4936" w:rsidRDefault="00CB18F0" w:rsidP="00CC4936">
      <w:pPr>
        <w:spacing w:line="360" w:lineRule="auto"/>
        <w:ind w:firstLine="709"/>
        <w:jc w:val="both"/>
        <w:rPr>
          <w:sz w:val="28"/>
          <w:szCs w:val="28"/>
        </w:rPr>
      </w:pPr>
      <w:r w:rsidRPr="00CC4936">
        <w:rPr>
          <w:sz w:val="28"/>
          <w:szCs w:val="28"/>
        </w:rPr>
        <w:t xml:space="preserve">Банк приобрел валюту по курсу 33 руб./ </w:t>
      </w:r>
      <w:r w:rsidRPr="00CC4936">
        <w:rPr>
          <w:sz w:val="28"/>
          <w:szCs w:val="28"/>
          <w:lang w:val="en-US"/>
        </w:rPr>
        <w:t>USD</w:t>
      </w:r>
      <w:r w:rsidRPr="00CC4936">
        <w:rPr>
          <w:sz w:val="28"/>
          <w:szCs w:val="28"/>
        </w:rPr>
        <w:t xml:space="preserve">. Курс Центрального банка РФ на день зачисления валюты на счет «Импортер» составил 32 руб./ </w:t>
      </w:r>
      <w:r w:rsidRPr="00CC4936">
        <w:rPr>
          <w:sz w:val="28"/>
          <w:szCs w:val="28"/>
          <w:lang w:val="en-US"/>
        </w:rPr>
        <w:t>USD</w:t>
      </w:r>
      <w:r w:rsidRPr="00CC4936">
        <w:rPr>
          <w:sz w:val="28"/>
          <w:szCs w:val="28"/>
        </w:rPr>
        <w:t>/</w:t>
      </w:r>
    </w:p>
    <w:p w:rsidR="00CB18F0" w:rsidRPr="00CC4936" w:rsidRDefault="00CB18F0" w:rsidP="00CC4936">
      <w:pPr>
        <w:spacing w:line="360" w:lineRule="auto"/>
        <w:ind w:firstLine="709"/>
        <w:jc w:val="both"/>
        <w:rPr>
          <w:sz w:val="28"/>
          <w:szCs w:val="28"/>
        </w:rPr>
      </w:pPr>
      <w:r w:rsidRPr="00CC4936">
        <w:rPr>
          <w:sz w:val="28"/>
          <w:szCs w:val="28"/>
        </w:rPr>
        <w:t>Комиссия банка составила 5000 руб.</w:t>
      </w:r>
    </w:p>
    <w:p w:rsidR="00CB18F0" w:rsidRPr="00CC4936" w:rsidRDefault="00BD4CBC" w:rsidP="00CC4936">
      <w:pPr>
        <w:spacing w:line="360" w:lineRule="auto"/>
        <w:ind w:firstLine="709"/>
        <w:jc w:val="both"/>
        <w:rPr>
          <w:sz w:val="28"/>
          <w:szCs w:val="28"/>
        </w:rPr>
      </w:pPr>
      <w:r w:rsidRPr="00CC4936">
        <w:rPr>
          <w:sz w:val="28"/>
          <w:szCs w:val="28"/>
        </w:rPr>
        <w:t>Бухгалтерией организации сделаны проводки:</w:t>
      </w:r>
    </w:p>
    <w:p w:rsidR="00BD4CBC" w:rsidRPr="00CC4936" w:rsidRDefault="00BD4CBC" w:rsidP="00CC4936">
      <w:pPr>
        <w:numPr>
          <w:ilvl w:val="0"/>
          <w:numId w:val="1"/>
        </w:numPr>
        <w:tabs>
          <w:tab w:val="clear" w:pos="1729"/>
        </w:tabs>
        <w:spacing w:line="360" w:lineRule="auto"/>
        <w:ind w:left="0" w:firstLine="709"/>
        <w:jc w:val="both"/>
        <w:rPr>
          <w:sz w:val="28"/>
          <w:szCs w:val="28"/>
        </w:rPr>
      </w:pPr>
      <w:r w:rsidRPr="00CC4936">
        <w:rPr>
          <w:sz w:val="28"/>
          <w:szCs w:val="28"/>
        </w:rPr>
        <w:t>Дебет счета 52-1-3 Кредит счета 51 – 165000 руб. – купленная валюта зачислена на специальный транзитный валютный счет;</w:t>
      </w:r>
    </w:p>
    <w:p w:rsidR="00BD4CBC" w:rsidRPr="00CC4936" w:rsidRDefault="00BD4CBC" w:rsidP="00CC4936">
      <w:pPr>
        <w:numPr>
          <w:ilvl w:val="0"/>
          <w:numId w:val="1"/>
        </w:numPr>
        <w:tabs>
          <w:tab w:val="clear" w:pos="1729"/>
        </w:tabs>
        <w:spacing w:line="360" w:lineRule="auto"/>
        <w:ind w:left="0" w:firstLine="709"/>
        <w:jc w:val="both"/>
        <w:rPr>
          <w:sz w:val="28"/>
          <w:szCs w:val="28"/>
        </w:rPr>
      </w:pPr>
      <w:r w:rsidRPr="00CC4936">
        <w:rPr>
          <w:sz w:val="28"/>
          <w:szCs w:val="28"/>
        </w:rPr>
        <w:t>Дебет счета 44 Кредит счета 51 – 5000 руб. – удержана комиссия банка.</w:t>
      </w:r>
    </w:p>
    <w:p w:rsidR="00BD4CBC" w:rsidRPr="00CC4936" w:rsidRDefault="00BD4CBC" w:rsidP="00CC4936">
      <w:pPr>
        <w:spacing w:line="360" w:lineRule="auto"/>
        <w:ind w:firstLine="709"/>
        <w:jc w:val="both"/>
        <w:rPr>
          <w:sz w:val="28"/>
          <w:szCs w:val="28"/>
        </w:rPr>
      </w:pPr>
      <w:r w:rsidRPr="00CC4936">
        <w:rPr>
          <w:sz w:val="28"/>
          <w:szCs w:val="28"/>
        </w:rPr>
        <w:t>Установите правильность корреспонденции счетов и сумм перечислений, внесите при необходимости исправительные записи, составьте выводы для включения в аудиторский отчет. Укажите, какой нормативный документ нарушен, в чем сущность нарушения?</w:t>
      </w:r>
    </w:p>
    <w:p w:rsidR="00BD4CBC" w:rsidRPr="00CC4936" w:rsidRDefault="00BD4CBC" w:rsidP="00CC4936">
      <w:pPr>
        <w:spacing w:line="360" w:lineRule="auto"/>
        <w:ind w:firstLine="709"/>
        <w:jc w:val="both"/>
        <w:rPr>
          <w:sz w:val="28"/>
          <w:szCs w:val="28"/>
        </w:rPr>
      </w:pPr>
    </w:p>
    <w:p w:rsidR="00BD4CBC" w:rsidRDefault="00BD4CBC" w:rsidP="00CC4936">
      <w:pPr>
        <w:spacing w:line="360" w:lineRule="auto"/>
        <w:ind w:firstLine="709"/>
        <w:jc w:val="both"/>
        <w:rPr>
          <w:sz w:val="28"/>
          <w:szCs w:val="28"/>
        </w:rPr>
      </w:pPr>
      <w:r w:rsidRPr="00CC4936">
        <w:rPr>
          <w:sz w:val="28"/>
          <w:szCs w:val="28"/>
        </w:rPr>
        <w:t>Решение</w:t>
      </w:r>
    </w:p>
    <w:p w:rsidR="004754C9" w:rsidRPr="00CC4936" w:rsidRDefault="004754C9" w:rsidP="00CC4936">
      <w:pPr>
        <w:spacing w:line="360" w:lineRule="auto"/>
        <w:ind w:firstLine="709"/>
        <w:jc w:val="both"/>
        <w:rPr>
          <w:sz w:val="28"/>
          <w:szCs w:val="28"/>
        </w:rPr>
      </w:pPr>
    </w:p>
    <w:p w:rsidR="00BD4CBC" w:rsidRPr="00CC4936" w:rsidRDefault="00906089" w:rsidP="00CC4936">
      <w:pPr>
        <w:spacing w:line="360" w:lineRule="auto"/>
        <w:ind w:firstLine="709"/>
        <w:jc w:val="both"/>
        <w:rPr>
          <w:sz w:val="28"/>
          <w:szCs w:val="28"/>
        </w:rPr>
      </w:pPr>
      <w:r w:rsidRPr="00CC4936">
        <w:rPr>
          <w:sz w:val="28"/>
          <w:szCs w:val="28"/>
        </w:rPr>
        <w:t>Бухгалтерские записи должны быть следующими:</w:t>
      </w:r>
    </w:p>
    <w:p w:rsidR="00906089" w:rsidRPr="00CC4936" w:rsidRDefault="00906089" w:rsidP="00CC4936">
      <w:pPr>
        <w:spacing w:line="360" w:lineRule="auto"/>
        <w:ind w:firstLine="709"/>
        <w:jc w:val="both"/>
        <w:rPr>
          <w:sz w:val="28"/>
          <w:szCs w:val="28"/>
        </w:rPr>
      </w:pPr>
      <w:r w:rsidRPr="00CC4936">
        <w:rPr>
          <w:sz w:val="28"/>
          <w:szCs w:val="28"/>
        </w:rPr>
        <w:t>Дт 76 Кт 51 – 165</w:t>
      </w:r>
      <w:r w:rsidR="00CC4936" w:rsidRPr="00CC4936">
        <w:rPr>
          <w:sz w:val="28"/>
          <w:szCs w:val="28"/>
        </w:rPr>
        <w:t xml:space="preserve"> </w:t>
      </w:r>
      <w:r w:rsidRPr="00CC4936">
        <w:rPr>
          <w:sz w:val="28"/>
          <w:szCs w:val="28"/>
        </w:rPr>
        <w:t>000 руб.</w:t>
      </w:r>
      <w:r w:rsidR="00725664" w:rsidRPr="00CC4936">
        <w:rPr>
          <w:sz w:val="28"/>
          <w:szCs w:val="28"/>
        </w:rPr>
        <w:t xml:space="preserve"> (5000 $)</w:t>
      </w:r>
      <w:r w:rsidRPr="00CC4936">
        <w:rPr>
          <w:sz w:val="28"/>
          <w:szCs w:val="28"/>
        </w:rPr>
        <w:t xml:space="preserve"> поручение на покупку валюты на основании выписки банка с расчетного счета.</w:t>
      </w:r>
    </w:p>
    <w:p w:rsidR="00906089" w:rsidRPr="00CC4936" w:rsidRDefault="00906089" w:rsidP="00CC4936">
      <w:pPr>
        <w:spacing w:line="360" w:lineRule="auto"/>
        <w:ind w:firstLine="709"/>
        <w:jc w:val="both"/>
        <w:rPr>
          <w:sz w:val="28"/>
          <w:szCs w:val="28"/>
        </w:rPr>
      </w:pPr>
      <w:r w:rsidRPr="00CC4936">
        <w:rPr>
          <w:sz w:val="28"/>
          <w:szCs w:val="28"/>
        </w:rPr>
        <w:t>Дт 52-1-3</w:t>
      </w:r>
      <w:r w:rsidR="00AE7164" w:rsidRPr="00CC4936">
        <w:rPr>
          <w:sz w:val="28"/>
          <w:szCs w:val="28"/>
        </w:rPr>
        <w:t xml:space="preserve"> Кт 76 – 160</w:t>
      </w:r>
      <w:r w:rsidR="00CC4936" w:rsidRPr="00CC4936">
        <w:rPr>
          <w:sz w:val="28"/>
          <w:szCs w:val="28"/>
        </w:rPr>
        <w:t xml:space="preserve"> </w:t>
      </w:r>
      <w:r w:rsidR="00AE7164" w:rsidRPr="00CC4936">
        <w:rPr>
          <w:sz w:val="28"/>
          <w:szCs w:val="28"/>
        </w:rPr>
        <w:t xml:space="preserve">000 руб. (5000 $ * 32 руб.) – на основании выписки банка с текущего валютного счета. Зачисление валюты должно быть отражено </w:t>
      </w:r>
      <w:r w:rsidR="00725664" w:rsidRPr="00CC4936">
        <w:rPr>
          <w:sz w:val="28"/>
          <w:szCs w:val="28"/>
        </w:rPr>
        <w:t>по курсу ЦБ РФ на дату зачисления средств на валютный счет.</w:t>
      </w:r>
    </w:p>
    <w:p w:rsidR="00725664" w:rsidRPr="00CC4936" w:rsidRDefault="00725664" w:rsidP="00CC4936">
      <w:pPr>
        <w:spacing w:line="360" w:lineRule="auto"/>
        <w:ind w:firstLine="709"/>
        <w:jc w:val="both"/>
        <w:rPr>
          <w:sz w:val="28"/>
          <w:szCs w:val="28"/>
        </w:rPr>
      </w:pPr>
      <w:r w:rsidRPr="00CC4936">
        <w:rPr>
          <w:sz w:val="28"/>
          <w:szCs w:val="28"/>
        </w:rPr>
        <w:t xml:space="preserve">Дт </w:t>
      </w:r>
      <w:r w:rsidR="005B54FD" w:rsidRPr="00CC4936">
        <w:rPr>
          <w:sz w:val="28"/>
          <w:szCs w:val="28"/>
        </w:rPr>
        <w:t>76</w:t>
      </w:r>
      <w:r w:rsidR="001E2943" w:rsidRPr="00CC4936">
        <w:rPr>
          <w:sz w:val="28"/>
          <w:szCs w:val="28"/>
        </w:rPr>
        <w:t xml:space="preserve"> Кт 91-1 5000 руб. отражена положи</w:t>
      </w:r>
      <w:r w:rsidR="002C0F3D" w:rsidRPr="00CC4936">
        <w:rPr>
          <w:sz w:val="28"/>
          <w:szCs w:val="28"/>
        </w:rPr>
        <w:t>тельная курсовая разница. (При неотражении курсовой разницы</w:t>
      </w:r>
      <w:r w:rsidR="001E2943" w:rsidRPr="00CC4936">
        <w:rPr>
          <w:sz w:val="28"/>
          <w:szCs w:val="28"/>
        </w:rPr>
        <w:t xml:space="preserve"> предприятием нарушено ПБУ 3/2000 «</w:t>
      </w:r>
      <w:r w:rsidR="006148C9" w:rsidRPr="00CC4936">
        <w:rPr>
          <w:sz w:val="28"/>
          <w:szCs w:val="28"/>
        </w:rPr>
        <w:t>Учет активов и обязательств, стоимость которых выражена в иностранной валюте»</w:t>
      </w:r>
      <w:r w:rsidR="002C0F3D" w:rsidRPr="00CC4936">
        <w:rPr>
          <w:sz w:val="28"/>
          <w:szCs w:val="28"/>
        </w:rPr>
        <w:t xml:space="preserve"> (утв. Приказом Минфина РФ от 10.01.2000 №2н).</w:t>
      </w:r>
    </w:p>
    <w:p w:rsidR="00CF7DE0" w:rsidRPr="00CC4936" w:rsidRDefault="00CF7DE0" w:rsidP="00CC4936">
      <w:pPr>
        <w:spacing w:line="360" w:lineRule="auto"/>
        <w:ind w:firstLine="709"/>
        <w:jc w:val="both"/>
        <w:rPr>
          <w:sz w:val="28"/>
          <w:szCs w:val="28"/>
        </w:rPr>
      </w:pPr>
      <w:r w:rsidRPr="00CC4936">
        <w:rPr>
          <w:sz w:val="28"/>
          <w:szCs w:val="28"/>
        </w:rPr>
        <w:t xml:space="preserve">Дт 91-2 Кт 52-1-3 5000 руб. – отражена комиссия банка. Предприятие неверно отразило комиссию банка на 44 счете, завысив при этом </w:t>
      </w:r>
      <w:r w:rsidR="005B54FD" w:rsidRPr="00CC4936">
        <w:rPr>
          <w:sz w:val="28"/>
          <w:szCs w:val="28"/>
        </w:rPr>
        <w:t xml:space="preserve">издержки </w:t>
      </w:r>
      <w:r w:rsidR="006C105E" w:rsidRPr="00CC4936">
        <w:rPr>
          <w:sz w:val="28"/>
          <w:szCs w:val="28"/>
        </w:rPr>
        <w:t>обращения и занизив операционные расходы. Нарушено ПБУ 10/99 «Расходы организации» (утв. Приказом Минфина РФ от 06.05.1999 №33н).</w:t>
      </w:r>
    </w:p>
    <w:p w:rsidR="00AE6773" w:rsidRPr="00CC4936" w:rsidRDefault="009B4317" w:rsidP="00CC4936">
      <w:pPr>
        <w:spacing w:line="360" w:lineRule="auto"/>
        <w:ind w:firstLine="709"/>
        <w:jc w:val="both"/>
        <w:rPr>
          <w:sz w:val="28"/>
          <w:szCs w:val="28"/>
        </w:rPr>
      </w:pPr>
      <w:r w:rsidRPr="00CC4936">
        <w:rPr>
          <w:sz w:val="28"/>
          <w:szCs w:val="28"/>
        </w:rPr>
        <w:t>Таким образом, в результате неверного отражения операций по покупке валюты, организацией завышен остаток на валютном счете за счет занижения внереализационных д</w:t>
      </w:r>
      <w:r w:rsidR="009B095B" w:rsidRPr="00CC4936">
        <w:rPr>
          <w:sz w:val="28"/>
          <w:szCs w:val="28"/>
        </w:rPr>
        <w:t>оходов на 5000 руб.</w:t>
      </w:r>
      <w:r w:rsidR="00F618A8" w:rsidRPr="00CC4936">
        <w:rPr>
          <w:sz w:val="28"/>
          <w:szCs w:val="28"/>
        </w:rPr>
        <w:t>, что в свою очередь привело к занижению налогооблагаемой прибыли на 5000 руб.</w:t>
      </w:r>
      <w:r w:rsidR="009B095B" w:rsidRPr="00CC4936">
        <w:rPr>
          <w:sz w:val="28"/>
          <w:szCs w:val="28"/>
        </w:rPr>
        <w:t xml:space="preserve"> Также произошло завышение издержек </w:t>
      </w:r>
      <w:r w:rsidR="00F618A8" w:rsidRPr="00CC4936">
        <w:rPr>
          <w:sz w:val="28"/>
          <w:szCs w:val="28"/>
        </w:rPr>
        <w:t>обращения за счет занижения операционных расходов на 5000 руб., что повлияло на структуру расходов организации, отражаемой в отчете о прибылях и убытках форма №2.</w:t>
      </w:r>
    </w:p>
    <w:p w:rsidR="00216822" w:rsidRDefault="00AE6773" w:rsidP="00CC4936">
      <w:pPr>
        <w:pStyle w:val="1"/>
        <w:spacing w:before="0" w:after="0" w:line="360" w:lineRule="auto"/>
        <w:ind w:firstLine="709"/>
        <w:jc w:val="both"/>
        <w:rPr>
          <w:rFonts w:ascii="Times New Roman" w:hAnsi="Times New Roman" w:cs="Times New Roman"/>
          <w:b w:val="0"/>
          <w:sz w:val="28"/>
        </w:rPr>
      </w:pPr>
      <w:r w:rsidRPr="00CC4936">
        <w:rPr>
          <w:rFonts w:ascii="Times New Roman" w:hAnsi="Times New Roman" w:cs="Times New Roman"/>
          <w:b w:val="0"/>
          <w:sz w:val="28"/>
        </w:rPr>
        <w:br w:type="page"/>
      </w:r>
      <w:bookmarkStart w:id="3" w:name="_Toc136153378"/>
      <w:r w:rsidR="00216822" w:rsidRPr="00CC4936">
        <w:rPr>
          <w:rFonts w:ascii="Times New Roman" w:hAnsi="Times New Roman" w:cs="Times New Roman"/>
          <w:b w:val="0"/>
          <w:sz w:val="28"/>
        </w:rPr>
        <w:t>Список литературы</w:t>
      </w:r>
      <w:bookmarkEnd w:id="3"/>
    </w:p>
    <w:p w:rsidR="004754C9" w:rsidRPr="004754C9" w:rsidRDefault="004754C9" w:rsidP="004754C9">
      <w:pPr>
        <w:spacing w:line="360" w:lineRule="auto"/>
        <w:rPr>
          <w:sz w:val="28"/>
          <w:szCs w:val="28"/>
        </w:rPr>
      </w:pPr>
    </w:p>
    <w:p w:rsidR="00AE6773" w:rsidRPr="00CC4936" w:rsidRDefault="00AE6773" w:rsidP="004754C9">
      <w:pPr>
        <w:spacing w:line="360" w:lineRule="auto"/>
        <w:jc w:val="both"/>
        <w:rPr>
          <w:sz w:val="28"/>
          <w:szCs w:val="28"/>
        </w:rPr>
      </w:pPr>
      <w:r w:rsidRPr="00CC4936">
        <w:rPr>
          <w:sz w:val="28"/>
          <w:szCs w:val="28"/>
        </w:rPr>
        <w:t xml:space="preserve">1. </w:t>
      </w:r>
      <w:r w:rsidRPr="00CC4936">
        <w:rPr>
          <w:bCs/>
          <w:sz w:val="28"/>
          <w:szCs w:val="28"/>
        </w:rPr>
        <w:t>Подольский В.И., Савин А.А. Основы аудита. – М.; ИПБ-Бинфа, 2002.</w:t>
      </w:r>
    </w:p>
    <w:p w:rsidR="00AE6773" w:rsidRPr="00CC4936" w:rsidRDefault="00AE6773" w:rsidP="004754C9">
      <w:pPr>
        <w:spacing w:line="360" w:lineRule="auto"/>
        <w:jc w:val="both"/>
        <w:rPr>
          <w:sz w:val="28"/>
          <w:szCs w:val="28"/>
        </w:rPr>
      </w:pPr>
      <w:r w:rsidRPr="00CC4936">
        <w:rPr>
          <w:sz w:val="28"/>
          <w:szCs w:val="28"/>
        </w:rPr>
        <w:t>2. Налоговый кодекс РФ (часть вторая) от 05.08.200 №117-ФЗ (в ред. от 10.01.2006).</w:t>
      </w:r>
    </w:p>
    <w:p w:rsidR="00AE6773" w:rsidRPr="00CC4936" w:rsidRDefault="00AE6773" w:rsidP="004754C9">
      <w:pPr>
        <w:spacing w:line="360" w:lineRule="auto"/>
        <w:jc w:val="both"/>
        <w:rPr>
          <w:sz w:val="28"/>
          <w:szCs w:val="28"/>
        </w:rPr>
      </w:pPr>
      <w:r w:rsidRPr="00CC4936">
        <w:rPr>
          <w:sz w:val="28"/>
          <w:szCs w:val="28"/>
        </w:rPr>
        <w:t>3. ПБУ 10/99 «Расходы организации» (утв. Приказом Минфина РФ от 06.05.1999 №33н).</w:t>
      </w:r>
    </w:p>
    <w:p w:rsidR="00AE6773" w:rsidRPr="00CC4936" w:rsidRDefault="00AE6773" w:rsidP="004754C9">
      <w:pPr>
        <w:spacing w:line="360" w:lineRule="auto"/>
        <w:jc w:val="both"/>
        <w:rPr>
          <w:sz w:val="28"/>
          <w:szCs w:val="28"/>
        </w:rPr>
      </w:pPr>
      <w:r w:rsidRPr="00CC4936">
        <w:rPr>
          <w:sz w:val="28"/>
          <w:szCs w:val="28"/>
        </w:rPr>
        <w:t>4.</w:t>
      </w:r>
      <w:r w:rsidR="00892425" w:rsidRPr="00CC4936">
        <w:rPr>
          <w:sz w:val="28"/>
          <w:szCs w:val="28"/>
        </w:rPr>
        <w:t xml:space="preserve"> ПБУ 3/2000 «Учет активов и обязательств, стоимость которых выражена в иностранной валюте» (утв. Приказом Минфина РФ от 10.01.2000 №2н).</w:t>
      </w:r>
    </w:p>
    <w:p w:rsidR="00892425" w:rsidRPr="00CC4936" w:rsidRDefault="00892425" w:rsidP="004754C9">
      <w:pPr>
        <w:spacing w:line="360" w:lineRule="auto"/>
        <w:jc w:val="both"/>
        <w:rPr>
          <w:sz w:val="28"/>
          <w:szCs w:val="28"/>
        </w:rPr>
      </w:pPr>
      <w:r w:rsidRPr="00CC4936">
        <w:rPr>
          <w:sz w:val="28"/>
          <w:szCs w:val="28"/>
        </w:rPr>
        <w:t>5. Терешко Т.Ю. Анализ эффективности краткосрочных импортных сделок. – М.; Бухгалтерский учет, 1999, №6.</w:t>
      </w:r>
    </w:p>
    <w:p w:rsidR="009B4317" w:rsidRPr="00CC4936" w:rsidRDefault="00E61814" w:rsidP="004754C9">
      <w:pPr>
        <w:spacing w:line="360" w:lineRule="auto"/>
        <w:jc w:val="both"/>
        <w:rPr>
          <w:sz w:val="28"/>
          <w:szCs w:val="28"/>
        </w:rPr>
      </w:pPr>
      <w:r w:rsidRPr="00CC4936">
        <w:rPr>
          <w:sz w:val="28"/>
          <w:szCs w:val="28"/>
        </w:rPr>
        <w:t>6. Климова М.А. Бухгалтерский учет и налогообложение экспортно-импортных операций.</w:t>
      </w:r>
      <w:r w:rsidR="00B3556E" w:rsidRPr="00CC4936">
        <w:rPr>
          <w:sz w:val="28"/>
          <w:szCs w:val="28"/>
        </w:rPr>
        <w:t xml:space="preserve"> – М.; Налоговый вестник, 2003.</w:t>
      </w:r>
      <w:bookmarkStart w:id="4" w:name="_GoBack"/>
      <w:bookmarkEnd w:id="4"/>
    </w:p>
    <w:sectPr w:rsidR="009B4317" w:rsidRPr="00CC4936" w:rsidSect="002768C9">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64B" w:rsidRDefault="00FA064B">
      <w:r>
        <w:separator/>
      </w:r>
    </w:p>
  </w:endnote>
  <w:endnote w:type="continuationSeparator" w:id="0">
    <w:p w:rsidR="00FA064B" w:rsidRDefault="00FA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C9" w:rsidRDefault="004754C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C9" w:rsidRDefault="004754C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C9" w:rsidRDefault="004754C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64B" w:rsidRDefault="00FA064B">
      <w:r>
        <w:separator/>
      </w:r>
    </w:p>
  </w:footnote>
  <w:footnote w:type="continuationSeparator" w:id="0">
    <w:p w:rsidR="00FA064B" w:rsidRDefault="00FA064B">
      <w:r>
        <w:continuationSeparator/>
      </w:r>
    </w:p>
  </w:footnote>
  <w:footnote w:id="1">
    <w:p w:rsidR="00FA064B" w:rsidRDefault="004754C9" w:rsidP="00CC4936">
      <w:pPr>
        <w:pStyle w:val="a7"/>
      </w:pPr>
      <w:r>
        <w:rPr>
          <w:rStyle w:val="a9"/>
        </w:rPr>
        <w:footnoteRef/>
      </w:r>
      <w:r>
        <w:t xml:space="preserve"> </w:t>
      </w:r>
      <w:r w:rsidRPr="003F27C5">
        <w:t>Терешко Т.Ю. Анализ эффективности краткосрочных импортных сделок. – М.; Бухгалтерский учет, 1999, №6.</w:t>
      </w:r>
    </w:p>
  </w:footnote>
  <w:footnote w:id="2">
    <w:p w:rsidR="00FA064B" w:rsidRDefault="004754C9">
      <w:pPr>
        <w:pStyle w:val="a7"/>
      </w:pPr>
      <w:r>
        <w:rPr>
          <w:rStyle w:val="a9"/>
        </w:rPr>
        <w:footnoteRef/>
      </w:r>
      <w:r>
        <w:t xml:space="preserve"> </w:t>
      </w:r>
      <w:r w:rsidRPr="003F27C5">
        <w:t>Терешко Т.Ю. Анализ эффективности краткосрочных импортных сделок. – М.; Бухгалтерский учет, 1999, №6.</w:t>
      </w:r>
    </w:p>
  </w:footnote>
  <w:footnote w:id="3">
    <w:p w:rsidR="00FA064B" w:rsidRDefault="004754C9">
      <w:pPr>
        <w:pStyle w:val="a7"/>
      </w:pPr>
      <w:r>
        <w:rPr>
          <w:rStyle w:val="a9"/>
        </w:rPr>
        <w:footnoteRef/>
      </w:r>
      <w:r>
        <w:t xml:space="preserve"> </w:t>
      </w:r>
      <w:r w:rsidRPr="003F27C5">
        <w:t>Терешко Т.Ю. Анализ эффективности краткосрочных импортных сделок. – М.; Бухгалтерский учет, 1999, №6.</w:t>
      </w:r>
    </w:p>
  </w:footnote>
  <w:footnote w:id="4">
    <w:p w:rsidR="00FA064B" w:rsidRDefault="004754C9">
      <w:pPr>
        <w:pStyle w:val="a7"/>
      </w:pPr>
      <w:r>
        <w:rPr>
          <w:rStyle w:val="a9"/>
        </w:rPr>
        <w:footnoteRef/>
      </w:r>
      <w:r>
        <w:t xml:space="preserve"> </w:t>
      </w:r>
      <w:r w:rsidRPr="00B3556E">
        <w:t>Климова М.А. Бухгалтерский учет и налогообложение экспортно-импортных операций. – М.; Налоговый вестник, 2003.</w:t>
      </w:r>
    </w:p>
  </w:footnote>
  <w:footnote w:id="5">
    <w:p w:rsidR="00FA064B" w:rsidRDefault="004754C9" w:rsidP="00CC4936">
      <w:pPr>
        <w:pStyle w:val="a7"/>
      </w:pPr>
      <w:r>
        <w:rPr>
          <w:rStyle w:val="a9"/>
        </w:rPr>
        <w:footnoteRef/>
      </w:r>
      <w:r>
        <w:t xml:space="preserve"> </w:t>
      </w:r>
      <w:r w:rsidRPr="00B3556E">
        <w:t>Климова М.А. Бухгалтерский учет и налогообложение экспортно-импортных операций. – М.; Налоговый вестник,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C9" w:rsidRDefault="004754C9" w:rsidP="008A690A">
    <w:pPr>
      <w:pStyle w:val="a3"/>
      <w:framePr w:wrap="around" w:vAnchor="text" w:hAnchor="margin" w:xAlign="right" w:y="1"/>
      <w:rPr>
        <w:rStyle w:val="a5"/>
      </w:rPr>
    </w:pPr>
  </w:p>
  <w:p w:rsidR="004754C9" w:rsidRDefault="004754C9" w:rsidP="006346A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C9" w:rsidRDefault="00EF2E89" w:rsidP="008A690A">
    <w:pPr>
      <w:pStyle w:val="a3"/>
      <w:framePr w:wrap="around" w:vAnchor="text" w:hAnchor="margin" w:xAlign="right" w:y="1"/>
      <w:rPr>
        <w:rStyle w:val="a5"/>
      </w:rPr>
    </w:pPr>
    <w:r>
      <w:rPr>
        <w:rStyle w:val="a5"/>
        <w:noProof/>
      </w:rPr>
      <w:t>1</w:t>
    </w:r>
  </w:p>
  <w:p w:rsidR="004754C9" w:rsidRDefault="004754C9" w:rsidP="006346A8">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C9" w:rsidRDefault="004754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60728"/>
    <w:multiLevelType w:val="hybridMultilevel"/>
    <w:tmpl w:val="8C0C0CEE"/>
    <w:lvl w:ilvl="0" w:tplc="ED02E61E">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7FB33EB8"/>
    <w:multiLevelType w:val="hybridMultilevel"/>
    <w:tmpl w:val="D3EC8986"/>
    <w:lvl w:ilvl="0" w:tplc="1C06552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53A"/>
    <w:rsid w:val="000F22C3"/>
    <w:rsid w:val="00151B50"/>
    <w:rsid w:val="001E2943"/>
    <w:rsid w:val="001F0809"/>
    <w:rsid w:val="00216822"/>
    <w:rsid w:val="002768C9"/>
    <w:rsid w:val="002C0F3D"/>
    <w:rsid w:val="002C4F94"/>
    <w:rsid w:val="00367293"/>
    <w:rsid w:val="003F27C5"/>
    <w:rsid w:val="003F7427"/>
    <w:rsid w:val="004754C9"/>
    <w:rsid w:val="004D0D54"/>
    <w:rsid w:val="00550767"/>
    <w:rsid w:val="00593E0B"/>
    <w:rsid w:val="005B54FD"/>
    <w:rsid w:val="005D2270"/>
    <w:rsid w:val="006148C9"/>
    <w:rsid w:val="00627E4D"/>
    <w:rsid w:val="006346A8"/>
    <w:rsid w:val="00655FBE"/>
    <w:rsid w:val="006C105E"/>
    <w:rsid w:val="00725664"/>
    <w:rsid w:val="007A100B"/>
    <w:rsid w:val="00867D3C"/>
    <w:rsid w:val="00892425"/>
    <w:rsid w:val="008A690A"/>
    <w:rsid w:val="00906089"/>
    <w:rsid w:val="0093153D"/>
    <w:rsid w:val="00983765"/>
    <w:rsid w:val="009B095B"/>
    <w:rsid w:val="009B4317"/>
    <w:rsid w:val="009C46CE"/>
    <w:rsid w:val="00A114E7"/>
    <w:rsid w:val="00A2453A"/>
    <w:rsid w:val="00A70D53"/>
    <w:rsid w:val="00AB469B"/>
    <w:rsid w:val="00AE6773"/>
    <w:rsid w:val="00AE7164"/>
    <w:rsid w:val="00B3556E"/>
    <w:rsid w:val="00B92C4D"/>
    <w:rsid w:val="00BD4CBC"/>
    <w:rsid w:val="00C03731"/>
    <w:rsid w:val="00C30105"/>
    <w:rsid w:val="00CB18F0"/>
    <w:rsid w:val="00CC4936"/>
    <w:rsid w:val="00CD5E5A"/>
    <w:rsid w:val="00CF7DE0"/>
    <w:rsid w:val="00D67C09"/>
    <w:rsid w:val="00D83BEE"/>
    <w:rsid w:val="00D94921"/>
    <w:rsid w:val="00E51533"/>
    <w:rsid w:val="00E61814"/>
    <w:rsid w:val="00E72CB4"/>
    <w:rsid w:val="00ED7335"/>
    <w:rsid w:val="00EF2E89"/>
    <w:rsid w:val="00F618A8"/>
    <w:rsid w:val="00F84BC1"/>
    <w:rsid w:val="00FA0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51D46C-0CD5-4F93-AD82-66BAF28B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93E0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6346A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6346A8"/>
    <w:rPr>
      <w:rFonts w:cs="Times New Roman"/>
    </w:rPr>
  </w:style>
  <w:style w:type="paragraph" w:customStyle="1" w:styleId="ConsNormal">
    <w:name w:val="ConsNormal"/>
    <w:uiPriority w:val="99"/>
    <w:rsid w:val="00A70D53"/>
    <w:pPr>
      <w:autoSpaceDE w:val="0"/>
      <w:autoSpaceDN w:val="0"/>
      <w:adjustRightInd w:val="0"/>
      <w:ind w:firstLine="720"/>
    </w:pPr>
    <w:rPr>
      <w:rFonts w:ascii="Arial" w:hAnsi="Arial" w:cs="Arial"/>
    </w:rPr>
  </w:style>
  <w:style w:type="paragraph" w:customStyle="1" w:styleId="ConsNonformat">
    <w:name w:val="ConsNonformat"/>
    <w:uiPriority w:val="99"/>
    <w:rsid w:val="00A70D53"/>
    <w:pPr>
      <w:autoSpaceDE w:val="0"/>
      <w:autoSpaceDN w:val="0"/>
      <w:adjustRightInd w:val="0"/>
    </w:pPr>
    <w:rPr>
      <w:rFonts w:ascii="Courier New" w:hAnsi="Courier New" w:cs="Courier New"/>
    </w:rPr>
  </w:style>
  <w:style w:type="paragraph" w:customStyle="1" w:styleId="ConsCell">
    <w:name w:val="ConsCell"/>
    <w:uiPriority w:val="99"/>
    <w:rsid w:val="00A70D53"/>
    <w:pPr>
      <w:autoSpaceDE w:val="0"/>
      <w:autoSpaceDN w:val="0"/>
      <w:adjustRightInd w:val="0"/>
    </w:pPr>
    <w:rPr>
      <w:rFonts w:ascii="Arial" w:hAnsi="Arial" w:cs="Arial"/>
    </w:rPr>
  </w:style>
  <w:style w:type="character" w:styleId="a6">
    <w:name w:val="Hyperlink"/>
    <w:uiPriority w:val="99"/>
    <w:rsid w:val="00CB18F0"/>
    <w:rPr>
      <w:rFonts w:cs="Times New Roman"/>
      <w:color w:val="0000FF"/>
      <w:u w:val="single"/>
    </w:rPr>
  </w:style>
  <w:style w:type="paragraph" w:styleId="a7">
    <w:name w:val="footnote text"/>
    <w:basedOn w:val="a"/>
    <w:link w:val="a8"/>
    <w:uiPriority w:val="99"/>
    <w:semiHidden/>
    <w:rsid w:val="003F27C5"/>
    <w:rPr>
      <w:sz w:val="20"/>
      <w:szCs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3F27C5"/>
    <w:rPr>
      <w:rFonts w:cs="Times New Roman"/>
      <w:vertAlign w:val="superscript"/>
    </w:rPr>
  </w:style>
  <w:style w:type="paragraph" w:styleId="aa">
    <w:name w:val="footer"/>
    <w:basedOn w:val="a"/>
    <w:link w:val="ab"/>
    <w:uiPriority w:val="99"/>
    <w:rsid w:val="005D2270"/>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styleId="11">
    <w:name w:val="toc 1"/>
    <w:basedOn w:val="a"/>
    <w:next w:val="a"/>
    <w:autoRedefine/>
    <w:uiPriority w:val="99"/>
    <w:semiHidden/>
    <w:rsid w:val="005D2270"/>
  </w:style>
  <w:style w:type="paragraph" w:styleId="2">
    <w:name w:val="toc 2"/>
    <w:basedOn w:val="a"/>
    <w:next w:val="a"/>
    <w:autoRedefine/>
    <w:uiPriority w:val="99"/>
    <w:semiHidden/>
    <w:rsid w:val="005D2270"/>
    <w:pPr>
      <w:ind w:left="240"/>
    </w:pPr>
  </w:style>
  <w:style w:type="paragraph" w:styleId="3">
    <w:name w:val="toc 3"/>
    <w:basedOn w:val="a"/>
    <w:next w:val="a"/>
    <w:autoRedefine/>
    <w:uiPriority w:val="99"/>
    <w:semiHidden/>
    <w:rsid w:val="005D2270"/>
    <w:pPr>
      <w:ind w:left="480"/>
    </w:pPr>
  </w:style>
  <w:style w:type="paragraph" w:styleId="4">
    <w:name w:val="toc 4"/>
    <w:basedOn w:val="a"/>
    <w:next w:val="a"/>
    <w:autoRedefine/>
    <w:uiPriority w:val="99"/>
    <w:semiHidden/>
    <w:rsid w:val="005D2270"/>
    <w:pPr>
      <w:ind w:left="720"/>
    </w:pPr>
  </w:style>
  <w:style w:type="paragraph" w:styleId="5">
    <w:name w:val="toc 5"/>
    <w:basedOn w:val="a"/>
    <w:next w:val="a"/>
    <w:autoRedefine/>
    <w:uiPriority w:val="99"/>
    <w:semiHidden/>
    <w:rsid w:val="005D2270"/>
    <w:pPr>
      <w:ind w:left="960"/>
    </w:pPr>
  </w:style>
  <w:style w:type="paragraph" w:styleId="6">
    <w:name w:val="toc 6"/>
    <w:basedOn w:val="a"/>
    <w:next w:val="a"/>
    <w:autoRedefine/>
    <w:uiPriority w:val="99"/>
    <w:semiHidden/>
    <w:rsid w:val="005D2270"/>
    <w:pPr>
      <w:ind w:left="1200"/>
    </w:pPr>
  </w:style>
  <w:style w:type="paragraph" w:styleId="7">
    <w:name w:val="toc 7"/>
    <w:basedOn w:val="a"/>
    <w:next w:val="a"/>
    <w:autoRedefine/>
    <w:uiPriority w:val="99"/>
    <w:semiHidden/>
    <w:rsid w:val="005D2270"/>
    <w:pPr>
      <w:ind w:left="1440"/>
    </w:pPr>
  </w:style>
  <w:style w:type="paragraph" w:styleId="8">
    <w:name w:val="toc 8"/>
    <w:basedOn w:val="a"/>
    <w:next w:val="a"/>
    <w:autoRedefine/>
    <w:uiPriority w:val="99"/>
    <w:semiHidden/>
    <w:rsid w:val="005D2270"/>
    <w:pPr>
      <w:ind w:left="1680"/>
    </w:pPr>
  </w:style>
  <w:style w:type="paragraph" w:styleId="9">
    <w:name w:val="toc 9"/>
    <w:basedOn w:val="a"/>
    <w:next w:val="a"/>
    <w:autoRedefine/>
    <w:uiPriority w:val="99"/>
    <w:semiHidden/>
    <w:rsid w:val="005D2270"/>
    <w:pPr>
      <w:ind w:left="1920"/>
    </w:pPr>
  </w:style>
  <w:style w:type="paragraph" w:styleId="ac">
    <w:name w:val="Balloon Text"/>
    <w:basedOn w:val="a"/>
    <w:link w:val="ad"/>
    <w:uiPriority w:val="99"/>
    <w:semiHidden/>
    <w:rsid w:val="00C03731"/>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customStyle="1" w:styleId="12">
    <w:name w:val="Стиль1"/>
    <w:basedOn w:val="ConsCell"/>
    <w:uiPriority w:val="99"/>
    <w:rsid w:val="00CC4936"/>
    <w:pPr>
      <w:spacing w:line="360" w:lineRule="auto"/>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3026</Words>
  <Characters>17253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Vladislav</dc:creator>
  <cp:keywords/>
  <dc:description/>
  <cp:lastModifiedBy>admin</cp:lastModifiedBy>
  <cp:revision>2</cp:revision>
  <cp:lastPrinted>2006-05-23T11:20:00Z</cp:lastPrinted>
  <dcterms:created xsi:type="dcterms:W3CDTF">2014-02-21T07:41:00Z</dcterms:created>
  <dcterms:modified xsi:type="dcterms:W3CDTF">2014-02-21T07:41:00Z</dcterms:modified>
</cp:coreProperties>
</file>