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Анализ спроса на научно-техническую продукцию</w:t>
      </w:r>
    </w:p>
    <w:p w:rsid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портфеля проектов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Управление научными исследованиями и разработками осуществляется в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рамках постоянно меняющихся 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>условий. Это обуславливает н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еобходимость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непрерывного совершенствования программ НИОКР. В любой момент может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возникнуть непредвиденная техническая проблема и прид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тся отложить или даже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прекратить работу по проекту. Могут измениться требования потребителей и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спрос, с связи с че</w:t>
      </w:r>
      <w:r w:rsidR="00F35BFA" w:rsidRPr="00E965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нужно провести переоценку жизнеспособности проекта.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Управляя программой НИОКР, менеджер должен помнить, что имеет дело с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управлением динамичным проектом. Система планирования и управления должна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быть достаточно гибкой, чтобы допускать необходимые модификации.</w:t>
      </w:r>
      <w:r w:rsidR="000E327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Эффективность НИОКР выявляется на рынке. Она зависит от того,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насколько при постановке цели учтена рыночная потребность.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сегмента рынка представлены четырьмя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взаимосвязанными переменными: размер рынка, допустимая цена, требования к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технической эффективности и время.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Большинство научных продуктов могут предлагаться в формах,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различающихся по эффективности, цене и дате первого появления на рынке.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Важно определить, какой уровень технической эффективности потребует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конкретный рыночный сегмент с наибольшей вероятностью, т.к. научно-технические работники могут стремиться к очень высокому уровню параметров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нового изделия. Это, безусловно, ведет к техническим идеям, но может не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учесть реальные требования потребителей. Кроме того, может произойти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завышение затрат на НИОКР и производство, а также увеличить время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разработки. Все перечисленные моменты приведут к снижению потенциальной</w:t>
      </w:r>
      <w:r w:rsidR="00BE541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прибыльности продукта.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разработки проекта должна быть сфокусирована на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конкретных рыночных потребностях.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Портфель НИОКР может состоять из разнообразных проектов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>: крупных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мелки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>х; близких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к завершению и начинающи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ся. Однако каждый требует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выделения дефицитных ресурсов в зависимости от особенностей проекта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(сложности, трудоемкости и т. п.).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Портфель должен иметь определенные контуры, быть стабильным, чтобы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рабочая программа могла осуществляться равномерно.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Количество проектов, находящихся в портфеле в конкретный период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времени, зависит от размеров проектов, которые измеряются через общий объем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ресурсов, необходимых для разработки и затрат на реализацию одного проекта.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апример,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если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НИОКР выделено 4000 д.е., а затраты на</w:t>
      </w:r>
      <w:r w:rsidR="0021576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реализацию одного проекта 2000 д.е., то в портфеле может быть 2 проекта.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Руководителю необходимо ре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шить, сколько проектов могут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управляться.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Портфель, состоящий, в основном, из крупных проектов, является более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рискованным, по сравнению с портфелем, где ресурсы распределены между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небольшими проектами.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Преимуществом небольших проектов является то, что их легче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адаптировать друг к другу с точки зрения соответствия наличным ресурсам.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Крупный проект требует большого объ</w:t>
      </w:r>
      <w:r w:rsidR="008B74C1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ма дефицитных ресурсов.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Однако небольшие проекты (требующие относительно небольших затрат на</w:t>
      </w:r>
      <w:r w:rsidR="003634B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НИОКР) обычно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реализуются в новых продуктах, имеющих скромны</w:t>
      </w:r>
      <w:r w:rsidR="008B74C1" w:rsidRPr="00E9652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по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объему продаж (и потенциалу прибыли).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Портфель небольших проектов мо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жет привести к равномерному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потоку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нововведений, большая часть из которых обладает ограниченным рыночным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потенциалом, что является нежелательным с позиций номенклатуры продукции,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формируемой отделами маркетинга.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Рассматривая те или иные проекты на предмет и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возможного включения в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портфель, необходимо учитывать возможное качество управления и 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оследствия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перераспределения затрат на проекты.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Рентабельность портфеля (прибыльность) определяется как отношение</w:t>
      </w:r>
      <w:r w:rsidR="0073375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прибыли к затратам.</w:t>
      </w:r>
      <w:r w:rsidR="0073375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Общая оценка портфелей дается по показателям средней рентабельности.</w:t>
      </w:r>
      <w:r w:rsidR="0073375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 основе показателей рентабельности может быть рассчитан коэффициент</w:t>
      </w:r>
      <w:r w:rsidR="0073375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предпочтения.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Однако, каждый проект имеет индивидуальную рентабельность и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определенную долю в затратах на формирование портф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>еля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Это значит, что средний или обобщающий коэффициент предпочтения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может быть представлен в виде системы коэффициентов предпочтения  по</w:t>
      </w:r>
      <w:r w:rsidR="000C31D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рентабельности и по структуре затрат.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Формирование портфеля заказов предполагает проведение работы с</w:t>
      </w:r>
      <w:r w:rsidR="00FB4C8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потенциальными потребителями результатов НИОКР.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Для современной ситуации сложно точно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спрогнозировать спрос на научно-техническую продукцию, т.</w:t>
      </w:r>
      <w:r w:rsidR="00FB4C88" w:rsidRPr="00E965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 имеет место</w:t>
      </w:r>
      <w:r w:rsidR="008663E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неопределенность спроса.</w:t>
      </w: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Значение, цели, задачи и особенности анализа спроса на инновации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Анализ спроса на научно-техническую продукция является одним из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важнейших направлений в деятельности организаций, занимающихся НИОКР.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 условиях рыночной экономики анализ спроса на научно-техническую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продукцию имеет первостепенное значение.</w:t>
      </w:r>
    </w:p>
    <w:p w:rsidR="00251E6C" w:rsidRPr="00E96526" w:rsidRDefault="0029171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аправления анализа спроса на нововведение:</w:t>
      </w:r>
    </w:p>
    <w:p w:rsidR="00251E6C" w:rsidRPr="00E96526" w:rsidRDefault="00251E6C" w:rsidP="00E96526">
      <w:pPr>
        <w:pStyle w:val="HTM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 потребности в выпускаемо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и (или) реализуемом новшестве или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новой услуге;</w:t>
      </w:r>
    </w:p>
    <w:p w:rsidR="00251E6C" w:rsidRPr="00E96526" w:rsidRDefault="00251E6C" w:rsidP="00E96526">
      <w:pPr>
        <w:pStyle w:val="HTM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 спроса на нововведения и связанные с ним услуги и влияние на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них различных факт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>оров;</w:t>
      </w:r>
    </w:p>
    <w:p w:rsidR="00251E6C" w:rsidRPr="00E96526" w:rsidRDefault="00251E6C" w:rsidP="00E96526">
      <w:pPr>
        <w:pStyle w:val="HTM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 влияния спроса на резу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>льтаты деятельности предприятия;</w:t>
      </w:r>
    </w:p>
    <w:p w:rsidR="00251E6C" w:rsidRPr="00E96526" w:rsidRDefault="00251E6C" w:rsidP="00E96526">
      <w:pPr>
        <w:pStyle w:val="HTML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Определение максимальной возможности сбыта и обоснование плана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сбыта с уч</w:t>
      </w:r>
      <w:r w:rsidR="001E10DA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том решения первых тр</w:t>
      </w:r>
      <w:r w:rsidR="001E10DA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х задач, а также производственных</w:t>
      </w:r>
      <w:r w:rsidR="0029171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возможностей фирмы.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Особенности развития нововведений и различие их видов во многом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предопределяет специфику анализа спроса на них в каждом конкретном случае.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r w:rsidR="0064057E" w:rsidRPr="00E96526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уточнить</w:t>
      </w:r>
      <w:r w:rsidR="0064057E" w:rsidRPr="00E965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к каким нововведениям - базисным или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усовершенствованным относится продукция, спрос на которую подлежит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изучению. Такую идентификацию можно осуществить двумя способами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о-первых,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 помощью построения кривых жизненных циклов продукции на основе данных об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объ</w:t>
      </w:r>
      <w:r w:rsidR="0064057E" w:rsidRPr="00E96526">
        <w:rPr>
          <w:rFonts w:ascii="Times New Roman" w:hAnsi="Times New Roman" w:cs="Times New Roman"/>
          <w:color w:val="000000"/>
          <w:sz w:val="28"/>
          <w:szCs w:val="28"/>
        </w:rPr>
        <w:t>ём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="00BD39DF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длительности е</w:t>
      </w:r>
      <w:r w:rsidR="0064057E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ё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или сбыта на рынке. Во-вторых, предприятие, производящее 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нновационную продукцию, проводит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параметров ранее производимой и новой продукции по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следующей схеме:</w:t>
      </w:r>
    </w:p>
    <w:p w:rsidR="00251E6C" w:rsidRPr="00E96526" w:rsidRDefault="00251E6C" w:rsidP="00E96526">
      <w:pPr>
        <w:pStyle w:val="HTML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наличие в конструктивной разработке нового изделия по сравнению со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старым, принципиально иных подходов, например, неизвестных законов и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закономерностей;</w:t>
      </w:r>
    </w:p>
    <w:p w:rsidR="00251E6C" w:rsidRPr="00E96526" w:rsidRDefault="00251E6C" w:rsidP="00E96526">
      <w:pPr>
        <w:pStyle w:val="HTML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количество новых деталей, узлов в изделии или операций в технологии;</w:t>
      </w:r>
    </w:p>
    <w:p w:rsidR="00251E6C" w:rsidRPr="00E96526" w:rsidRDefault="00251E6C" w:rsidP="00E96526">
      <w:pPr>
        <w:pStyle w:val="HTML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дополнительная сумма затрат на изменение изделия и е</w:t>
      </w:r>
      <w:r w:rsidR="000206B0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доля в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затратах на новое изделие.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 результате такого анализа новую продукцию можно сгруппировать в три</w:t>
      </w:r>
      <w:r w:rsidR="00781C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группы: 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которая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ранее не существовала;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которая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</w:t>
      </w:r>
      <w:r w:rsidR="00D62AE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водилась ранее, но существенно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изменена по материалу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или конструкционному решению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>3 -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получившая только новое оформление.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Инновационная продукция весьма разнообразна по формам. Она может иметь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или не иметь натурально-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>вещественную форму</w:t>
      </w:r>
      <w:r w:rsidR="00D62AE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, различаться по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назначению, видам продукции и т.д.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Вследствие этого анализ спроса и создание информационной базы для его</w:t>
      </w:r>
      <w:r w:rsidR="00B3325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проведения имеет специфику в каждом конкретном случае.</w:t>
      </w: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Сущность спроса и способы его представления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Спрос отражает объ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м продукции, который потребитель хочет и в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состоянии приобрести по некоторой из возможных цен в течение определенного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времени на конкретном рынке.</w:t>
      </w:r>
    </w:p>
    <w:p w:rsidR="00251E6C" w:rsidRPr="00E96526" w:rsidRDefault="00E62932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Из этого следуют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анализа спроса: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объем спроса;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наличие потенциальных покупателей;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потребность в товаре;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возможность приобретения товара;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цена предлагаемой продукции;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время реализации (предложения для реализации) продукции на рынке;</w:t>
      </w:r>
    </w:p>
    <w:p w:rsidR="00251E6C" w:rsidRPr="00E96526" w:rsidRDefault="00251E6C" w:rsidP="00E96526">
      <w:pPr>
        <w:pStyle w:val="HTML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направления, рынки сбыта 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 выражает число альтернативных возможностей приобретения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 при разных ценах и равных прочих условиях. Его можно представить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одним из трех способов: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виде таблицы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рафически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9652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литически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6526">
        <w:rPr>
          <w:rFonts w:ascii="Times New Roman" w:hAnsi="Times New Roman" w:cs="Times New Roman"/>
          <w:color w:val="000000"/>
          <w:sz w:val="28"/>
          <w:szCs w:val="28"/>
          <w:lang w:val="en-US"/>
        </w:rPr>
        <w:t>Qi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E96526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96526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r w:rsidRPr="00E96526">
        <w:rPr>
          <w:rFonts w:ascii="Times New Roman" w:hAnsi="Times New Roman" w:cs="Times New Roman"/>
          <w:color w:val="000000"/>
          <w:sz w:val="28"/>
          <w:szCs w:val="28"/>
          <w:lang w:val="en-US"/>
        </w:rPr>
        <w:t>Pi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где Q – объем спроса на i-товар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Pi -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цена i-го товара</w:t>
      </w:r>
      <w:r w:rsidR="00E62932" w:rsidRPr="00E965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Табличный и графический способы отображения спроса являются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инструментами его предварительного и оперативного анализа. В таблице можно,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во-первых, представить ранжированный ряд значений цены продукции в порядке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возрастания или убывания и соответствующее ей число единиц товара, на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которое предъявлен спрос. При большом числе значений цены, частом е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колебании или большом разбросе в количестве проданных единиц продукции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целесообразно отчетливее прослеживать тенденцию спроса, группировать</w:t>
      </w:r>
      <w:r w:rsidR="00B5098A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значения цены и представлять данные в виде интервального ряда показателей.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Графическое изображение спроса дает возможность увидеть направления</w:t>
      </w:r>
      <w:r w:rsidR="009543C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его изменения, что широко применяется для </w:t>
      </w:r>
      <w:r w:rsidR="009543C8" w:rsidRPr="00E965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рогнозирования спроса,</w:t>
      </w:r>
      <w:r w:rsidR="009543C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определения типа товаров, по которым он изучается, рассчитать степень</w:t>
      </w:r>
      <w:r w:rsidR="009543C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гибкости спроса по отношению к основным, влияющим на него факторам.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Таким образом, этот метод в значительной степени применяется как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инструмент качественного анализа, позволяющий наглядно отобразить тенденцию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изменения спроса под действием различных факторов.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Аналитический метод позволяет проанализировать сложившуюся тенденцию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спроса на основные товары и спрогнозировать ситуацию на перспективу. Таким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образом, он применяется в качестве инструмента предварительного и</w:t>
      </w:r>
      <w:r w:rsidR="00BD77B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последующего анализа.</w:t>
      </w: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Факторы спроса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Для управления спросом предприятию, производителю новой продукции,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необходимо знать факторы, воздействующие на величину и характер спроса и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называемые детерминантами спроса. 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Однако,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детерминанты, влияющие на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спрос на нововведения, значительно отличаются 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т факторов спроса на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традиционно предлагаемую потребителям продукцию.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Все факторы спроса на новую продукцию можно разделить на внутренние,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относящиеся к деятельности объекта анализа, и внешние, связанные с особенностями функциониро</w:t>
      </w:r>
      <w:r w:rsidR="005279E3" w:rsidRPr="00E96526">
        <w:rPr>
          <w:rFonts w:ascii="Times New Roman" w:hAnsi="Times New Roman" w:cs="Times New Roman"/>
          <w:color w:val="000000"/>
          <w:sz w:val="28"/>
          <w:szCs w:val="28"/>
        </w:rPr>
        <w:t>вания внешней среды.</w:t>
      </w:r>
    </w:p>
    <w:p w:rsidR="00251E6C" w:rsidRPr="00E96526" w:rsidRDefault="005E2767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нутренни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, которые в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совокупности характеризуют производственно-торговую стратегию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производителя: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онструктивные особенности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предлагаемого 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образца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(е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сли он не отвечает отраслевым стандартам,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усложняется его послепродажное обслуживание и исключается возможность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использо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вания в качестве комплектующего,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ледствием этого будет отсутствие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или низкий уровень спроса на данную продукцию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сли ее действие не учтено, новая продукция не найдет спроса</w:t>
      </w:r>
      <w:r w:rsidR="005E2767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41615" w:rsidRPr="00E96526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чество новой  продукции</w:t>
      </w:r>
      <w:r w:rsidR="0034161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(б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езотказность работы новой техники, технологии, отсутствие явных и скрытых</w:t>
      </w:r>
      <w:r w:rsidR="0034161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дефектов в товарах народного потребления </w:t>
      </w:r>
      <w:r w:rsidR="00341615" w:rsidRPr="00E96526">
        <w:rPr>
          <w:rFonts w:ascii="Times New Roman" w:hAnsi="Times New Roman" w:cs="Times New Roman"/>
          <w:color w:val="000000"/>
          <w:sz w:val="28"/>
          <w:szCs w:val="28"/>
        </w:rPr>
        <w:t>способствуют спросу на них, и наоборот).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словия продажи 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обеспечение гарантийного и сервисного обслуживания новой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установка, наладка,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обеспечение запасными частями, создание специализированных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мастерских обслуживанию и ремонту</w:t>
      </w:r>
      <w:r w:rsidR="007B069B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5. Чем выше расходы на</w:t>
      </w:r>
      <w:r w:rsidR="0014592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научные исследования и разработку фирмы-поставщика, тем в конечном итоге</w:t>
      </w:r>
      <w:r w:rsidR="0014592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быстрее распространяется новая продукция.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6. Высокий технический уровень предприятия-изготовителя 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(обеспечивает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быстрый переход к качественно новой ступени производства, позволяющий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ускорять 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редложения рынку принципиально новой продукции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Транснациональный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уровень отрасли (фирмы)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(че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 он выше, тем шире внешняя интеграция отрасли,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 большее количество заграничных рынков выходит новая продукция,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ускоряется ее распростране</w:t>
      </w:r>
      <w:r w:rsidR="00835DF5" w:rsidRPr="00E96526">
        <w:rPr>
          <w:rFonts w:ascii="Times New Roman" w:hAnsi="Times New Roman" w:cs="Times New Roman"/>
          <w:color w:val="000000"/>
          <w:sz w:val="28"/>
          <w:szCs w:val="28"/>
        </w:rPr>
        <w:t>ние)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4D3EBE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ена,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устанавливаемая на новую продукцию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Скидки и иные ценовые льготы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способствуют продвижению нового товара на рынки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4D3EBE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ольшое значение имеет выбор наиболее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авторитетного покупателя, создающего “авторитетное мнение” о данной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продукции. Причем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первые покупатели пользуются льготными у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словиями приобретения товара.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D3EBE" w:rsidRPr="00E9652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3399" w:rsidRPr="00E965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ыночн</w:t>
      </w:r>
      <w:r w:rsidR="00253399" w:rsidRPr="00E9652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сегмент.</w:t>
      </w:r>
    </w:p>
    <w:p w:rsidR="00253399" w:rsidRPr="00E96526" w:rsidRDefault="00253399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оммуникационные факторы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(ф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ирмы, отрасли, производящие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новую продукцию, могут характеризоваться открытостью или закрытостью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контактов в информационном отношении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3399" w:rsidRPr="00E965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еклам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>а 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уровень затрат на рекламу в общих расходах на производство и реализацию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новой продукции способствует формированию и повышению спроса на не</w:t>
      </w:r>
      <w:r w:rsidR="00D73104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аоборот</w:t>
      </w:r>
      <w:r w:rsidR="00DD760D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DD760D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ровень профессиональной подготовки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предприятия-производителя.</w:t>
      </w:r>
    </w:p>
    <w:p w:rsidR="00251E6C" w:rsidRPr="00E96526" w:rsidRDefault="00D73104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нешние детерминанты спроса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1. Общеэкономическое состояние государства</w:t>
      </w:r>
      <w:r w:rsidR="00F51DDF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(э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кономическая дестабилизация</w:t>
      </w:r>
      <w:r w:rsidR="00F51DDF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делает невозможным вложение средств в </w:t>
      </w:r>
      <w:r w:rsidR="00F51DDF" w:rsidRPr="00E96526">
        <w:rPr>
          <w:rFonts w:ascii="Times New Roman" w:hAnsi="Times New Roman" w:cs="Times New Roman"/>
          <w:color w:val="000000"/>
          <w:sz w:val="28"/>
          <w:szCs w:val="28"/>
        </w:rPr>
        <w:t>научно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-техн</w:t>
      </w:r>
      <w:r w:rsidR="00F51DDF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ические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инновации из-за их быстрого обесценения</w:t>
      </w:r>
      <w:r w:rsidR="00F51DDF" w:rsidRPr="00E9652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2. Особенности политической обстановки</w:t>
      </w:r>
      <w:r w:rsidR="00AB289F"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равовое обеспечение хозяйственной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кологическая обстано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>вка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5. Одним из факторов спроса на новые изделия и технологии является сам технический прогресс и в связи с его ускорением быстрое моральное старение</w:t>
      </w:r>
      <w:r w:rsidR="000F4CD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большого числа видов продукции. </w:t>
      </w:r>
    </w:p>
    <w:p w:rsidR="00251E6C" w:rsidRPr="00E96526" w:rsidRDefault="00D96BB4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. Важное, стимулирующее спрос, действие оказывает повышение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эффективности работы потребителя нововведений.</w:t>
      </w:r>
    </w:p>
    <w:p w:rsidR="00251E6C" w:rsidRPr="00E96526" w:rsidRDefault="00D96BB4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ейственность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рекламы, на которую, в свою очередь, влияет ее вид и форма, место и время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проведения, продолжительность рекламной компании, а также психологическое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восприятие рекламы потребителем нововведения.</w:t>
      </w:r>
    </w:p>
    <w:p w:rsidR="00A82DF2" w:rsidRPr="00E96526" w:rsidRDefault="00A82DF2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. Доходы потребителей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A82DF2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. Наличие на рынке “старых” товаров аналогичного назначения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снижает спрос на новую продукцию (производитель должен при выходе на рынок установить цену ниже, чем цена товаров-заменителей).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Классификация факторов спроса позволяет не только выделить те, которые</w:t>
      </w:r>
      <w:r w:rsidR="00F650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способствуют его формированию, но и ранжировать их по</w:t>
      </w:r>
      <w:r w:rsidR="00F650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степени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наибольшего</w:t>
      </w:r>
      <w:r w:rsidR="00F6503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влияния на результативный показатель.</w:t>
      </w: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Виды спроса на новую продукцию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В зависимости от целей и задач анализа классификация видов спроса на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нововведения может быть построена по различным основаниям.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Если предприятие выпускает продукцию широкого ассортимента по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назначению, то необходимо в его структуре выделить новую продукцию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производственного и непроизводственного назначения, т.к. спрос на эти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группы имеет некоторые отличия. В рамках этих групп спрос можно подразделить по формам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образования, направлению изменения, степени удовлетворения и др.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Очень важной для анализа спроса на новую продукцию является его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дифференциация по формам образования, отражающая стадии жизненного цикла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продукции. При этом различают: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1. Потенциальный спрос, возн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икающий на стадии разработки и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новой продукции и выходу на рынок. Его повышению способствует открытая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коммуникация фирмы-производителя;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2. Формирующийся, складывающийся на этапе выхода новой продукции на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рынок;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3. Развивающийся 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этапе утверждения новой продукции на рынке;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4. Сформировавшийся, соответствующий стадии зрелости научно-технической 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Самым неприятным моментом для производственного предприятия может быть</w:t>
      </w:r>
      <w:r w:rsidR="000E4792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взамен сформировавшегося спроса 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затухания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спроса, начавшееся до момента перехода продукции из категории новой в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производимую.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Группировка видов спроса по формам его образования связана с этапами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жизненного цикла новой научно-технической 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Следующая группировка видов спроса характеризует состояние рынка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анализируемого товара. В этом случае выделяют: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1. Отрицательный спрос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отражает факт недолюбливания товара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потенциальными потребителями, которые с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тараются избежать его покупки).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2. Отсутствие спроса 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наблюдается в двух случаях: когда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потребители, на которых ориентировано п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роизводство данной продукции и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ее реализация, не заинтересованы в ней или не знают о 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ней).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3. Скрытый спрос 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(о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тражает невозможность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удовлетворения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потребителей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за счет имеющихся на рынке товаров и услуг</w:t>
      </w:r>
      <w:r w:rsidR="00DB0B76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 Это наиболее благоприятная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рыночная ситуация для производителя новой и особенно научно-технической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продукции. Как правило, такая ситуация возникает в следующих случаях: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предприятия-производители не имеют информации о возникшем спросе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32DB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предприятие-производитель знает о возникшем спросе на продукцию, но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не торопится удовлетворить его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2DB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4. Нерегулярный спрос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характеризуется возникновением колебаний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спроса в течение определенных промежутков времени - в течение дня, недели,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месяца, года</w:t>
      </w:r>
      <w:r w:rsidR="006C32DB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5. Полноценный спрос на нововведения означает их адекватность желаниям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потребителя, соответствие спроса и предложения и переход нововведения в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стадию зрелости, т.е. наиб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олее предпочтительную ситуацию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для производителя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6. Чрезмерный спрос возникает, когда величина спроса больше величины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предложения. Это весьма благоприятная ситуация для разработчиков и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производителей новой продукции, способствующая е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выведению на рынок,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формированию спроса на е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конкретные виды и позволяющая опередить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конкурентов.</w:t>
      </w:r>
    </w:p>
    <w:p w:rsidR="003C0394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7. Нерациональный спрос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 на товары, вредные для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Поскольку большая часть нововведений характеризуется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неопределенностью в этой области, необходимо во избежание возникновения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данной категории и затухания спроса рекламировать</w:t>
      </w:r>
      <w:r w:rsidR="003C0394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отличительные положительные качества новой 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Если предприятие выпускает модификации продукции, например, для</w:t>
      </w:r>
      <w:r w:rsidR="00A467E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различных климатических зон, то оно должно изучить спрос по принципу</w:t>
      </w:r>
      <w:r w:rsidR="00A467E8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географического сегмента.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 спроса по потребителям позволит не только определить степень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его удовлетворения в этом разряде, но и учесть их желание при создании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новой 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 спроса по месту приобретения, позволяет оценить эффективность и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целесообразность используемого канала 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товародвижения,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что особенно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актуально при реализации новой продукции для населения.</w:t>
      </w:r>
    </w:p>
    <w:p w:rsidR="00251E6C" w:rsidRPr="00E96526" w:rsidRDefault="009E3F59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нализ спроса по намерениям покупателей дает возможность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учесть их требования еще на стадии разработки продукции, что позволяет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избежать ее технической неопределенности.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Все это позволит избежать ошибок при проектировании новой продукции и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планировании производственной программы и не включать в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неё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те виды</w:t>
      </w:r>
      <w:r w:rsidR="009E3F59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нововведений, которые не будут пользоваться спросом.</w:t>
      </w:r>
    </w:p>
    <w:p w:rsidR="00251E6C" w:rsidRP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b/>
          <w:color w:val="000000"/>
          <w:sz w:val="28"/>
          <w:szCs w:val="28"/>
        </w:rPr>
        <w:t>Методы анализа спроса.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Анализ спроса на нововведения по времени может быть предварительным,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текущим и последующим относительно периода, когда продукция считается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6C" w:rsidRPr="00E96526">
        <w:rPr>
          <w:rFonts w:ascii="Times New Roman" w:hAnsi="Times New Roman" w:cs="Times New Roman"/>
          <w:color w:val="000000"/>
          <w:sz w:val="28"/>
          <w:szCs w:val="28"/>
        </w:rPr>
        <w:t>новой.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Предварительный анализ спроса на новую 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научно-техническую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продукцию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один из наиболее важных, поскольку на его базе разрабатывается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программа и строится с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тратегия продвижения на рынке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406BEB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Проведение предварительного анализа осуществляется на базе данных,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получаемых с помощью специальных выборочных обследований,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сфере потребления инноваций, если продукция находится в стадии подготовки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опытного образца, запуска в производство, а иногда на этапе выведения е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C52B4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рынок.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Выборочные обследования в сфере потребления могут быть проведены в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форме анкетирования.</w:t>
      </w:r>
    </w:p>
    <w:p w:rsidR="004B18C0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Если информация о продукции уже имеется у потребителя, и начато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её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производство, то для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с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проса могут быть использованы данные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журналов уч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та спроса или заказов на новую продукцию.</w:t>
      </w:r>
    </w:p>
    <w:p w:rsidR="004B18C0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Данные 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>журналов учёта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заказов на продукцию целесообразно использовать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 в процессе текущего анализа, а также сопоставить такие конъюнктурные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индикаторы как средние цены запасов и средние цены продажи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продукции предприятия. Если наблюдается устойчивость соотношения в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динамике, то очевидно, что спросом пол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>ьзуется более дешевая продукция.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Значение коэффициента перекрестной эластичности особенно велико для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анализа спроса на новую стандартизованную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научно-техническую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продукцию и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требует постоянного анализа динамики цен на основной товар.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Для изучения чувствительности спроса можно также использовать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соотношение темпов изменения спроса и влияющих на него факторов,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представленное в виде динамического ряда. Подобные ряды позволяют  построить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график изменения кривой спроса под действием какого-либо фактора, вычислить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показатели рядов динамики: темпы прироста, средние темпы роста и прироста,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абсолютные знач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ения одного процента изменения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спроса за период, а также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провести корреляционный анализ влияния факторов на изменение спроса и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спрогнозировать его развитие на ближайшую перспективу.</w:t>
      </w:r>
    </w:p>
    <w:p w:rsidR="00251E6C" w:rsidRPr="00E96526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Представляет интерес структурный анализ спроса, проводимый с помощью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специальных таблиц, строящихся по каждому факторному признаку 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направлению</w:t>
      </w:r>
      <w:r w:rsidR="004B18C0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анализа: например, стадиям 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>жизненного цикла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новой продукции  (причем, они заканчиваются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переходом к стадии зрелости).</w:t>
      </w:r>
    </w:p>
    <w:p w:rsidR="00251E6C" w:rsidRDefault="00251E6C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Анализ спроса на нововведения имеет огромное значение, 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его результатов зависит точность разработки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производственной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предприятия, стратегия и объ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м реализации его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и, следовательно,</w:t>
      </w:r>
      <w:r w:rsidR="005A7D9C" w:rsidRPr="00E96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526">
        <w:rPr>
          <w:rFonts w:ascii="Times New Roman" w:hAnsi="Times New Roman" w:cs="Times New Roman"/>
          <w:color w:val="000000"/>
          <w:sz w:val="28"/>
          <w:szCs w:val="28"/>
        </w:rPr>
        <w:t>финансовые результаты его деятельности.</w:t>
      </w:r>
    </w:p>
    <w:p w:rsid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10087">
        <w:rPr>
          <w:b/>
          <w:color w:val="000000"/>
          <w:sz w:val="28"/>
          <w:szCs w:val="28"/>
        </w:rPr>
        <w:t>Задача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Предпринимательская организация располагает двумя альтернативными вариантами инновационного проекта – проектом «А» и проектом «Б». Оценить эффективность каждого из проектов и выбрать лучший из них. Расчёты провести без учёта инфляционных процессов в экономике в динамичных системах оценки экономической эффективности инновационных проектов.</w:t>
      </w:r>
    </w:p>
    <w:p w:rsidR="00E96526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Таблица 1 – Исходные данные для оценки и выбора инновационного проекта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62"/>
        <w:gridCol w:w="862"/>
        <w:gridCol w:w="859"/>
        <w:gridCol w:w="859"/>
        <w:gridCol w:w="865"/>
        <w:gridCol w:w="865"/>
        <w:gridCol w:w="879"/>
        <w:gridCol w:w="879"/>
        <w:gridCol w:w="872"/>
        <w:gridCol w:w="770"/>
      </w:tblGrid>
      <w:tr w:rsidR="00E96526" w:rsidRPr="00E16B70" w:rsidTr="00E16B70">
        <w:trPr>
          <w:cantSplit/>
          <w:trHeight w:val="460"/>
        </w:trPr>
        <w:tc>
          <w:tcPr>
            <w:tcW w:w="668" w:type="dxa"/>
            <w:vMerge w:val="restart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Объём инвестиций, усл. ден. ед.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Норма дисконта Е по проекту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Текущие поступления (выручка) по проекту, усл. ден. ед.</w:t>
            </w:r>
          </w:p>
        </w:tc>
        <w:tc>
          <w:tcPr>
            <w:tcW w:w="1758" w:type="dxa"/>
            <w:gridSpan w:val="2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Текущие затраты по проекту (без амортизационных отчислений), усл. ден. ед.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16B70">
              <w:rPr>
                <w:color w:val="000000"/>
                <w:sz w:val="20"/>
                <w:szCs w:val="20"/>
              </w:rPr>
              <w:t>Годовые амортизационные отчисления, усл. ден. ед.</w:t>
            </w:r>
          </w:p>
        </w:tc>
      </w:tr>
      <w:tr w:rsidR="00E96526" w:rsidRPr="00E16B70" w:rsidTr="00E16B70">
        <w:trPr>
          <w:cantSplit/>
        </w:trPr>
        <w:tc>
          <w:tcPr>
            <w:tcW w:w="668" w:type="dxa"/>
            <w:vMerge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6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859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59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865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65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879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879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Б</w:t>
            </w:r>
          </w:p>
        </w:tc>
        <w:tc>
          <w:tcPr>
            <w:tcW w:w="87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Б</w:t>
            </w:r>
          </w:p>
        </w:tc>
      </w:tr>
      <w:tr w:rsidR="00E96526" w:rsidRPr="00E16B70" w:rsidTr="00E16B70">
        <w:trPr>
          <w:cantSplit/>
        </w:trPr>
        <w:tc>
          <w:tcPr>
            <w:tcW w:w="668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3600</w:t>
            </w:r>
          </w:p>
        </w:tc>
        <w:tc>
          <w:tcPr>
            <w:tcW w:w="862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1000</w:t>
            </w: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0,11</w:t>
            </w:r>
          </w:p>
        </w:tc>
        <w:tc>
          <w:tcPr>
            <w:tcW w:w="859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0,11</w:t>
            </w:r>
          </w:p>
        </w:tc>
        <w:tc>
          <w:tcPr>
            <w:tcW w:w="865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11200</w:t>
            </w:r>
          </w:p>
        </w:tc>
        <w:tc>
          <w:tcPr>
            <w:tcW w:w="865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32000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8000</w:t>
            </w:r>
          </w:p>
        </w:tc>
        <w:tc>
          <w:tcPr>
            <w:tcW w:w="879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22000</w:t>
            </w:r>
          </w:p>
        </w:tc>
        <w:tc>
          <w:tcPr>
            <w:tcW w:w="872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400</w:t>
            </w:r>
          </w:p>
        </w:tc>
        <w:tc>
          <w:tcPr>
            <w:tcW w:w="770" w:type="dxa"/>
            <w:tcBorders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800</w:t>
            </w:r>
          </w:p>
        </w:tc>
      </w:tr>
      <w:tr w:rsidR="00E96526" w:rsidRPr="00E16B70" w:rsidTr="00E16B70">
        <w:trPr>
          <w:cantSplit/>
        </w:trPr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2400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1500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0,12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0,11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34200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34000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26000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27000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400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800</w:t>
            </w:r>
          </w:p>
        </w:tc>
      </w:tr>
      <w:tr w:rsidR="00E96526" w:rsidRPr="00E16B70" w:rsidTr="00E16B70">
        <w:trPr>
          <w:cantSplit/>
        </w:trPr>
        <w:tc>
          <w:tcPr>
            <w:tcW w:w="668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1500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0,12</w:t>
            </w:r>
          </w:p>
        </w:tc>
        <w:tc>
          <w:tcPr>
            <w:tcW w:w="85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0,12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46000</w:t>
            </w:r>
          </w:p>
        </w:tc>
        <w:tc>
          <w:tcPr>
            <w:tcW w:w="865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36000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35000</w:t>
            </w: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29000</w:t>
            </w:r>
          </w:p>
        </w:tc>
        <w:tc>
          <w:tcPr>
            <w:tcW w:w="872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600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800</w:t>
            </w:r>
          </w:p>
        </w:tc>
      </w:tr>
      <w:tr w:rsidR="00E96526" w:rsidRPr="00E16B70" w:rsidTr="00E16B70">
        <w:trPr>
          <w:cantSplit/>
        </w:trPr>
        <w:tc>
          <w:tcPr>
            <w:tcW w:w="668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-</w:t>
            </w:r>
          </w:p>
        </w:tc>
        <w:tc>
          <w:tcPr>
            <w:tcW w:w="862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-</w:t>
            </w: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0,13</w:t>
            </w:r>
          </w:p>
        </w:tc>
        <w:tc>
          <w:tcPr>
            <w:tcW w:w="859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0,12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46000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37200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35000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31000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600</w:t>
            </w:r>
          </w:p>
        </w:tc>
        <w:tc>
          <w:tcPr>
            <w:tcW w:w="770" w:type="dxa"/>
            <w:tcBorders>
              <w:top w:val="nil"/>
            </w:tcBorders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16B70">
              <w:rPr>
                <w:color w:val="000000"/>
                <w:sz w:val="20"/>
              </w:rPr>
              <w:t>800</w:t>
            </w:r>
          </w:p>
        </w:tc>
      </w:tr>
    </w:tbl>
    <w:p w:rsidR="00E96526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Решение: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1) Рассчитаем чистый дисконтированный доход (ЧДД)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ЧДД = ∑ ((ЧП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+ А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 / ((1 + 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)) - ∑ (</w:t>
      </w: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((1 + 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)) &gt;= 0, где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  <w:lang w:val="en-US"/>
        </w:rPr>
        <w:t>t</w:t>
      </w:r>
      <w:r w:rsidRPr="00D10087">
        <w:rPr>
          <w:color w:val="000000"/>
          <w:sz w:val="28"/>
          <w:szCs w:val="28"/>
        </w:rPr>
        <w:tab/>
        <w:t>- период (от 1 до 4);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Е</w:t>
      </w:r>
      <w:r w:rsidRPr="00D10087">
        <w:rPr>
          <w:color w:val="000000"/>
          <w:sz w:val="28"/>
          <w:szCs w:val="28"/>
        </w:rPr>
        <w:tab/>
        <w:t>- норма дисконта;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ЧП</w:t>
      </w:r>
      <w:r w:rsidRPr="00D10087">
        <w:rPr>
          <w:color w:val="000000"/>
          <w:sz w:val="28"/>
          <w:szCs w:val="28"/>
        </w:rPr>
        <w:tab/>
        <w:t>- чистая прибыль;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А</w:t>
      </w:r>
      <w:r w:rsidRPr="00D10087">
        <w:rPr>
          <w:color w:val="000000"/>
          <w:sz w:val="28"/>
          <w:szCs w:val="28"/>
        </w:rPr>
        <w:tab/>
        <w:t>- амортизация;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</w:rPr>
        <w:tab/>
        <w:t>- единовременные затраты (инвестиции).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Налоги от прибыли = 24 + 0,03 * (100 - 24) = 24 + 2,28 = 26,28%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ЧДД </w:t>
      </w:r>
      <w:r w:rsidRPr="00D10087">
        <w:rPr>
          <w:color w:val="000000"/>
          <w:sz w:val="28"/>
          <w:szCs w:val="28"/>
          <w:vertAlign w:val="subscript"/>
        </w:rPr>
        <w:t>А</w:t>
      </w:r>
      <w:r w:rsidRPr="00D10087">
        <w:rPr>
          <w:color w:val="000000"/>
          <w:sz w:val="28"/>
          <w:szCs w:val="28"/>
        </w:rPr>
        <w:t xml:space="preserve"> = ((11200-8000-400) * (1-0,2628) + 400 – 3600) / (1 + 0,11)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((34200-26000-400) * (1-0,2628) + 400 - 2400) / ((1+0,11)*(1+0,12))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((46000-35000-600) * (1-0,2628) + 600 - 0)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((46000-35000-600)*(1-0,2628)+600-0)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*(1+0,13))=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-1023,28 + 3016,54 + 5937,21 + 5254,17 = 13184,64 усл. ден. ед.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ЧДД </w:t>
      </w:r>
      <w:r w:rsidRPr="00D10087">
        <w:rPr>
          <w:color w:val="000000"/>
          <w:sz w:val="28"/>
          <w:szCs w:val="28"/>
          <w:vertAlign w:val="subscript"/>
        </w:rPr>
        <w:t>Б</w:t>
      </w:r>
      <w:r w:rsidRPr="00D10087">
        <w:rPr>
          <w:color w:val="000000"/>
          <w:sz w:val="28"/>
          <w:szCs w:val="28"/>
        </w:rPr>
        <w:t xml:space="preserve"> = ((32000-22000-800) * (1-0,2628) + 800 - 1000) / (1+0,11)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((34000-27000-800) * (1-0,2628) + 800 - 1500) / 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((36000-29000-800) * (1-0,2628) + 800 - 1500)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 (1+0,12))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((37200-31000-800) * (1-0,2628) + 800 - 0)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 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5929,95 + 3141,50 + 2804,91 + 3093,33 = 14969,69 усл. ден. ед.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2) Рассчитаем индекс доходности (ИД)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ИД = ∑((ЧП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+ А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 / (1 + 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/ ∑(</w:t>
      </w: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(1 + 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&gt;= 1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ИД </w:t>
      </w:r>
      <w:r w:rsidRPr="00D10087">
        <w:rPr>
          <w:color w:val="000000"/>
          <w:sz w:val="28"/>
          <w:szCs w:val="28"/>
          <w:vertAlign w:val="subscript"/>
        </w:rPr>
        <w:t>А</w:t>
      </w:r>
      <w:r w:rsidRPr="00D10087">
        <w:rPr>
          <w:color w:val="000000"/>
          <w:sz w:val="28"/>
          <w:szCs w:val="28"/>
        </w:rPr>
        <w:t xml:space="preserve"> = ((((11200-8000-400) * 0,7372 + 400)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(((34200-26000-400) * 0,7372 + 400) / ((1+0,11)*(1+0,12)))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(((46000-35000-600) * 0,7372 + 600) / ((1+0,11) * 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(((46000-35000-600) * 0,7372 + 600)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*(1+0,13))))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((3600/(1+0,11)) + (2400/((1+0,11)*(1+0,12))) + 0 + 0)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(2219,96 + 4947,04 + 5937,21 + 5254,17) / (3243,24 + 1930,50 + 0 + 0)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18358,38 / 5173,74 = 3,55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ИД </w:t>
      </w:r>
      <w:r w:rsidRPr="00D10087">
        <w:rPr>
          <w:color w:val="000000"/>
          <w:sz w:val="28"/>
          <w:szCs w:val="28"/>
          <w:vertAlign w:val="subscript"/>
        </w:rPr>
        <w:t>Б</w:t>
      </w:r>
      <w:r w:rsidRPr="00D10087">
        <w:rPr>
          <w:color w:val="000000"/>
          <w:sz w:val="28"/>
          <w:szCs w:val="28"/>
        </w:rPr>
        <w:t xml:space="preserve"> = ((((32000-22000-800)*0,7372+800)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(((34000-27000-800)*0,7372+800) / 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(((36000-29000-800)*0,7372+800)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(((37200-31000-800)*0,7372+800)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((1000/(1+0,11)) + (1500/(1+0,11)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 (1500/((1+0,11)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*(1+0,12))) +0)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(6830,85+4358,93+3891,90+3093,33) / (900,90+1217,43+1086,99+0)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18175,01 / 3205,32 = 5,67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3) Рассчитаем норму прибыли (НП)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НП = ∑(П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  <w:vertAlign w:val="subscript"/>
        </w:rPr>
        <w:t xml:space="preserve"> </w:t>
      </w:r>
      <w:r w:rsidRPr="00D10087">
        <w:rPr>
          <w:color w:val="000000"/>
          <w:sz w:val="28"/>
          <w:szCs w:val="28"/>
        </w:rPr>
        <w:t>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/ ∑(</w:t>
      </w: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&gt;= СР, где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П</w:t>
      </w:r>
      <w:r w:rsidRPr="00D10087">
        <w:rPr>
          <w:color w:val="000000"/>
          <w:sz w:val="28"/>
          <w:szCs w:val="28"/>
        </w:rPr>
        <w:tab/>
        <w:t>- прибыль;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СР</w:t>
      </w:r>
      <w:r w:rsidRPr="00D10087">
        <w:rPr>
          <w:color w:val="000000"/>
          <w:sz w:val="28"/>
          <w:szCs w:val="28"/>
        </w:rPr>
        <w:tab/>
        <w:t>- ставка рефинансирования (с 12.11.2008 г. – 11%).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НП </w:t>
      </w:r>
      <w:r w:rsidRPr="00D10087">
        <w:rPr>
          <w:color w:val="000000"/>
          <w:sz w:val="28"/>
          <w:szCs w:val="28"/>
          <w:vertAlign w:val="subscript"/>
        </w:rPr>
        <w:t>А</w:t>
      </w:r>
      <w:r w:rsidRPr="00D10087">
        <w:rPr>
          <w:color w:val="000000"/>
          <w:sz w:val="28"/>
          <w:szCs w:val="28"/>
        </w:rPr>
        <w:t xml:space="preserve"> = (((11200-8000-400)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((34200-26000-400) / ((1+0,11)*(1+0,12)))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((46000-35000-600)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((46000-35000-600)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*(1+0,13))))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((3600/(1+0,11)) + (2400/((1+0,11)*(1+0,12))) + 0 + 0)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(2522,52 + 6274,13 + 7469,20 + 6609,91) / (3243,24 + 1930,50 + 0+ 0)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22875,76 / 5173,74 = 4,42 (442%)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НП </w:t>
      </w:r>
      <w:r w:rsidRPr="00D10087">
        <w:rPr>
          <w:color w:val="000000"/>
          <w:sz w:val="28"/>
          <w:szCs w:val="28"/>
          <w:vertAlign w:val="subscript"/>
        </w:rPr>
        <w:t>Б</w:t>
      </w:r>
      <w:r w:rsidRPr="00D10087">
        <w:rPr>
          <w:color w:val="000000"/>
          <w:sz w:val="28"/>
          <w:szCs w:val="28"/>
        </w:rPr>
        <w:t xml:space="preserve"> = (((32000-22000-800)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((34000-27000-800) / 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((36000-29000-800)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 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((37200-31000-800)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 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((1000/(1+0,11)) + (1500/(1+0,11)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 (1500/((1+0,11)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*(1+0,12))) +0)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(8288,29+5032,06+4492,91+3493,91) / (900,90+1217,43+1086,99+0)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21307,17 / 3205,32 = 6,65 (665%)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4) Рассчитаем срок окупаемости инвестиций (Ток)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Ток = ∑(</w:t>
      </w: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/ ((1/Т) * ∑(ЧП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)), где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Т</w:t>
      </w:r>
      <w:r w:rsidRPr="00D10087">
        <w:rPr>
          <w:color w:val="000000"/>
          <w:sz w:val="28"/>
          <w:szCs w:val="28"/>
        </w:rPr>
        <w:tab/>
        <w:t>- количество лет.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Ток </w:t>
      </w:r>
      <w:r w:rsidRPr="00D10087">
        <w:rPr>
          <w:color w:val="000000"/>
          <w:sz w:val="28"/>
          <w:szCs w:val="28"/>
          <w:vertAlign w:val="subscript"/>
        </w:rPr>
        <w:t>А</w:t>
      </w:r>
      <w:r w:rsidRPr="00D10087">
        <w:rPr>
          <w:color w:val="000000"/>
          <w:sz w:val="28"/>
          <w:szCs w:val="28"/>
        </w:rPr>
        <w:t xml:space="preserve"> = ((3600/(1+0,11)) + (2400/((1+0,11)*(1+0,12))) + 0 + 0)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(((((11200-8000-400)*0,7372)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(((34200-26000-400)*0,7372) / ((1+0,11)*(1+0,12)))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D10087">
        <w:rPr>
          <w:color w:val="000000"/>
          <w:sz w:val="28"/>
          <w:szCs w:val="28"/>
        </w:rPr>
        <w:t>(((46000-35000-600)*0,7372)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(((46000-35000-600)*0,7372)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*(1+0,13))))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/ 4) = (3243,24+1930,50+0+0) / ((1859,60+4625,29+5506,30+4872,83)/4) = 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5173,74 / 4216,01 = 1,23 года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Ток </w:t>
      </w:r>
      <w:r w:rsidRPr="00D10087">
        <w:rPr>
          <w:color w:val="000000"/>
          <w:sz w:val="28"/>
          <w:szCs w:val="28"/>
          <w:vertAlign w:val="subscript"/>
        </w:rPr>
        <w:t>Б</w:t>
      </w:r>
      <w:r w:rsidRPr="00D10087">
        <w:rPr>
          <w:color w:val="000000"/>
          <w:sz w:val="28"/>
          <w:szCs w:val="28"/>
        </w:rPr>
        <w:t xml:space="preserve"> = ((1000/(1+0,11)) + (1500/(1+0,11)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 (1500/((1+0,11)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*(1+0,12))) +0)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(((((32000-22000-800)*0,7372)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(((34000-27000-800)*0,7372) / 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(((36000-29000-800))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 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(((37200-31000-800)*0,7372) / ((1+0,11)</w:t>
      </w:r>
      <w:r w:rsidRPr="00D10087">
        <w:rPr>
          <w:color w:val="000000"/>
          <w:sz w:val="28"/>
          <w:szCs w:val="28"/>
          <w:vertAlign w:val="superscript"/>
        </w:rPr>
        <w:t xml:space="preserve">2 </w:t>
      </w:r>
      <w:r w:rsidRPr="00D10087">
        <w:rPr>
          <w:color w:val="000000"/>
          <w:sz w:val="28"/>
          <w:szCs w:val="28"/>
        </w:rPr>
        <w:t>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 xml:space="preserve">))) /4) = 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(900,90+1217,43+1086,99+0) / ((6110,13+3709,63+3312,17+2575,71)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4) = 3205,32 / 3926,91 = 0,82 года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5) Рассчитаем срок возврата инвестиций (Т воз)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Т воз = ∑(</w:t>
      </w:r>
      <w:r w:rsidRPr="00D10087">
        <w:rPr>
          <w:color w:val="000000"/>
          <w:sz w:val="28"/>
          <w:szCs w:val="28"/>
          <w:lang w:val="en-US"/>
        </w:rPr>
        <w:t>I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 xml:space="preserve"> 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 / ((1/Т)*∑((ЧП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+А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 / (1+Е</w:t>
      </w:r>
      <w:r w:rsidRPr="00D10087">
        <w:rPr>
          <w:color w:val="000000"/>
          <w:sz w:val="28"/>
          <w:szCs w:val="28"/>
          <w:vertAlign w:val="subscript"/>
          <w:lang w:val="en-US"/>
        </w:rPr>
        <w:t>t</w:t>
      </w:r>
      <w:r w:rsidRPr="00D10087">
        <w:rPr>
          <w:color w:val="000000"/>
          <w:sz w:val="28"/>
          <w:szCs w:val="28"/>
        </w:rPr>
        <w:t>)</w:t>
      </w:r>
      <w:r w:rsidRPr="00D10087">
        <w:rPr>
          <w:color w:val="000000"/>
          <w:sz w:val="28"/>
          <w:szCs w:val="28"/>
          <w:vertAlign w:val="superscript"/>
          <w:lang w:val="en-US"/>
        </w:rPr>
        <w:t>t</w:t>
      </w:r>
      <w:r w:rsidRPr="00D10087">
        <w:rPr>
          <w:color w:val="000000"/>
          <w:sz w:val="28"/>
          <w:szCs w:val="28"/>
        </w:rPr>
        <w:t>))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Т воз </w:t>
      </w:r>
      <w:r w:rsidRPr="00D10087">
        <w:rPr>
          <w:color w:val="000000"/>
          <w:sz w:val="28"/>
          <w:szCs w:val="28"/>
          <w:vertAlign w:val="subscript"/>
        </w:rPr>
        <w:t>А</w:t>
      </w:r>
      <w:r w:rsidRPr="00D10087">
        <w:rPr>
          <w:color w:val="000000"/>
          <w:sz w:val="28"/>
          <w:szCs w:val="28"/>
        </w:rPr>
        <w:t xml:space="preserve"> = ((3600/(1+0,11)) + (2400/((1+0,11)*(1+0,12))) + 0 + 0)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(((((11200-8000-400)*0,7372+400)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(((34200-26000-400)*0,7372+400) / ((1+0,11)*(1+0,12)))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(((46000-35000-600)*0,7372+600)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(((46000-35000-600)*0,7372+600) / ((1+0,11)*(1+0,12)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*(1+0,13))))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4) = (3243,24+1930,50+0+0) / ((2219,96+4947,04+5937,21+5254,17)/4)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5173,74 / 4589,60 = 1,13 года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Т воз </w:t>
      </w:r>
      <w:r w:rsidRPr="00D10087">
        <w:rPr>
          <w:color w:val="000000"/>
          <w:sz w:val="28"/>
          <w:szCs w:val="28"/>
          <w:vertAlign w:val="subscript"/>
        </w:rPr>
        <w:t>Б</w:t>
      </w:r>
      <w:r w:rsidRPr="00D10087">
        <w:rPr>
          <w:color w:val="000000"/>
          <w:sz w:val="28"/>
          <w:szCs w:val="28"/>
        </w:rPr>
        <w:t xml:space="preserve"> = ((1000/(1+0,11)) + (1500/(1+0,11)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 + (1500/((1+0,11)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*(1+0,12))) +0) /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/ (((((32000-22000-800)*0,7372+800) / (1+0,11))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(((34000-27000-800)*0,7372+800)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(((36000-29000-800)*0,7372+800)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*(1+0,12))) +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+ (((37200-31000-800)*0,7372+800) / ((1+0,11)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*(1+0,12)</w:t>
      </w:r>
      <w:r w:rsidRPr="00D10087">
        <w:rPr>
          <w:color w:val="000000"/>
          <w:sz w:val="28"/>
          <w:szCs w:val="28"/>
          <w:vertAlign w:val="superscript"/>
        </w:rPr>
        <w:t>2</w:t>
      </w:r>
      <w:r w:rsidRPr="00D10087">
        <w:rPr>
          <w:color w:val="000000"/>
          <w:sz w:val="28"/>
          <w:szCs w:val="28"/>
        </w:rPr>
        <w:t>))) / 4)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(900,90+1217,43+1086,99+0)/((6830,85+4358,93+3891,90+3093,33)/4) =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= 3205,32 / 4543,75 = 0,71 года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6) Рассчитаем внутреннюю норму доходности (Е вн) по формуле: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Е вн = </w:t>
      </w:r>
      <w:r w:rsidRPr="00D10087">
        <w:rPr>
          <w:color w:val="000000"/>
          <w:sz w:val="28"/>
          <w:szCs w:val="28"/>
          <w:vertAlign w:val="superscript"/>
        </w:rPr>
        <w:t>Т</w:t>
      </w:r>
      <w:r w:rsidRPr="00D10087">
        <w:rPr>
          <w:color w:val="000000"/>
          <w:sz w:val="28"/>
          <w:szCs w:val="28"/>
        </w:rPr>
        <w:t>√ИД &gt;= Е</w:t>
      </w:r>
      <w:r w:rsidRPr="00D10087">
        <w:rPr>
          <w:color w:val="000000"/>
          <w:sz w:val="28"/>
          <w:szCs w:val="28"/>
          <w:vertAlign w:val="subscript"/>
          <w:lang w:val="en-US"/>
        </w:rPr>
        <w:t>max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Е вн А = </w:t>
      </w:r>
      <w:r w:rsidRPr="00D10087">
        <w:rPr>
          <w:color w:val="000000"/>
          <w:sz w:val="28"/>
          <w:szCs w:val="28"/>
          <w:vertAlign w:val="superscript"/>
        </w:rPr>
        <w:t>4</w:t>
      </w:r>
      <w:r w:rsidRPr="00D10087">
        <w:rPr>
          <w:color w:val="000000"/>
          <w:sz w:val="28"/>
          <w:szCs w:val="28"/>
        </w:rPr>
        <w:t>√3,55 = 1,37</w:t>
      </w:r>
      <w:r w:rsidRPr="00D10087">
        <w:rPr>
          <w:color w:val="000000"/>
          <w:sz w:val="28"/>
          <w:szCs w:val="28"/>
        </w:rPr>
        <w:tab/>
      </w:r>
      <w:r w:rsidRPr="00D10087">
        <w:rPr>
          <w:color w:val="000000"/>
          <w:sz w:val="28"/>
          <w:szCs w:val="28"/>
          <w:lang w:val="en-US"/>
        </w:rPr>
        <w:t>&gt;</w:t>
      </w:r>
      <w:r w:rsidRPr="00D10087">
        <w:rPr>
          <w:color w:val="000000"/>
          <w:sz w:val="28"/>
          <w:szCs w:val="28"/>
        </w:rPr>
        <w:t>0,13</w:t>
      </w: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 xml:space="preserve">Е вн Б = </w:t>
      </w:r>
      <w:r w:rsidRPr="00D10087">
        <w:rPr>
          <w:color w:val="000000"/>
          <w:sz w:val="28"/>
          <w:szCs w:val="28"/>
          <w:vertAlign w:val="superscript"/>
        </w:rPr>
        <w:t>4</w:t>
      </w:r>
      <w:r w:rsidRPr="00D10087">
        <w:rPr>
          <w:color w:val="000000"/>
          <w:sz w:val="28"/>
          <w:szCs w:val="28"/>
        </w:rPr>
        <w:t>√5,67 = 1,54</w:t>
      </w:r>
      <w:r w:rsidRPr="00D10087">
        <w:rPr>
          <w:color w:val="000000"/>
          <w:sz w:val="28"/>
          <w:szCs w:val="28"/>
          <w:lang w:val="en-US"/>
        </w:rPr>
        <w:tab/>
        <w:t>&gt;</w:t>
      </w:r>
      <w:r w:rsidRPr="00D10087">
        <w:rPr>
          <w:color w:val="000000"/>
          <w:sz w:val="28"/>
          <w:szCs w:val="28"/>
        </w:rPr>
        <w:t>0,12</w:t>
      </w:r>
    </w:p>
    <w:p w:rsidR="00E96526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Таблица 2 – Результаты расчётов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1958"/>
        <w:gridCol w:w="1882"/>
      </w:tblGrid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Проект «А»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Проект «Б»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E16B70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Чистый дисконтированный доход (ЧДД), усл. ден. ед.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13184,64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14969,69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Индекс доходности (ИД)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3,55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5,67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Норма прибыли (НП),%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442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665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Срок окупаемости инвестиций (Ток), лет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1,23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0,82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Срок возврата инвестиций (Т воз), лет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1,13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0,71</w:t>
            </w:r>
          </w:p>
        </w:tc>
      </w:tr>
      <w:tr w:rsidR="00E96526" w:rsidRPr="00E16B70" w:rsidTr="00E16B70">
        <w:trPr>
          <w:cantSplit/>
        </w:trPr>
        <w:tc>
          <w:tcPr>
            <w:tcW w:w="5160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Внутренняя норма доходности (Е вн)</w:t>
            </w:r>
          </w:p>
        </w:tc>
        <w:tc>
          <w:tcPr>
            <w:tcW w:w="1958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1,37</w:t>
            </w:r>
          </w:p>
        </w:tc>
        <w:tc>
          <w:tcPr>
            <w:tcW w:w="1882" w:type="dxa"/>
            <w:shd w:val="clear" w:color="auto" w:fill="auto"/>
          </w:tcPr>
          <w:p w:rsidR="00E96526" w:rsidRPr="00E16B70" w:rsidRDefault="00E96526" w:rsidP="00E16B7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16B70">
              <w:rPr>
                <w:color w:val="000000"/>
                <w:sz w:val="20"/>
                <w:szCs w:val="28"/>
              </w:rPr>
              <w:t>1,54</w:t>
            </w:r>
          </w:p>
        </w:tc>
      </w:tr>
    </w:tbl>
    <w:p w:rsidR="00E96526" w:rsidRPr="00D10087" w:rsidRDefault="00E96526" w:rsidP="00E9652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087">
        <w:rPr>
          <w:color w:val="000000"/>
          <w:sz w:val="28"/>
          <w:szCs w:val="28"/>
        </w:rPr>
        <w:t>На основании проведённых расчётов можно сделать вывод, что проект «Б» более эффективен по всем показателям.</w:t>
      </w:r>
    </w:p>
    <w:p w:rsid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526" w:rsidRDefault="00E96526" w:rsidP="00E96526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6526" w:rsidRPr="0017356F" w:rsidRDefault="00E96526" w:rsidP="00E9652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7356F">
        <w:rPr>
          <w:b/>
          <w:color w:val="000000"/>
          <w:sz w:val="28"/>
          <w:szCs w:val="28"/>
        </w:rPr>
        <w:t>Список используемых источников</w:t>
      </w:r>
    </w:p>
    <w:p w:rsidR="00E96526" w:rsidRDefault="00E96526" w:rsidP="00E965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6526" w:rsidRPr="0017356F" w:rsidRDefault="00E96526" w:rsidP="00E9652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17356F">
        <w:rPr>
          <w:color w:val="000000"/>
          <w:sz w:val="28"/>
          <w:szCs w:val="28"/>
        </w:rPr>
        <w:t>Инновационный менеджмент. Учебник / Под ред. С.Д. Ильенковой, - М.: Юнити, 1997 – 306</w:t>
      </w:r>
      <w:r>
        <w:rPr>
          <w:color w:val="000000"/>
          <w:sz w:val="28"/>
          <w:szCs w:val="28"/>
        </w:rPr>
        <w:t xml:space="preserve"> </w:t>
      </w:r>
      <w:r w:rsidRPr="0017356F">
        <w:rPr>
          <w:color w:val="000000"/>
          <w:sz w:val="28"/>
          <w:szCs w:val="28"/>
        </w:rPr>
        <w:t>с.</w:t>
      </w:r>
    </w:p>
    <w:p w:rsidR="00E96526" w:rsidRPr="0017356F" w:rsidRDefault="00E96526" w:rsidP="00E9652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17356F">
        <w:rPr>
          <w:color w:val="000000"/>
          <w:sz w:val="28"/>
          <w:szCs w:val="28"/>
        </w:rPr>
        <w:t>Инновационный менеджмент: учеб. пособие для студентов вузов, обучающихся по экономическим и управленческим специальностям / под ред. Л.И. Огелевой. – Москва: ИНФРА-М, 2003 – 238</w:t>
      </w:r>
      <w:r>
        <w:rPr>
          <w:color w:val="000000"/>
          <w:sz w:val="28"/>
          <w:szCs w:val="28"/>
        </w:rPr>
        <w:t xml:space="preserve"> </w:t>
      </w:r>
      <w:r w:rsidRPr="0017356F">
        <w:rPr>
          <w:color w:val="000000"/>
          <w:sz w:val="28"/>
          <w:szCs w:val="28"/>
        </w:rPr>
        <w:t>с.</w:t>
      </w:r>
    </w:p>
    <w:p w:rsidR="00E96526" w:rsidRPr="0017356F" w:rsidRDefault="00E96526" w:rsidP="00E96526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11"/>
        <w:jc w:val="both"/>
        <w:rPr>
          <w:color w:val="000000"/>
          <w:sz w:val="28"/>
          <w:szCs w:val="28"/>
        </w:rPr>
      </w:pPr>
      <w:r w:rsidRPr="0017356F">
        <w:rPr>
          <w:color w:val="000000"/>
          <w:sz w:val="28"/>
          <w:szCs w:val="28"/>
        </w:rPr>
        <w:t>Анищик, В.М. Инновационная деятельность и научно-технологическое развитие: учеб. пособие / В.М. Анищик. – Минск: БГУ, 2005. – 151</w:t>
      </w:r>
      <w:r>
        <w:rPr>
          <w:color w:val="000000"/>
          <w:sz w:val="28"/>
          <w:szCs w:val="28"/>
        </w:rPr>
        <w:t xml:space="preserve"> </w:t>
      </w:r>
      <w:r w:rsidRPr="0017356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E96526" w:rsidRPr="0017356F" w:rsidSect="00E96526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70" w:rsidRDefault="00E16B70">
      <w:r>
        <w:separator/>
      </w:r>
    </w:p>
  </w:endnote>
  <w:endnote w:type="continuationSeparator" w:id="0">
    <w:p w:rsidR="00E16B70" w:rsidRDefault="00E1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C0" w:rsidRDefault="004B18C0" w:rsidP="008F2D05">
    <w:pPr>
      <w:pStyle w:val="a3"/>
      <w:framePr w:wrap="around" w:vAnchor="text" w:hAnchor="margin" w:xAlign="right" w:y="1"/>
      <w:rPr>
        <w:rStyle w:val="a5"/>
      </w:rPr>
    </w:pPr>
  </w:p>
  <w:p w:rsidR="004B18C0" w:rsidRDefault="004B18C0" w:rsidP="005C38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C0" w:rsidRDefault="00AB638C" w:rsidP="008F2D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4B18C0" w:rsidRDefault="004B18C0" w:rsidP="005C3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70" w:rsidRDefault="00E16B70">
      <w:r>
        <w:separator/>
      </w:r>
    </w:p>
  </w:footnote>
  <w:footnote w:type="continuationSeparator" w:id="0">
    <w:p w:rsidR="00E16B70" w:rsidRDefault="00E1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F533E"/>
    <w:multiLevelType w:val="hybridMultilevel"/>
    <w:tmpl w:val="7C764510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616102"/>
    <w:multiLevelType w:val="hybridMultilevel"/>
    <w:tmpl w:val="C3042D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8E63AB6"/>
    <w:multiLevelType w:val="hybridMultilevel"/>
    <w:tmpl w:val="36720A62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A43A9"/>
    <w:multiLevelType w:val="hybridMultilevel"/>
    <w:tmpl w:val="F40CF2C2"/>
    <w:lvl w:ilvl="0" w:tplc="66FA2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6C"/>
    <w:rsid w:val="00002237"/>
    <w:rsid w:val="000206B0"/>
    <w:rsid w:val="000C31D5"/>
    <w:rsid w:val="000E3274"/>
    <w:rsid w:val="000E4792"/>
    <w:rsid w:val="000F4CD9"/>
    <w:rsid w:val="00145924"/>
    <w:rsid w:val="0017356F"/>
    <w:rsid w:val="001D0D57"/>
    <w:rsid w:val="001E10DA"/>
    <w:rsid w:val="001E796B"/>
    <w:rsid w:val="00215769"/>
    <w:rsid w:val="00251E6C"/>
    <w:rsid w:val="00253399"/>
    <w:rsid w:val="00291716"/>
    <w:rsid w:val="002E36AB"/>
    <w:rsid w:val="00341615"/>
    <w:rsid w:val="003634BB"/>
    <w:rsid w:val="003C0394"/>
    <w:rsid w:val="00406BEB"/>
    <w:rsid w:val="004B18C0"/>
    <w:rsid w:val="004D3EBE"/>
    <w:rsid w:val="005279E3"/>
    <w:rsid w:val="005A7D9C"/>
    <w:rsid w:val="005C38E8"/>
    <w:rsid w:val="005E2767"/>
    <w:rsid w:val="0064057E"/>
    <w:rsid w:val="006C32DB"/>
    <w:rsid w:val="00733757"/>
    <w:rsid w:val="00781C76"/>
    <w:rsid w:val="007B069B"/>
    <w:rsid w:val="00835DF5"/>
    <w:rsid w:val="008663E5"/>
    <w:rsid w:val="008B74C1"/>
    <w:rsid w:val="008D5116"/>
    <w:rsid w:val="008F2D05"/>
    <w:rsid w:val="009365A4"/>
    <w:rsid w:val="009543C8"/>
    <w:rsid w:val="009660B7"/>
    <w:rsid w:val="00971E59"/>
    <w:rsid w:val="009A3F98"/>
    <w:rsid w:val="009B7AFC"/>
    <w:rsid w:val="009E3F59"/>
    <w:rsid w:val="00A467E8"/>
    <w:rsid w:val="00A54B97"/>
    <w:rsid w:val="00A82DF2"/>
    <w:rsid w:val="00AB289F"/>
    <w:rsid w:val="00AB638C"/>
    <w:rsid w:val="00B33258"/>
    <w:rsid w:val="00B42D9E"/>
    <w:rsid w:val="00B5098A"/>
    <w:rsid w:val="00BD39DF"/>
    <w:rsid w:val="00BD77B2"/>
    <w:rsid w:val="00BE541B"/>
    <w:rsid w:val="00C40DDD"/>
    <w:rsid w:val="00C52B4C"/>
    <w:rsid w:val="00D10087"/>
    <w:rsid w:val="00D62AEC"/>
    <w:rsid w:val="00D73104"/>
    <w:rsid w:val="00D950C1"/>
    <w:rsid w:val="00D96BB4"/>
    <w:rsid w:val="00DB0B76"/>
    <w:rsid w:val="00DD760D"/>
    <w:rsid w:val="00E16B70"/>
    <w:rsid w:val="00E62932"/>
    <w:rsid w:val="00E96526"/>
    <w:rsid w:val="00F02DCE"/>
    <w:rsid w:val="00F35BFA"/>
    <w:rsid w:val="00F51DDF"/>
    <w:rsid w:val="00F65032"/>
    <w:rsid w:val="00FB4C88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7C230-3C58-4142-964C-36B7400E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51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5C38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38E8"/>
    <w:rPr>
      <w:rFonts w:cs="Times New Roman"/>
    </w:rPr>
  </w:style>
  <w:style w:type="table" w:styleId="a6">
    <w:name w:val="Table Grid"/>
    <w:basedOn w:val="a1"/>
    <w:uiPriority w:val="99"/>
    <w:rsid w:val="00E96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IX</vt:lpstr>
    </vt:vector>
  </TitlesOfParts>
  <Company>Я тебя люблю!</Company>
  <LinksUpToDate>false</LinksUpToDate>
  <CharactersWithSpaces>25702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IX</dc:title>
  <dc:subject/>
  <dc:creator>Анжелика!</dc:creator>
  <cp:keywords/>
  <dc:description/>
  <cp:lastModifiedBy>admin</cp:lastModifiedBy>
  <cp:revision>2</cp:revision>
  <dcterms:created xsi:type="dcterms:W3CDTF">2014-02-22T12:45:00Z</dcterms:created>
  <dcterms:modified xsi:type="dcterms:W3CDTF">2014-02-22T12:45:00Z</dcterms:modified>
</cp:coreProperties>
</file>