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Московский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государственный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университет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экономики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статистики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информатики</w:t>
      </w: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Тверской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филиал</w:t>
      </w: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Контрольная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дисциплине: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Кредитная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политика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кредитные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риски»</w:t>
      </w: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тему: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«Банковская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форма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кредита»</w:t>
      </w: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tabs>
          <w:tab w:val="left" w:pos="55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Выполнила: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Садикова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А.И.</w:t>
      </w:r>
    </w:p>
    <w:p w:rsidR="00214947" w:rsidRPr="00A74F57" w:rsidRDefault="00214947" w:rsidP="00594C68">
      <w:pPr>
        <w:tabs>
          <w:tab w:val="left" w:pos="55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З5-ФК-51</w:t>
      </w:r>
    </w:p>
    <w:p w:rsidR="00214947" w:rsidRPr="00A74F57" w:rsidRDefault="00214947" w:rsidP="00594C68">
      <w:pPr>
        <w:tabs>
          <w:tab w:val="left" w:pos="55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Проверила: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Танкова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Г.А.</w:t>
      </w:r>
    </w:p>
    <w:p w:rsidR="00214947" w:rsidRPr="00A74F57" w:rsidRDefault="00214947" w:rsidP="00594C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33246B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46B" w:rsidRPr="00A74F57" w:rsidRDefault="00214947" w:rsidP="00594C68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Тверь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2009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214947" w:rsidRPr="00A74F57" w:rsidRDefault="0033246B" w:rsidP="00594C68">
      <w:pPr>
        <w:pStyle w:val="aa"/>
        <w:spacing w:after="0" w:line="360" w:lineRule="auto"/>
        <w:ind w:left="0"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33246B" w:rsidRPr="00A74F57" w:rsidRDefault="0033246B" w:rsidP="00594C68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14947" w:rsidRPr="00A74F57" w:rsidRDefault="00214947" w:rsidP="00594C68">
      <w:pPr>
        <w:pStyle w:val="aa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Понятие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виды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</w:p>
    <w:p w:rsidR="00214947" w:rsidRPr="00A74F57" w:rsidRDefault="00214947" w:rsidP="00594C68">
      <w:pPr>
        <w:pStyle w:val="aa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Преимущества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сравнения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кредитом</w:t>
      </w:r>
    </w:p>
    <w:p w:rsidR="00214947" w:rsidRPr="00A74F57" w:rsidRDefault="00214947" w:rsidP="00594C68">
      <w:pPr>
        <w:pStyle w:val="aa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</w:p>
    <w:p w:rsidR="0033246B" w:rsidRPr="00A74F57" w:rsidRDefault="00214947" w:rsidP="00594C68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используемой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литератур</w:t>
      </w:r>
      <w:r w:rsidR="0033246B" w:rsidRPr="00A74F5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4947" w:rsidRPr="00A74F57" w:rsidRDefault="0033246B" w:rsidP="00594C68">
      <w:pPr>
        <w:pStyle w:val="aa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</w:t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ятие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гарантии</w:t>
      </w:r>
    </w:p>
    <w:p w:rsidR="0033246B" w:rsidRPr="00A74F57" w:rsidRDefault="0033246B" w:rsidP="00594C6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Банковская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способов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</w:rPr>
        <w:t>банк</w:t>
      </w:r>
      <w:r w:rsidR="00A74F57">
        <w:rPr>
          <w:rFonts w:ascii="Times New Roman" w:hAnsi="Times New Roman" w:cs="Times New Roman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иное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кредитное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(гарант)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выдает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просьбе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</w:rPr>
        <w:t>должника</w:t>
      </w:r>
      <w:r w:rsidR="00A74F57">
        <w:rPr>
          <w:rFonts w:ascii="Times New Roman" w:hAnsi="Times New Roman" w:cs="Times New Roman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(принципала)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письменное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уплатить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кредитору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(бенефициару)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денежную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уплате.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банковская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односторонней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возмездной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сделкой,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существенными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условиями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срок,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выдана,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сумма,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ограничивается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гаранта.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Основное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отличие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остальных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способов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банковская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зависит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основного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должна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исполнена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любом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бенефициара.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удовлетворения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бенефициара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стало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известно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исполнении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ином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прекращении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обеспечиваемых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немедленно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уведомляет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стороны,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предъявления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повторных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требований,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должен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исполнить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их.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бенефициара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предъявляться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письменной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форме,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указанием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основного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приложением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срок,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указанный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исполнении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приобретает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уплаченной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принципала.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Суммы,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уплаченные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условиями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взысканы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принципала.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гарантий</w:t>
      </w:r>
    </w:p>
    <w:p w:rsidR="00214947" w:rsidRPr="00A74F57" w:rsidRDefault="00214947" w:rsidP="00594C6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Платежная</w:t>
      </w:r>
      <w:r w:rsid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выставляется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качестве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платежных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покупателя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(принципала)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перед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продавцом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(бенефициаром).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применяются,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главным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осуществлении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расчетов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факту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(услуг)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Принципалом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применения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товарного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кредита.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безусловными,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такими,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предусматривают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платеж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первому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бенефициара.</w:t>
      </w:r>
    </w:p>
    <w:p w:rsidR="00214947" w:rsidRPr="00A74F57" w:rsidRDefault="00214947" w:rsidP="00594C6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исполнения</w:t>
      </w:r>
      <w:r w:rsid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уплатить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покупателю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оговоренные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суммы,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штрафы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невыполнения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неподобающего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продавцом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заключенному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контракту.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Наличие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существенно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укрепляет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договорные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отношения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покупателем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продавцом.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Покупатель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страхует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себя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риска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срыва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графиков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поставки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неподобающего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работ.</w:t>
      </w:r>
    </w:p>
    <w:p w:rsidR="00214947" w:rsidRPr="00A74F57" w:rsidRDefault="00214947" w:rsidP="00594C6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возврата</w:t>
      </w:r>
      <w:r w:rsid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платежа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возвратить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аванса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неиспользованной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части)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невыполнения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продавцом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поставке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товаров,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обусловленных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контрактом.</w:t>
      </w:r>
    </w:p>
    <w:p w:rsidR="00214947" w:rsidRPr="00A74F57" w:rsidRDefault="00214947" w:rsidP="00594C6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57">
        <w:rPr>
          <w:rFonts w:ascii="Times New Roman" w:hAnsi="Times New Roman"/>
          <w:i/>
          <w:iCs/>
          <w:sz w:val="28"/>
          <w:szCs w:val="28"/>
        </w:rPr>
        <w:t>Гарантия</w:t>
      </w:r>
      <w:r w:rsidR="00A74F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4F57">
        <w:rPr>
          <w:rFonts w:ascii="Times New Roman" w:hAnsi="Times New Roman"/>
          <w:i/>
          <w:iCs/>
          <w:sz w:val="28"/>
          <w:szCs w:val="28"/>
        </w:rPr>
        <w:t>возврата</w:t>
      </w:r>
      <w:r w:rsidR="00A74F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4F57">
        <w:rPr>
          <w:rFonts w:ascii="Times New Roman" w:hAnsi="Times New Roman"/>
          <w:i/>
          <w:iCs/>
          <w:sz w:val="28"/>
          <w:szCs w:val="28"/>
        </w:rPr>
        <w:t>кредита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-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применение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качестве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кредитных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операций.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Кредит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часто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связан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определенными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гарантиями,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выдаваемыми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самим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получателем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кредита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или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третьим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лицом.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банка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дает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кредитору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возможность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обеспечить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себе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возврат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кредита.</w:t>
      </w:r>
      <w:r w:rsidR="00A74F57">
        <w:rPr>
          <w:rFonts w:ascii="Times New Roman" w:hAnsi="Times New Roman"/>
          <w:sz w:val="28"/>
          <w:szCs w:val="28"/>
        </w:rPr>
        <w:t xml:space="preserve"> </w:t>
      </w:r>
    </w:p>
    <w:p w:rsidR="00214947" w:rsidRPr="00A74F57" w:rsidRDefault="00214947" w:rsidP="00594C6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Тендерная</w:t>
      </w:r>
      <w:r w:rsid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платежных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стороны-организатора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тендера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отношению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стороне,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делает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предложение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(оферент)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случае,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последний: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отказывается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предложения,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отменяет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заказ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торгов,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отказывается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подписать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дополнительные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</w:p>
    <w:p w:rsidR="00214947" w:rsidRPr="00A74F57" w:rsidRDefault="00214947" w:rsidP="00594C6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Таможенная</w:t>
      </w:r>
      <w:r w:rsid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используется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оплаты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таможенных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тарифов.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Данная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выдается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предприятиям-импортерам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таможенных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платежей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таможенным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органам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расходов,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штрафных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санкций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потерю,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порчу,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выдачу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разрешения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таможенных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установленных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сроков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вывоза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таможенного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склада.</w:t>
      </w:r>
    </w:p>
    <w:p w:rsidR="00214947" w:rsidRPr="00A74F57" w:rsidRDefault="00214947" w:rsidP="00594C6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74F57">
        <w:rPr>
          <w:rFonts w:ascii="Times New Roman" w:hAnsi="Times New Roman"/>
          <w:i/>
          <w:iCs/>
          <w:sz w:val="28"/>
          <w:szCs w:val="28"/>
        </w:rPr>
        <w:t>Авансовая</w:t>
      </w:r>
      <w:r w:rsidR="00A74F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4F57">
        <w:rPr>
          <w:rFonts w:ascii="Times New Roman" w:hAnsi="Times New Roman"/>
          <w:i/>
          <w:iCs/>
          <w:sz w:val="28"/>
          <w:szCs w:val="28"/>
        </w:rPr>
        <w:t>гарантия</w:t>
      </w:r>
      <w:r w:rsidR="00A74F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4F57">
        <w:rPr>
          <w:rFonts w:ascii="Times New Roman" w:hAnsi="Times New Roman"/>
          <w:i/>
          <w:iCs/>
          <w:sz w:val="28"/>
          <w:szCs w:val="28"/>
        </w:rPr>
        <w:t>-</w:t>
      </w:r>
      <w:r w:rsidR="00A74F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преследует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цель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применения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авансового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платежа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духе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договора,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заключенного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между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покупателем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продавцом.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Авансовый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платеж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должен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дать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поставщику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средства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для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того,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чтобы,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примеру,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закупить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материалы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детали,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доставить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машины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место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производства,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нанять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персонал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или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проделать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иную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подготовительную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работу.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Поскольку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эта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предусматривает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возврат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суммы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авансового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платежа,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случае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невыполнения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продавцом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своих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обязательств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предотвращает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нарушение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договора.</w:t>
      </w:r>
      <w:r w:rsidR="00A74F57">
        <w:rPr>
          <w:rFonts w:ascii="Times New Roman" w:hAnsi="Times New Roman"/>
          <w:sz w:val="28"/>
          <w:szCs w:val="28"/>
        </w:rPr>
        <w:t xml:space="preserve"> </w:t>
      </w:r>
    </w:p>
    <w:p w:rsidR="00214947" w:rsidRPr="00A74F57" w:rsidRDefault="00214947" w:rsidP="00594C6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57">
        <w:rPr>
          <w:rFonts w:ascii="Times New Roman" w:hAnsi="Times New Roman"/>
          <w:i/>
          <w:iCs/>
          <w:sz w:val="28"/>
          <w:szCs w:val="28"/>
        </w:rPr>
        <w:t>Пролонгация</w:t>
      </w:r>
      <w:r w:rsidRPr="00A74F57">
        <w:rPr>
          <w:rFonts w:ascii="Times New Roman" w:hAnsi="Times New Roman"/>
          <w:sz w:val="28"/>
          <w:szCs w:val="28"/>
        </w:rPr>
        <w:t>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Если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работа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истечения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срока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соответствующей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выполнена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полностью,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принципал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может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продлить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срок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действия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исполнения.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Если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он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это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сделает,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бенефициар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многих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случаях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требует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пролонгации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гарантирующего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банка.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Такое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требование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чаще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всего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сопровождается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ссылкой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то,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что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случае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отказа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гарантийная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сумма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должна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быть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выплачена.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Так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принципалу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зачастую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остается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ничего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иного,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кроме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согласия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пролонгацию.</w:t>
      </w:r>
      <w:r w:rsidR="00A74F57">
        <w:rPr>
          <w:rFonts w:ascii="Times New Roman" w:hAnsi="Times New Roman"/>
          <w:sz w:val="28"/>
          <w:szCs w:val="28"/>
        </w:rPr>
        <w:t xml:space="preserve"> </w:t>
      </w:r>
    </w:p>
    <w:p w:rsidR="00214947" w:rsidRPr="00A74F57" w:rsidRDefault="00214947" w:rsidP="00594C6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57">
        <w:rPr>
          <w:rFonts w:ascii="Times New Roman" w:hAnsi="Times New Roman"/>
          <w:i/>
          <w:iCs/>
          <w:sz w:val="28"/>
          <w:szCs w:val="28"/>
        </w:rPr>
        <w:t>Договорная</w:t>
      </w:r>
      <w:r w:rsidR="00A74F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4F57">
        <w:rPr>
          <w:rFonts w:ascii="Times New Roman" w:hAnsi="Times New Roman"/>
          <w:i/>
          <w:iCs/>
          <w:sz w:val="28"/>
          <w:szCs w:val="28"/>
        </w:rPr>
        <w:t>гарантия.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обеспечивает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платежи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договорам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любого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рода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(например,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договор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использовании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кредитных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карточек,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договор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относительно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выплаты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конвенционального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штрафа)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.</w:t>
      </w:r>
      <w:r w:rsidR="00A74F57">
        <w:rPr>
          <w:rFonts w:ascii="Times New Roman" w:hAnsi="Times New Roman"/>
          <w:sz w:val="28"/>
          <w:szCs w:val="28"/>
        </w:rPr>
        <w:t xml:space="preserve"> </w:t>
      </w:r>
    </w:p>
    <w:p w:rsidR="00214947" w:rsidRPr="00A74F57" w:rsidRDefault="00214947" w:rsidP="00594C6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57">
        <w:rPr>
          <w:rFonts w:ascii="Times New Roman" w:hAnsi="Times New Roman"/>
          <w:i/>
          <w:iCs/>
          <w:sz w:val="28"/>
          <w:szCs w:val="28"/>
        </w:rPr>
        <w:t>Судебная</w:t>
      </w:r>
      <w:r w:rsidR="00A74F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4F57">
        <w:rPr>
          <w:rFonts w:ascii="Times New Roman" w:hAnsi="Times New Roman"/>
          <w:i/>
          <w:iCs/>
          <w:sz w:val="28"/>
          <w:szCs w:val="28"/>
        </w:rPr>
        <w:t>гарантия.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обеспечивает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издержки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процесса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сторон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ходе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судебных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производств,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будь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пользу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судебных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инстанций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или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сторон.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наложения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ареста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имущество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(или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иска)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Если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имущественные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ценности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дебитора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накладывается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арест,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он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может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выставить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гарантию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иска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(например,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солидарное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поручительство)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После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чего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ему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вновь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предоставляется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право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распоряжения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этими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ценностями.</w:t>
      </w:r>
      <w:r w:rsidR="00A74F57">
        <w:rPr>
          <w:rFonts w:ascii="Times New Roman" w:hAnsi="Times New Roman"/>
          <w:sz w:val="28"/>
          <w:szCs w:val="28"/>
        </w:rPr>
        <w:t xml:space="preserve"> </w:t>
      </w:r>
    </w:p>
    <w:p w:rsidR="00214947" w:rsidRPr="00A74F57" w:rsidRDefault="00214947" w:rsidP="00594C6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57">
        <w:rPr>
          <w:rFonts w:ascii="Times New Roman" w:hAnsi="Times New Roman"/>
          <w:i/>
          <w:iCs/>
          <w:sz w:val="28"/>
          <w:szCs w:val="28"/>
        </w:rPr>
        <w:t>Платежная</w:t>
      </w:r>
      <w:r w:rsidR="00A74F5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4F57">
        <w:rPr>
          <w:rFonts w:ascii="Times New Roman" w:hAnsi="Times New Roman"/>
          <w:i/>
          <w:iCs/>
          <w:sz w:val="28"/>
          <w:szCs w:val="28"/>
        </w:rPr>
        <w:t>гарантия.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помощью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платежной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экспортер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может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обеспечить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свое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требование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оплаты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покупной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цены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покупателем.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Базой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для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такой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могут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быть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займы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или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прочие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обязательства.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Своей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функцией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обеспечения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платежа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платежная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отличается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от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классически,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обеспечивающей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договорное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обязательство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банковской</w:t>
      </w:r>
      <w:r w:rsidR="00A74F57">
        <w:rPr>
          <w:rFonts w:ascii="Times New Roman" w:hAnsi="Times New Roman"/>
          <w:sz w:val="28"/>
          <w:szCs w:val="28"/>
        </w:rPr>
        <w:t xml:space="preserve"> </w:t>
      </w:r>
      <w:r w:rsidRPr="00A74F57">
        <w:rPr>
          <w:rFonts w:ascii="Times New Roman" w:hAnsi="Times New Roman"/>
          <w:sz w:val="28"/>
          <w:szCs w:val="28"/>
        </w:rPr>
        <w:t>гарантии.</w:t>
      </w:r>
      <w:r w:rsidR="00A74F57">
        <w:rPr>
          <w:rFonts w:ascii="Times New Roman" w:hAnsi="Times New Roman"/>
          <w:sz w:val="28"/>
          <w:szCs w:val="28"/>
        </w:rPr>
        <w:t xml:space="preserve"> </w:t>
      </w:r>
    </w:p>
    <w:p w:rsidR="0033246B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Привлекательность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клиентов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отвлекает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денежные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ресурсы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получить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контрагента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товарный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обеспечением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выступает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банковская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оплата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контракту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товаров/услуг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осуществляться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отсрочкой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срок,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выдана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плата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платы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кредиту.</w:t>
      </w:r>
    </w:p>
    <w:p w:rsidR="0033246B" w:rsidRPr="00A74F57" w:rsidRDefault="0033246B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4947" w:rsidRPr="00A74F57" w:rsidRDefault="0033246B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Преимущества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банковских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гарантий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сравнению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кредитами</w:t>
      </w:r>
    </w:p>
    <w:p w:rsidR="0033246B" w:rsidRPr="00A74F57" w:rsidRDefault="0033246B" w:rsidP="00594C68">
      <w:pPr>
        <w:pStyle w:val="a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4947" w:rsidRPr="00A74F57" w:rsidRDefault="00214947" w:rsidP="00594C6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Экономия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банковские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дешевле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обычных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кредитов.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этом,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поставщики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предоставлять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отсрочку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банковской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гарантией,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увеличивая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цену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товара.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4947" w:rsidRPr="00A74F57" w:rsidRDefault="00214947" w:rsidP="00594C6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Сокращение</w:t>
      </w:r>
      <w:r w:rsid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рисков</w:t>
      </w:r>
      <w:r w:rsid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по</w:t>
      </w:r>
      <w:r w:rsid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сделкам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производя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предоплату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поставщику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принимаете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непоставки.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банковской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Вы,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Ваш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контрагент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можете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спокойными.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Аналогично,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исполняете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заказ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покупателя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получив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аванса,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рискуете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понести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убытки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неисполнения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покупателем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платежных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обязательств.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банковской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позволит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Вашему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покупателю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доверить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денежные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авансом.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4947" w:rsidRPr="00A74F57" w:rsidRDefault="00214947" w:rsidP="00594C6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Возможность</w:t>
      </w:r>
      <w:r w:rsid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сочетания</w:t>
      </w:r>
      <w:r w:rsid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с</w:t>
      </w:r>
      <w:r w:rsid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другими</w:t>
      </w:r>
      <w:r w:rsid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кредитными</w:t>
      </w:r>
      <w:r w:rsid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A74F5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продуктами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можете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наступлении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поставленное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(обеспеченное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гарантией)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кредитные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</w:rPr>
        <w:t>ресурсы.</w:t>
      </w:r>
      <w:r w:rsidR="00A7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Банковская</w:t>
      </w:r>
      <w:r w:rsid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гарантия</w:t>
      </w:r>
      <w:r w:rsid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r w:rsid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кредитный</w:t>
      </w:r>
      <w:r w:rsid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инструментом,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обеспечивающим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входят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сферу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документарных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операций,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кредитный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продукт,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практике.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поручительств,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представляющих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акцессорные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абстрактными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обязательствами,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независимыми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сделки,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предоставляются,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регулируются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банка-гаранта,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иное.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гарантию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кредитный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банк-гарант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выдаче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поручению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бенефициара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фактически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денежной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форме,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платеж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бенефициара,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гарантии.</w:t>
      </w:r>
    </w:p>
    <w:p w:rsidR="0033246B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подход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рассмотрению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вопроса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поручению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аналогичен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подходу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рассмотрению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кредитной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заявки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потенциального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заемщика.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Предоставляя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заинтересован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возвратности,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получении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дохода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процентов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пользование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заемными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средствами.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платности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(банковское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вознаграждение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выдачу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значительно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кредитных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ставок,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немаловажным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фактором,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определяющим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финансовую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привлекательность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этой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операции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клиентов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банка)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заинтересован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обязательство,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обеспеченное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гарантией,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исполнялось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принципалом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условиями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основного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договора.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соответствующего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условиям,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должен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возмещения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выплаченных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сумм.</w:t>
      </w:r>
    </w:p>
    <w:p w:rsidR="00214947" w:rsidRPr="00A74F57" w:rsidRDefault="0033246B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  <w:t>3.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947"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гарантии</w:t>
      </w:r>
    </w:p>
    <w:p w:rsidR="0033246B" w:rsidRPr="00A74F57" w:rsidRDefault="0033246B" w:rsidP="00594C68">
      <w:pPr>
        <w:pStyle w:val="aa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Банк-гарант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гарантию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просьбы/поручения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весьма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сходен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списком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заявки.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</w:t>
      </w:r>
      <w:r w:rsid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214947" w:rsidRPr="00A74F57" w:rsidRDefault="00214947" w:rsidP="00594C68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просьба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фирменном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бланке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(организации)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бухгалтера,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указаны: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сумма,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предполагаемого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заемщика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банком,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обеспечиваемых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гарантией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банка;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краткая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(организации),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партнерах,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перспективах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развития.</w:t>
      </w:r>
    </w:p>
    <w:p w:rsidR="00214947" w:rsidRPr="00A74F57" w:rsidRDefault="00214947" w:rsidP="00594C68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потенциальных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учредительные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(нотариально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заверенные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копии):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учредительный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регистрации,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карточка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подписей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оттиском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печати,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удостоверенная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нотариусом.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подтверждении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полномочий.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Справки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постановке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налоговый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учет,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фондов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пенсионного,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страхования,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страхования.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обеспечения</w:t>
      </w:r>
      <w:r w:rsid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гарантии:</w:t>
      </w:r>
    </w:p>
    <w:p w:rsidR="00214947" w:rsidRPr="00A74F57" w:rsidRDefault="00214947" w:rsidP="00594C6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финансовые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активы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заемщика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(залог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имущественных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денежные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депозиты)</w:t>
      </w:r>
    </w:p>
    <w:p w:rsidR="00214947" w:rsidRPr="00A74F57" w:rsidRDefault="00214947" w:rsidP="00594C6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недвижимое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движимое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(залог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целостных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имущественных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комплексов,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зданий,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сооружений,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квартир,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оборудования,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транспортных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товаров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обороте)</w:t>
      </w:r>
    </w:p>
    <w:p w:rsidR="00214947" w:rsidRPr="00A74F57" w:rsidRDefault="00214947" w:rsidP="00594C6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имущественные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контрактам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денежной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выручки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товара)</w:t>
      </w:r>
    </w:p>
    <w:p w:rsidR="00214947" w:rsidRPr="00A74F57" w:rsidRDefault="00214947" w:rsidP="00594C6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банков</w:t>
      </w:r>
    </w:p>
    <w:p w:rsidR="00214947" w:rsidRPr="00A74F57" w:rsidRDefault="00214947" w:rsidP="00594C6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sz w:val="28"/>
          <w:szCs w:val="28"/>
          <w:lang w:eastAsia="ru-RU"/>
        </w:rPr>
        <w:t>финансовое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(имущественное)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поручительство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третьих</w:t>
      </w:r>
      <w:r w:rsidR="00A74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sz w:val="28"/>
          <w:szCs w:val="28"/>
          <w:lang w:eastAsia="ru-RU"/>
        </w:rPr>
        <w:t>лиц.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предшествующего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принятию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комплексный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рассмотрению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гарантийной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сделки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направлениям: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условий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основного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договора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предполагаемой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Учитывая,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обеспечительным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инструментом,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банк-гарант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подлежащего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гарантированию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контракта/договора,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заключаемого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деловым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партнером.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весьма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существенна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контракта,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предусматривающего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независимость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гарантийного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обслуживающего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обязательным.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гарантию,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тексте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сформулирован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бенефициаром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платежа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бенефициара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чрезвычайно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корректность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гарантийной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терминологии.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финансового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состояния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принципала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потенциального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базе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динамике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программно-аналитические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ТЭО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договоров,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денежных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потоках,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прогнозы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основному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договору,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проверять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основному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договору.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3..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возникающих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банка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рисков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связи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предоставлением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гарантии.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Заключение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договора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предоставлении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обеспечительных</w:t>
      </w:r>
      <w:r w:rsid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договоров.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Остановимся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последствиях,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вызванных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инструкций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выдачу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выдачи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бенефициара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финансовым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предоставленным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обеспечением,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операции,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основному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договору.</w:t>
      </w:r>
    </w:p>
    <w:p w:rsidR="00214947" w:rsidRPr="00A74F57" w:rsidRDefault="00214947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Хотелось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обратить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принципиальное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гарантийной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кредитной.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ухудшении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заемщика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заемщиком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потребовать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досрочного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кредита,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невозврата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обратить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гарантийной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банка-гаранта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досрочно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прекращены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бенефициара.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регрессного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платежа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гарантии.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ухудшении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предпринять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шаги,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потребовать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принципала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увеличить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уменьшения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потерь.</w:t>
      </w:r>
    </w:p>
    <w:p w:rsidR="00214947" w:rsidRPr="00A74F57" w:rsidRDefault="0033246B" w:rsidP="00594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74F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r w:rsid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используемой</w:t>
      </w:r>
      <w:r w:rsid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</w:t>
      </w:r>
    </w:p>
    <w:p w:rsidR="00214947" w:rsidRPr="00A74F57" w:rsidRDefault="00214947" w:rsidP="00594C6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947" w:rsidRPr="00A74F57" w:rsidRDefault="00214947" w:rsidP="00594C68">
      <w:pPr>
        <w:pStyle w:val="aa"/>
        <w:numPr>
          <w:ilvl w:val="1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Власов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В.А.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«Внедрение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стандартов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МСФО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организации»,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2006г.</w:t>
      </w:r>
    </w:p>
    <w:p w:rsidR="00214947" w:rsidRPr="00A74F57" w:rsidRDefault="00214947" w:rsidP="00594C68">
      <w:pPr>
        <w:pStyle w:val="aa"/>
        <w:numPr>
          <w:ilvl w:val="1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И.Л.«Сравнительный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принципов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финансовой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МСФО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российским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ПБУ»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2007г.</w:t>
      </w:r>
    </w:p>
    <w:p w:rsidR="00214947" w:rsidRPr="00A74F57" w:rsidRDefault="00214947" w:rsidP="00594C68">
      <w:pPr>
        <w:pStyle w:val="aa"/>
        <w:numPr>
          <w:ilvl w:val="1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Лаврушин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О.И.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«Деньги.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Банки»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2006г.</w:t>
      </w:r>
    </w:p>
    <w:p w:rsidR="00214947" w:rsidRPr="00A74F57" w:rsidRDefault="00214947" w:rsidP="00594C68">
      <w:pPr>
        <w:pStyle w:val="aa"/>
        <w:numPr>
          <w:ilvl w:val="1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Каширин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А.И.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Банковское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дело»</w:t>
      </w:r>
      <w:r w:rsid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2008г.</w:t>
      </w:r>
      <w:bookmarkStart w:id="0" w:name="_GoBack"/>
      <w:bookmarkEnd w:id="0"/>
    </w:p>
    <w:sectPr w:rsidR="00214947" w:rsidRPr="00A74F57" w:rsidSect="0033246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8D" w:rsidRDefault="00CB6C8D" w:rsidP="0094306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6C8D" w:rsidRDefault="00CB6C8D" w:rsidP="0094306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47" w:rsidRDefault="00214947">
    <w:pPr>
      <w:pStyle w:val="a8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A2860">
      <w:rPr>
        <w:noProof/>
      </w:rPr>
      <w:t>1</w:t>
    </w:r>
    <w:r>
      <w:fldChar w:fldCharType="end"/>
    </w:r>
  </w:p>
  <w:p w:rsidR="00214947" w:rsidRDefault="00214947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8D" w:rsidRDefault="00CB6C8D" w:rsidP="0094306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6C8D" w:rsidRDefault="00CB6C8D" w:rsidP="0094306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794"/>
    <w:multiLevelType w:val="hybridMultilevel"/>
    <w:tmpl w:val="790A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36212"/>
    <w:multiLevelType w:val="hybridMultilevel"/>
    <w:tmpl w:val="8C703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3F06A0"/>
    <w:multiLevelType w:val="multilevel"/>
    <w:tmpl w:val="AD5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829F0"/>
    <w:multiLevelType w:val="hybridMultilevel"/>
    <w:tmpl w:val="3076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010F"/>
    <w:multiLevelType w:val="multilevel"/>
    <w:tmpl w:val="8F12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B1623"/>
    <w:multiLevelType w:val="multilevel"/>
    <w:tmpl w:val="C56C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53A9B"/>
    <w:multiLevelType w:val="multilevel"/>
    <w:tmpl w:val="7DF6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D0B3A"/>
    <w:multiLevelType w:val="hybridMultilevel"/>
    <w:tmpl w:val="DC98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164D0"/>
    <w:multiLevelType w:val="hybridMultilevel"/>
    <w:tmpl w:val="DE2E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A31E1D"/>
    <w:multiLevelType w:val="multilevel"/>
    <w:tmpl w:val="F50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E3783"/>
    <w:multiLevelType w:val="hybridMultilevel"/>
    <w:tmpl w:val="CF32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47517D"/>
    <w:multiLevelType w:val="multilevel"/>
    <w:tmpl w:val="CA9C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C3D13"/>
    <w:multiLevelType w:val="hybridMultilevel"/>
    <w:tmpl w:val="8F34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F553E"/>
    <w:multiLevelType w:val="hybridMultilevel"/>
    <w:tmpl w:val="CD38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11955"/>
    <w:multiLevelType w:val="multilevel"/>
    <w:tmpl w:val="FD4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B4324"/>
    <w:multiLevelType w:val="hybridMultilevel"/>
    <w:tmpl w:val="29DE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601F2B"/>
    <w:multiLevelType w:val="multilevel"/>
    <w:tmpl w:val="6E5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36BC0"/>
    <w:multiLevelType w:val="multilevel"/>
    <w:tmpl w:val="CF1E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150"/>
    <w:rsid w:val="001B14EF"/>
    <w:rsid w:val="001C581E"/>
    <w:rsid w:val="001F601C"/>
    <w:rsid w:val="00200F3F"/>
    <w:rsid w:val="00214947"/>
    <w:rsid w:val="00303307"/>
    <w:rsid w:val="0033246B"/>
    <w:rsid w:val="00594C68"/>
    <w:rsid w:val="005E3A42"/>
    <w:rsid w:val="005E6531"/>
    <w:rsid w:val="00636138"/>
    <w:rsid w:val="006A26BE"/>
    <w:rsid w:val="006A313D"/>
    <w:rsid w:val="007E0095"/>
    <w:rsid w:val="008967B3"/>
    <w:rsid w:val="008A1E62"/>
    <w:rsid w:val="008B63A1"/>
    <w:rsid w:val="008E2150"/>
    <w:rsid w:val="00942F67"/>
    <w:rsid w:val="0094306C"/>
    <w:rsid w:val="00A056AE"/>
    <w:rsid w:val="00A55A22"/>
    <w:rsid w:val="00A74F57"/>
    <w:rsid w:val="00AE0CF5"/>
    <w:rsid w:val="00B30D0D"/>
    <w:rsid w:val="00C32CB3"/>
    <w:rsid w:val="00CB6C8D"/>
    <w:rsid w:val="00CE1D5D"/>
    <w:rsid w:val="00D521F9"/>
    <w:rsid w:val="00D66D9D"/>
    <w:rsid w:val="00E260AC"/>
    <w:rsid w:val="00E60B37"/>
    <w:rsid w:val="00E806C9"/>
    <w:rsid w:val="00E96C78"/>
    <w:rsid w:val="00FA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9E5064-5D0F-417B-8E97-343B4CFB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F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5A2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E2150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A2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E2150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downloadb">
    <w:name w:val="download_b"/>
    <w:basedOn w:val="a"/>
    <w:uiPriority w:val="99"/>
    <w:rsid w:val="00A55A22"/>
    <w:pPr>
      <w:spacing w:before="100" w:beforeAutospacing="1" w:after="100" w:afterAutospacing="1" w:line="240" w:lineRule="auto"/>
    </w:pPr>
    <w:rPr>
      <w:rFonts w:ascii="Verdana" w:hAnsi="Verdana" w:cs="Verdana"/>
      <w:color w:val="616161"/>
      <w:sz w:val="21"/>
      <w:szCs w:val="21"/>
      <w:lang w:eastAsia="ru-RU"/>
    </w:rPr>
  </w:style>
  <w:style w:type="character" w:styleId="a3">
    <w:name w:val="Hyperlink"/>
    <w:uiPriority w:val="99"/>
    <w:semiHidden/>
    <w:rsid w:val="008E215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E215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toctoggle">
    <w:name w:val="toctoggle"/>
    <w:uiPriority w:val="99"/>
    <w:rsid w:val="008E2150"/>
    <w:rPr>
      <w:rFonts w:cs="Times New Roman"/>
    </w:rPr>
  </w:style>
  <w:style w:type="character" w:customStyle="1" w:styleId="tocnumber">
    <w:name w:val="tocnumber"/>
    <w:uiPriority w:val="99"/>
    <w:rsid w:val="008E2150"/>
    <w:rPr>
      <w:rFonts w:cs="Times New Roman"/>
    </w:rPr>
  </w:style>
  <w:style w:type="character" w:customStyle="1" w:styleId="toctext">
    <w:name w:val="toctext"/>
    <w:uiPriority w:val="99"/>
    <w:rsid w:val="008E2150"/>
    <w:rPr>
      <w:rFonts w:cs="Times New Roman"/>
    </w:rPr>
  </w:style>
  <w:style w:type="character" w:customStyle="1" w:styleId="editsection">
    <w:name w:val="editsection"/>
    <w:uiPriority w:val="99"/>
    <w:rsid w:val="008E2150"/>
    <w:rPr>
      <w:rFonts w:cs="Times New Roman"/>
    </w:rPr>
  </w:style>
  <w:style w:type="character" w:customStyle="1" w:styleId="mw-headline">
    <w:name w:val="mw-headline"/>
    <w:uiPriority w:val="99"/>
    <w:rsid w:val="008E2150"/>
    <w:rPr>
      <w:rFonts w:cs="Times New Roman"/>
    </w:rPr>
  </w:style>
  <w:style w:type="character" w:styleId="a5">
    <w:name w:val="Strong"/>
    <w:uiPriority w:val="99"/>
    <w:qFormat/>
    <w:rsid w:val="008E2150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rsid w:val="0094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4306C"/>
    <w:rPr>
      <w:rFonts w:cs="Times New Roman"/>
    </w:rPr>
  </w:style>
  <w:style w:type="paragraph" w:styleId="a8">
    <w:name w:val="footer"/>
    <w:basedOn w:val="a"/>
    <w:link w:val="a9"/>
    <w:uiPriority w:val="99"/>
    <w:rsid w:val="0094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4306C"/>
    <w:rPr>
      <w:rFonts w:cs="Times New Roman"/>
    </w:rPr>
  </w:style>
  <w:style w:type="paragraph" w:styleId="aa">
    <w:name w:val="List Paragraph"/>
    <w:basedOn w:val="a"/>
    <w:uiPriority w:val="99"/>
    <w:qFormat/>
    <w:rsid w:val="00A056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экономики статистики и информатики</vt:lpstr>
    </vt:vector>
  </TitlesOfParts>
  <Company>Microsoft</Company>
  <LinksUpToDate>false</LinksUpToDate>
  <CharactersWithSpaces>14716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экономики статистики и информатики</dc:title>
  <dc:subject/>
  <dc:creator>Admin</dc:creator>
  <cp:keywords/>
  <dc:description/>
  <cp:lastModifiedBy>admin</cp:lastModifiedBy>
  <cp:revision>2</cp:revision>
  <cp:lastPrinted>2009-10-28T14:07:00Z</cp:lastPrinted>
  <dcterms:created xsi:type="dcterms:W3CDTF">2014-04-26T01:25:00Z</dcterms:created>
  <dcterms:modified xsi:type="dcterms:W3CDTF">2014-04-26T01:25:00Z</dcterms:modified>
</cp:coreProperties>
</file>