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AE" w:rsidRPr="00A26D20" w:rsidRDefault="002F08AE" w:rsidP="00A26D20">
      <w:pPr>
        <w:widowControl w:val="0"/>
        <w:spacing w:line="360" w:lineRule="auto"/>
        <w:ind w:firstLine="709"/>
        <w:jc w:val="both"/>
        <w:rPr>
          <w:b/>
          <w:sz w:val="28"/>
          <w:szCs w:val="32"/>
        </w:rPr>
      </w:pPr>
      <w:r w:rsidRPr="00A26D20">
        <w:rPr>
          <w:b/>
          <w:sz w:val="28"/>
          <w:szCs w:val="32"/>
        </w:rPr>
        <w:t>Содержание</w:t>
      </w:r>
    </w:p>
    <w:p w:rsidR="00A26D20" w:rsidRPr="00A26D20" w:rsidRDefault="00A26D20" w:rsidP="00A26D20">
      <w:pPr>
        <w:pStyle w:val="12"/>
        <w:widowControl w:val="0"/>
        <w:tabs>
          <w:tab w:val="right" w:leader="dot" w:pos="9628"/>
        </w:tabs>
        <w:spacing w:line="360" w:lineRule="auto"/>
        <w:rPr>
          <w:sz w:val="28"/>
          <w:szCs w:val="28"/>
        </w:rPr>
      </w:pPr>
    </w:p>
    <w:p w:rsidR="00A26D20" w:rsidRPr="00A26D20" w:rsidRDefault="00A26D20" w:rsidP="00503718">
      <w:pPr>
        <w:widowControl w:val="0"/>
        <w:spacing w:line="360" w:lineRule="auto"/>
        <w:jc w:val="both"/>
        <w:rPr>
          <w:sz w:val="28"/>
          <w:szCs w:val="28"/>
        </w:rPr>
      </w:pPr>
      <w:r w:rsidRPr="00A26D20">
        <w:rPr>
          <w:sz w:val="28"/>
          <w:szCs w:val="28"/>
        </w:rPr>
        <w:t>Вопрос №5. Обеспечение безопасности продовольственного сырья – фактор, опреде</w:t>
      </w:r>
      <w:r>
        <w:rPr>
          <w:sz w:val="28"/>
          <w:szCs w:val="28"/>
        </w:rPr>
        <w:t>ляющий состояние здоровья людей</w:t>
      </w:r>
    </w:p>
    <w:p w:rsidR="00A26D20" w:rsidRPr="00A26D20" w:rsidRDefault="00A26D20" w:rsidP="00503718">
      <w:pPr>
        <w:widowControl w:val="0"/>
        <w:spacing w:line="360" w:lineRule="auto"/>
        <w:jc w:val="both"/>
        <w:rPr>
          <w:sz w:val="28"/>
          <w:szCs w:val="28"/>
        </w:rPr>
      </w:pPr>
      <w:r w:rsidRPr="00A26D20">
        <w:rPr>
          <w:sz w:val="28"/>
          <w:szCs w:val="28"/>
        </w:rPr>
        <w:t>Вопрос №16. Алюминий: физиологическая функция и причины накопления в организме, ос</w:t>
      </w:r>
      <w:r>
        <w:rPr>
          <w:sz w:val="28"/>
          <w:szCs w:val="28"/>
        </w:rPr>
        <w:t>новные проявления интоксикации</w:t>
      </w:r>
    </w:p>
    <w:p w:rsidR="00A26D20" w:rsidRPr="00A26D20" w:rsidRDefault="00A26D20" w:rsidP="00503718">
      <w:pPr>
        <w:widowControl w:val="0"/>
        <w:spacing w:line="360" w:lineRule="auto"/>
        <w:jc w:val="both"/>
        <w:rPr>
          <w:sz w:val="28"/>
          <w:szCs w:val="28"/>
        </w:rPr>
      </w:pPr>
      <w:r w:rsidRPr="00A26D20">
        <w:rPr>
          <w:sz w:val="28"/>
          <w:szCs w:val="28"/>
        </w:rPr>
        <w:t xml:space="preserve">Вопрос №26. Бактериальные токсины (стафилококковый энтеротоксин, ботулотоксины, и др.). Причины </w:t>
      </w:r>
      <w:r>
        <w:rPr>
          <w:sz w:val="28"/>
          <w:szCs w:val="28"/>
        </w:rPr>
        <w:t>загрязнения пищевых продуктов</w:t>
      </w:r>
    </w:p>
    <w:p w:rsidR="00A26D20" w:rsidRPr="00A26D20" w:rsidRDefault="00A26D20" w:rsidP="00503718">
      <w:pPr>
        <w:widowControl w:val="0"/>
        <w:spacing w:line="360" w:lineRule="auto"/>
        <w:jc w:val="both"/>
        <w:rPr>
          <w:sz w:val="28"/>
          <w:szCs w:val="28"/>
        </w:rPr>
      </w:pPr>
      <w:r w:rsidRPr="00A26D20">
        <w:rPr>
          <w:sz w:val="28"/>
          <w:szCs w:val="28"/>
        </w:rPr>
        <w:t>Вопрос №33. Продукты питани</w:t>
      </w:r>
      <w:r>
        <w:rPr>
          <w:sz w:val="28"/>
          <w:szCs w:val="28"/>
        </w:rPr>
        <w:t>я, содержание биогенные амины</w:t>
      </w:r>
    </w:p>
    <w:p w:rsidR="00A26D20" w:rsidRPr="00A26D20" w:rsidRDefault="00A26D20" w:rsidP="00503718">
      <w:pPr>
        <w:widowControl w:val="0"/>
        <w:spacing w:line="360" w:lineRule="auto"/>
        <w:jc w:val="both"/>
        <w:rPr>
          <w:sz w:val="28"/>
          <w:szCs w:val="28"/>
        </w:rPr>
      </w:pPr>
      <w:r w:rsidRPr="00A26D20">
        <w:rPr>
          <w:sz w:val="28"/>
          <w:szCs w:val="28"/>
        </w:rPr>
        <w:t xml:space="preserve">Задача №46. Идентифицировать загрязняющие вещества в твороге и творожных изделиях. Указать допустимые уровни, объяснить пути </w:t>
      </w:r>
      <w:r>
        <w:rPr>
          <w:sz w:val="28"/>
          <w:szCs w:val="28"/>
        </w:rPr>
        <w:t>попадания токсичных элементов</w:t>
      </w:r>
    </w:p>
    <w:p w:rsidR="00A26D20" w:rsidRPr="00A26D20" w:rsidRDefault="00A26D20" w:rsidP="00503718">
      <w:pPr>
        <w:widowControl w:val="0"/>
        <w:spacing w:line="360" w:lineRule="auto"/>
        <w:jc w:val="both"/>
        <w:rPr>
          <w:sz w:val="28"/>
          <w:szCs w:val="28"/>
        </w:rPr>
      </w:pPr>
      <w:r w:rsidRPr="00A26D20">
        <w:rPr>
          <w:sz w:val="28"/>
          <w:szCs w:val="28"/>
        </w:rPr>
        <w:t xml:space="preserve">Задача №55. Идентифицировать загрязняющие вещества в хлебе и булочных изделиях. Указать допустимые уровни, объяснить пути </w:t>
      </w:r>
      <w:r>
        <w:rPr>
          <w:sz w:val="28"/>
          <w:szCs w:val="28"/>
        </w:rPr>
        <w:t>попадания токсичных элементов</w:t>
      </w:r>
    </w:p>
    <w:p w:rsidR="00BF3D86" w:rsidRDefault="00A26D20" w:rsidP="00503718">
      <w:pPr>
        <w:widowControl w:val="0"/>
        <w:spacing w:line="360" w:lineRule="auto"/>
        <w:jc w:val="both"/>
        <w:rPr>
          <w:sz w:val="28"/>
          <w:szCs w:val="28"/>
          <w:lang w:val="en-US"/>
        </w:rPr>
      </w:pPr>
      <w:r w:rsidRPr="00A26D20">
        <w:rPr>
          <w:sz w:val="28"/>
          <w:szCs w:val="28"/>
        </w:rPr>
        <w:t>Спи</w:t>
      </w:r>
      <w:r>
        <w:rPr>
          <w:sz w:val="28"/>
          <w:szCs w:val="28"/>
        </w:rPr>
        <w:t>сок использованной литературы</w:t>
      </w:r>
    </w:p>
    <w:p w:rsidR="00503718" w:rsidRPr="00503718" w:rsidRDefault="00503718" w:rsidP="00503718">
      <w:pPr>
        <w:widowControl w:val="0"/>
        <w:spacing w:line="360" w:lineRule="auto"/>
        <w:jc w:val="both"/>
        <w:rPr>
          <w:sz w:val="28"/>
          <w:szCs w:val="32"/>
          <w:lang w:val="en-US"/>
        </w:rPr>
      </w:pPr>
    </w:p>
    <w:p w:rsidR="002F08AE" w:rsidRPr="00A26D20" w:rsidRDefault="002F08AE" w:rsidP="00A26D20">
      <w:pPr>
        <w:pStyle w:val="1"/>
        <w:keepNext w:val="0"/>
        <w:widowControl w:val="0"/>
        <w:spacing w:before="0" w:after="0" w:line="360" w:lineRule="auto"/>
        <w:ind w:firstLine="709"/>
        <w:jc w:val="both"/>
        <w:rPr>
          <w:rFonts w:ascii="Times New Roman" w:hAnsi="Times New Roman" w:cs="Times New Roman"/>
          <w:sz w:val="28"/>
        </w:rPr>
      </w:pPr>
      <w:r w:rsidRPr="00A26D20">
        <w:rPr>
          <w:rFonts w:ascii="Times New Roman" w:hAnsi="Times New Roman"/>
          <w:sz w:val="28"/>
        </w:rPr>
        <w:br w:type="page"/>
      </w:r>
      <w:bookmarkStart w:id="0" w:name="_Toc130920752"/>
      <w:r w:rsidRPr="00A26D20">
        <w:rPr>
          <w:rFonts w:ascii="Times New Roman" w:hAnsi="Times New Roman" w:cs="Times New Roman"/>
          <w:sz w:val="28"/>
        </w:rPr>
        <w:t>Вопрос №5. Обеспечение безопасности продовольственного сырья – фактор, определяющий состояние здоровья людей</w:t>
      </w:r>
      <w:bookmarkEnd w:id="0"/>
    </w:p>
    <w:p w:rsidR="003860CD" w:rsidRPr="00A26D20" w:rsidRDefault="003860CD" w:rsidP="00A26D20">
      <w:pPr>
        <w:widowControl w:val="0"/>
        <w:spacing w:line="360" w:lineRule="auto"/>
        <w:ind w:firstLine="709"/>
        <w:jc w:val="both"/>
        <w:rPr>
          <w:sz w:val="28"/>
        </w:rPr>
      </w:pPr>
    </w:p>
    <w:p w:rsidR="003860CD" w:rsidRPr="00A26D20" w:rsidRDefault="003860CD" w:rsidP="00A26D20">
      <w:pPr>
        <w:widowControl w:val="0"/>
        <w:shd w:val="clear" w:color="auto" w:fill="FFFFFF"/>
        <w:spacing w:line="360" w:lineRule="auto"/>
        <w:ind w:firstLine="709"/>
        <w:jc w:val="both"/>
        <w:rPr>
          <w:sz w:val="28"/>
          <w:szCs w:val="28"/>
        </w:rPr>
      </w:pPr>
      <w:r w:rsidRPr="00A26D20">
        <w:rPr>
          <w:bCs/>
          <w:sz w:val="28"/>
          <w:szCs w:val="28"/>
        </w:rPr>
        <w:t>Обеспечение качества и безопасности товаров</w:t>
      </w:r>
      <w:r w:rsidRPr="00A26D20">
        <w:rPr>
          <w:b/>
          <w:bCs/>
          <w:sz w:val="28"/>
          <w:szCs w:val="28"/>
        </w:rPr>
        <w:t xml:space="preserve"> </w:t>
      </w:r>
      <w:r w:rsidRPr="00A26D20">
        <w:rPr>
          <w:sz w:val="28"/>
          <w:szCs w:val="28"/>
        </w:rPr>
        <w:t>— совокупность планируемых и систематически проводимых мероприятий, направленных на формирование и сохранение установленных требований к качеству и безопасности товаров.</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При планировании и осуществлении этих мероприятий необходимо учитывать комплекс факторов, влияющих на формирование и сохранение безопасности товаров. На разных этапах единого технологического цикла приоритетны разные группы факторов: формирующие или сохраняющие.</w:t>
      </w:r>
    </w:p>
    <w:p w:rsidR="003860CD" w:rsidRPr="00A26D20" w:rsidRDefault="003860CD" w:rsidP="00A26D20">
      <w:pPr>
        <w:widowControl w:val="0"/>
        <w:shd w:val="clear" w:color="auto" w:fill="FFFFFF"/>
        <w:spacing w:line="360" w:lineRule="auto"/>
        <w:ind w:firstLine="709"/>
        <w:jc w:val="both"/>
        <w:rPr>
          <w:sz w:val="28"/>
          <w:szCs w:val="28"/>
        </w:rPr>
      </w:pPr>
      <w:r w:rsidRPr="00A26D20">
        <w:rPr>
          <w:bCs/>
          <w:sz w:val="28"/>
          <w:szCs w:val="28"/>
        </w:rPr>
        <w:t>Формирующие факторы</w:t>
      </w:r>
      <w:r w:rsidRPr="00A26D20">
        <w:rPr>
          <w:b/>
          <w:bCs/>
          <w:sz w:val="28"/>
          <w:szCs w:val="28"/>
        </w:rPr>
        <w:t xml:space="preserve"> </w:t>
      </w:r>
      <w:r w:rsidRPr="00A26D20">
        <w:rPr>
          <w:sz w:val="28"/>
          <w:szCs w:val="28"/>
        </w:rPr>
        <w:t>— комплекс объектов и операций, свойственных определенным этапам технологического цикла и предназначенных для формирования заданных требований к безопасности продукции.</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К этой группе факторов относятся проектирование, разработка продукции, сырье, конструкция; технология производства</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 xml:space="preserve">При </w:t>
      </w:r>
      <w:r w:rsidRPr="00A26D20">
        <w:rPr>
          <w:bCs/>
          <w:iCs/>
          <w:sz w:val="28"/>
          <w:szCs w:val="28"/>
        </w:rPr>
        <w:t>проектировании и разработке продукции</w:t>
      </w:r>
      <w:r w:rsidRPr="00A26D20">
        <w:rPr>
          <w:b/>
          <w:bCs/>
          <w:i/>
          <w:iCs/>
          <w:sz w:val="28"/>
          <w:szCs w:val="28"/>
        </w:rPr>
        <w:t xml:space="preserve"> </w:t>
      </w:r>
      <w:r w:rsidRPr="00A26D20">
        <w:rPr>
          <w:sz w:val="28"/>
          <w:szCs w:val="28"/>
        </w:rPr>
        <w:t>предусматриваются определенные требования к ее безопасности. Эти требования должны устанавливаться на основе маркетинговых исследований рынка, конечным результатом которых является определение запросов потребителей к уровню качества, а также к наиболее приемлемым количественным характеристикам (размерам изделий, массе упаковочных единиц и т. п.).</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Успех (или провал) обеспечения безопасности во многом обусловлен этим фактором. От того, насколько правильно потребности выявлены и отражены в характеристиках конкретного продукта, зависит конечный результат — сбыт и реализация товаров.</w:t>
      </w:r>
    </w:p>
    <w:p w:rsidR="00826978" w:rsidRPr="00A26D20" w:rsidRDefault="003860CD" w:rsidP="00A26D20">
      <w:pPr>
        <w:widowControl w:val="0"/>
        <w:shd w:val="clear" w:color="auto" w:fill="FFFFFF"/>
        <w:spacing w:line="360" w:lineRule="auto"/>
        <w:ind w:firstLine="709"/>
        <w:jc w:val="both"/>
        <w:rPr>
          <w:sz w:val="28"/>
          <w:szCs w:val="28"/>
        </w:rPr>
      </w:pPr>
      <w:r w:rsidRPr="00A26D20">
        <w:rPr>
          <w:sz w:val="28"/>
          <w:szCs w:val="28"/>
        </w:rPr>
        <w:t>Этот фактор является определяющим для всех остальных формирующих факторов.</w:t>
      </w:r>
    </w:p>
    <w:p w:rsidR="003860CD" w:rsidRPr="00A26D20" w:rsidRDefault="003860CD" w:rsidP="00A26D20">
      <w:pPr>
        <w:widowControl w:val="0"/>
        <w:shd w:val="clear" w:color="auto" w:fill="FFFFFF"/>
        <w:spacing w:line="360" w:lineRule="auto"/>
        <w:ind w:firstLine="709"/>
        <w:jc w:val="both"/>
        <w:rPr>
          <w:sz w:val="28"/>
          <w:szCs w:val="28"/>
        </w:rPr>
      </w:pPr>
      <w:r w:rsidRPr="00A26D20">
        <w:rPr>
          <w:bCs/>
          <w:iCs/>
          <w:sz w:val="28"/>
          <w:szCs w:val="28"/>
        </w:rPr>
        <w:t>Сырье</w:t>
      </w:r>
      <w:r w:rsidRPr="00A26D20">
        <w:rPr>
          <w:b/>
          <w:bCs/>
          <w:i/>
          <w:iCs/>
          <w:sz w:val="28"/>
          <w:szCs w:val="28"/>
        </w:rPr>
        <w:t xml:space="preserve"> </w:t>
      </w:r>
      <w:r w:rsidRPr="00A26D20">
        <w:rPr>
          <w:sz w:val="28"/>
          <w:szCs w:val="28"/>
        </w:rPr>
        <w:t>— один из основополагающих факторов, формирующих безопасность товаров. Виды сырья и их соотношение (рецептура) определяются на этапе проектирования и разработки продукции. На этапе производства необходимо лишь четко соблюдать заданные сырьевые параметры.</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Различают основное и вспомогательное сырье, материалы, в том числе упаковочные, а также полуфабрикаты и комплектующие изделия. Различия между указанными элементами сырьевого фактора заключаются в степени их обработки и готовности, а также воздействия на формирование качества и количества продукции.</w:t>
      </w:r>
    </w:p>
    <w:p w:rsidR="003860CD" w:rsidRPr="00A26D20" w:rsidRDefault="003860CD" w:rsidP="00A26D20">
      <w:pPr>
        <w:widowControl w:val="0"/>
        <w:shd w:val="clear" w:color="auto" w:fill="FFFFFF"/>
        <w:spacing w:line="360" w:lineRule="auto"/>
        <w:ind w:firstLine="709"/>
        <w:jc w:val="both"/>
        <w:rPr>
          <w:sz w:val="28"/>
          <w:szCs w:val="28"/>
        </w:rPr>
      </w:pPr>
      <w:r w:rsidRPr="00A26D20">
        <w:rPr>
          <w:iCs/>
          <w:sz w:val="28"/>
          <w:szCs w:val="28"/>
        </w:rPr>
        <w:t>Основное сырье</w:t>
      </w:r>
      <w:r w:rsidRPr="00A26D20">
        <w:rPr>
          <w:i/>
          <w:iCs/>
          <w:sz w:val="28"/>
          <w:szCs w:val="28"/>
        </w:rPr>
        <w:t xml:space="preserve"> </w:t>
      </w:r>
      <w:r w:rsidRPr="00A26D20">
        <w:rPr>
          <w:sz w:val="28"/>
          <w:szCs w:val="28"/>
        </w:rPr>
        <w:t>— составная часть сырья, существенно влияющая на формирование качества и количества готовой продукции на стадии производства.</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Состав и свойства сырья могут подвергаться более или менее значительным изменениям, обусловленным глубиной технологической обработки. В ряде случаев сырье и материалы существенно не изменяются. Так, при пошиве одежды состав и свойства тканей не изменяются; изменения касаются только формы изделий в соответствии с конструкцией. В то же время при производстве многих пищевых продуктов происходят существенные изменения состава и свойств основного сырья (например, при производстве хлеба, сухарных, бараночных, кондитерских изделий, виноградных вин, спирта, сыра, масла).</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Основное сырье наряду с технологией производства в значительной мере определяет ассортиментную группу готовой продукции. Так, основное сырье для хлеба — мука — обусловливает вид хлеба: пшеничный, ржаной, ржано-пше-ничный.</w:t>
      </w:r>
    </w:p>
    <w:p w:rsidR="003860CD" w:rsidRPr="00A26D20" w:rsidRDefault="003860CD" w:rsidP="00A26D20">
      <w:pPr>
        <w:widowControl w:val="0"/>
        <w:shd w:val="clear" w:color="auto" w:fill="FFFFFF"/>
        <w:spacing w:line="360" w:lineRule="auto"/>
        <w:ind w:firstLine="709"/>
        <w:jc w:val="both"/>
        <w:rPr>
          <w:sz w:val="28"/>
          <w:szCs w:val="28"/>
        </w:rPr>
      </w:pPr>
      <w:r w:rsidRPr="00A26D20">
        <w:rPr>
          <w:iCs/>
          <w:sz w:val="28"/>
          <w:szCs w:val="28"/>
        </w:rPr>
        <w:t>Вспомогательное сырье</w:t>
      </w:r>
      <w:r w:rsidRPr="00A26D20">
        <w:rPr>
          <w:i/>
          <w:iCs/>
          <w:sz w:val="28"/>
          <w:szCs w:val="28"/>
        </w:rPr>
        <w:t xml:space="preserve"> </w:t>
      </w:r>
      <w:r w:rsidRPr="00A26D20">
        <w:rPr>
          <w:sz w:val="28"/>
          <w:szCs w:val="28"/>
        </w:rPr>
        <w:t>— составной элемент сырья, предназначенный для улучшения состава и свойств основного сырья и/или готового продукта.</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Вспомогательное сырье, как правило, не определяет количественные характеристики изготовляемого товара. В ряде случаев даже ограничивается максимально предельное содержание этого сырья. Например, в соленых огурцах содержание специй не должно превышать 8% массы готового продукта.</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В качестве вспомогательного сырья для пищевых продуктов используют пищевые добавки (красители, консерванты, стабилизаторы цвета, консистенции, эмульгаторы, загустители и т. п.), пряности и приправы (перец, гвоздика, корица, поваренная соль, пищевые кислоты и т. п.), наполнители в виде неосновного продовольственного сырья (например, крахмал, соевый шрот, сухое молоко — в колбасы низших сортов; сливки, молоко, кофе — в шоколад, конфеты, карамель).</w:t>
      </w:r>
    </w:p>
    <w:p w:rsidR="003860CD" w:rsidRPr="00A26D20" w:rsidRDefault="003860CD" w:rsidP="00A26D20">
      <w:pPr>
        <w:widowControl w:val="0"/>
        <w:shd w:val="clear" w:color="auto" w:fill="FFFFFF"/>
        <w:spacing w:line="360" w:lineRule="auto"/>
        <w:ind w:firstLine="709"/>
        <w:jc w:val="both"/>
        <w:rPr>
          <w:sz w:val="28"/>
          <w:szCs w:val="28"/>
        </w:rPr>
      </w:pPr>
      <w:r w:rsidRPr="00A26D20">
        <w:rPr>
          <w:bCs/>
          <w:iCs/>
          <w:sz w:val="28"/>
          <w:szCs w:val="28"/>
        </w:rPr>
        <w:t>Конструкция</w:t>
      </w:r>
      <w:r w:rsidRPr="00A26D20">
        <w:rPr>
          <w:b/>
          <w:bCs/>
          <w:i/>
          <w:iCs/>
          <w:sz w:val="28"/>
          <w:szCs w:val="28"/>
        </w:rPr>
        <w:t xml:space="preserve"> </w:t>
      </w:r>
      <w:r w:rsidRPr="00A26D20">
        <w:rPr>
          <w:sz w:val="28"/>
          <w:szCs w:val="28"/>
        </w:rPr>
        <w:t>— совокупность формы, размера, способа соединения и взаимодействия деталей и узлов, а также соотношение между отдельными элементами, определяемые при разработке изделий.</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Этот фактор оказывает решающее воздействие на формирование основных характеристик непродовольственных товаров: ассортиментную, количественную, качественную и стоимостную.</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Назначение конструкции — обеспечение функциональных, эргономических, эстетических свойств, безопасности и надежности изделий В процессе конструирования обеспечиваются удобство пользования, заданные размер и внешний вид, долговечность, ремонтопригодность изделий. Последние два свойства не являются обязательными для товаров одноразового использования или кратковременного назначения.</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Выбор параметров конструкции изделий зависит от характера потребностей. Так, для сложнотехнических товаров длительного пользования большое значение наряду с дизайном и техническим уровнем имеют унификация, взаимозаменяемость и совместимость отдельных деталей и узлов, а также их надежность.</w:t>
      </w:r>
    </w:p>
    <w:p w:rsidR="003860CD" w:rsidRPr="00A26D20" w:rsidRDefault="003860CD" w:rsidP="00A26D20">
      <w:pPr>
        <w:widowControl w:val="0"/>
        <w:shd w:val="clear" w:color="auto" w:fill="FFFFFF"/>
        <w:spacing w:line="360" w:lineRule="auto"/>
        <w:ind w:firstLine="709"/>
        <w:jc w:val="both"/>
        <w:rPr>
          <w:sz w:val="28"/>
          <w:szCs w:val="28"/>
        </w:rPr>
      </w:pPr>
      <w:r w:rsidRPr="00A26D20">
        <w:rPr>
          <w:bCs/>
          <w:iCs/>
          <w:sz w:val="28"/>
          <w:szCs w:val="28"/>
        </w:rPr>
        <w:t>Технология производства</w:t>
      </w:r>
      <w:r w:rsidRPr="00A26D20">
        <w:rPr>
          <w:b/>
          <w:bCs/>
          <w:i/>
          <w:iCs/>
          <w:sz w:val="28"/>
          <w:szCs w:val="28"/>
        </w:rPr>
        <w:t xml:space="preserve"> </w:t>
      </w:r>
      <w:r w:rsidRPr="00A26D20">
        <w:rPr>
          <w:sz w:val="28"/>
          <w:szCs w:val="28"/>
        </w:rPr>
        <w:t xml:space="preserve">— совокупность операций, предназначенных для формирования основополагающих товароведных характеристик готовой </w:t>
      </w:r>
      <w:r w:rsidR="00D52AE1" w:rsidRPr="00A26D20">
        <w:rPr>
          <w:sz w:val="28"/>
          <w:szCs w:val="28"/>
        </w:rPr>
        <w:t>продукции</w:t>
      </w:r>
      <w:r w:rsidRPr="00A26D20">
        <w:rPr>
          <w:sz w:val="28"/>
          <w:szCs w:val="28"/>
        </w:rPr>
        <w:t>.</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Наряду с основным сырьем технологические процессы оказывают решающее воздействие на формирование реального качества и количества конкретного продукта, его ассортиментной принадлежности. В процессе производства компоненты сырья подвергаются большим или меньшим изменениям, в результате чего качество готового продукта определяется тремя группами компонентов:</w:t>
      </w:r>
    </w:p>
    <w:p w:rsidR="003860CD" w:rsidRPr="00A26D20" w:rsidRDefault="003860CD" w:rsidP="00A26D20">
      <w:pPr>
        <w:widowControl w:val="0"/>
        <w:numPr>
          <w:ilvl w:val="0"/>
          <w:numId w:val="1"/>
        </w:numPr>
        <w:shd w:val="clear" w:color="auto" w:fill="FFFFFF"/>
        <w:spacing w:line="360" w:lineRule="auto"/>
        <w:ind w:left="0" w:firstLine="709"/>
        <w:jc w:val="both"/>
        <w:rPr>
          <w:sz w:val="28"/>
          <w:szCs w:val="28"/>
        </w:rPr>
      </w:pPr>
      <w:r w:rsidRPr="00A26D20">
        <w:rPr>
          <w:sz w:val="28"/>
          <w:szCs w:val="28"/>
        </w:rPr>
        <w:t>компоненты, перешедшие в готовую продукцию без существенных изменений;</w:t>
      </w:r>
    </w:p>
    <w:p w:rsidR="003860CD" w:rsidRPr="00A26D20" w:rsidRDefault="003860CD" w:rsidP="00A26D20">
      <w:pPr>
        <w:widowControl w:val="0"/>
        <w:numPr>
          <w:ilvl w:val="0"/>
          <w:numId w:val="1"/>
        </w:numPr>
        <w:shd w:val="clear" w:color="auto" w:fill="FFFFFF"/>
        <w:spacing w:line="360" w:lineRule="auto"/>
        <w:ind w:left="0" w:firstLine="709"/>
        <w:jc w:val="both"/>
        <w:rPr>
          <w:sz w:val="28"/>
          <w:szCs w:val="28"/>
        </w:rPr>
      </w:pPr>
      <w:r w:rsidRPr="00A26D20">
        <w:rPr>
          <w:sz w:val="28"/>
          <w:szCs w:val="28"/>
        </w:rPr>
        <w:t>компоненты сырья, изменившие исходные свойства;</w:t>
      </w:r>
    </w:p>
    <w:p w:rsidR="003860CD" w:rsidRPr="00A26D20" w:rsidRDefault="003860CD" w:rsidP="00A26D20">
      <w:pPr>
        <w:widowControl w:val="0"/>
        <w:numPr>
          <w:ilvl w:val="0"/>
          <w:numId w:val="1"/>
        </w:numPr>
        <w:shd w:val="clear" w:color="auto" w:fill="FFFFFF"/>
        <w:spacing w:line="360" w:lineRule="auto"/>
        <w:ind w:left="0" w:firstLine="709"/>
        <w:jc w:val="both"/>
        <w:rPr>
          <w:sz w:val="28"/>
          <w:szCs w:val="28"/>
        </w:rPr>
      </w:pPr>
      <w:r w:rsidRPr="00A26D20">
        <w:rPr>
          <w:sz w:val="28"/>
          <w:szCs w:val="28"/>
        </w:rPr>
        <w:t>вновь образовавшиеся компоненты.</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Например, при производстве виноградных вин без изменения остаются вода, винная кислота и минеральные вещества, изменяются количество и свойства дубильных и красящих веществ, вновь образуются спирт этиловый, ароматические вещества, органические кислоты. Соотношение указанных групп компонентов зависит от глубины и продолжительности технологической обработки, а также от этапа технологии производства</w:t>
      </w:r>
      <w:r w:rsidR="00D52AE1" w:rsidRPr="00A26D20">
        <w:rPr>
          <w:sz w:val="28"/>
          <w:szCs w:val="28"/>
        </w:rPr>
        <w:t xml:space="preserve"> (</w:t>
      </w:r>
      <w:r w:rsidRPr="00A26D20">
        <w:rPr>
          <w:sz w:val="28"/>
          <w:szCs w:val="28"/>
        </w:rPr>
        <w:t>подготовительный, основной и окончательный</w:t>
      </w:r>
      <w:r w:rsidR="00D52AE1" w:rsidRPr="00A26D20">
        <w:rPr>
          <w:sz w:val="28"/>
          <w:szCs w:val="28"/>
        </w:rPr>
        <w:t>)</w:t>
      </w:r>
      <w:r w:rsidRPr="00A26D20">
        <w:rPr>
          <w:sz w:val="28"/>
          <w:szCs w:val="28"/>
        </w:rPr>
        <w:t>.</w:t>
      </w:r>
    </w:p>
    <w:p w:rsidR="00D52AE1" w:rsidRPr="00A26D20" w:rsidRDefault="003860CD" w:rsidP="00A26D20">
      <w:pPr>
        <w:widowControl w:val="0"/>
        <w:shd w:val="clear" w:color="auto" w:fill="FFFFFF"/>
        <w:spacing w:line="360" w:lineRule="auto"/>
        <w:ind w:firstLine="709"/>
        <w:jc w:val="both"/>
        <w:rPr>
          <w:sz w:val="28"/>
          <w:szCs w:val="28"/>
        </w:rPr>
      </w:pPr>
      <w:r w:rsidRPr="00A26D20">
        <w:rPr>
          <w:sz w:val="28"/>
          <w:szCs w:val="28"/>
        </w:rPr>
        <w:t>Для формирования заданн</w:t>
      </w:r>
      <w:r w:rsidR="00D52AE1" w:rsidRPr="00A26D20">
        <w:rPr>
          <w:sz w:val="28"/>
          <w:szCs w:val="28"/>
        </w:rPr>
        <w:t xml:space="preserve">ой безопасности </w:t>
      </w:r>
      <w:r w:rsidRPr="00A26D20">
        <w:rPr>
          <w:sz w:val="28"/>
          <w:szCs w:val="28"/>
        </w:rPr>
        <w:t>очень важно также соблюдение установленных технологических режимов, что способствует предупреждению возникновения производственных дефектов единичных или всех экземпляров готовой продукции. Так, из-за несоблюдения температурного режима выпечки хлеба могут появиться дефекты — подгорелость корки или непропеченность мякиша.</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 xml:space="preserve">Одним из необходимых элементов системы </w:t>
      </w:r>
      <w:r w:rsidR="00D52AE1" w:rsidRPr="00A26D20">
        <w:rPr>
          <w:sz w:val="28"/>
          <w:szCs w:val="28"/>
        </w:rPr>
        <w:t>безопасности</w:t>
      </w:r>
      <w:r w:rsidRPr="00A26D20">
        <w:rPr>
          <w:sz w:val="28"/>
          <w:szCs w:val="28"/>
        </w:rPr>
        <w:t xml:space="preserve"> на производстве является контроль за соблюдением установленных требований к технологическому режиму путем проведения рабочих испытаний после каждой операции и окончательного контроля готовой продукции. В результате этого контроля проводятся корректирующие мероприятия.</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К таким корректирующим мероприятиям могут быть отнесены: подбор сырья с определенными технологическими свойствами, совершенствование и модернизация технологических операций и режимов с учетом свойств исходного сырья, сортировка готовой продукции по градациям качества, изъятие, переработка, ремонт или уничтожение некачественной продукции. Указанные мероприятия должны обеспечивать формирование гарантированного качества заданного уровня.</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Корректирующие мероприятия на производстве могут быть результатом взаимодействия промышленных и торговых организаций, которые в равной мере должны быть заинтересованы в реализации произведенных товаров конечному потребителю.</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Для того чтобы некачественные товары не попадали покупателю, проводится приемосдаточный контроль, а также окончательный контроль на рабочем месте продавца. В случае выявления покупателем скрытых дефектов изделия продавец или изготовитель должен обеспечить возврат некачественных товаров или устранение выявленных неполадок.</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Однако взаимодействие торговых и промышленных организаций не ограничивается только корректирующими мероприятиями по обеспечению качества. Важное место в формировании качества товаров должна занимать совместная деятельность изготовителей и продавцов по выявлению потребностей, а также характеристик товаров, которые их удовлетворяют. Наряду с технологами и маркетологами в этой работе должны участвовать товароведные службы организаций-изготовителей и продавцов, так как их специалисты — товароведы обладают знаниями о важнейших характеристиках потребительских товаров и информацией о том, насколько эти характеристики удовлетворяют реальные потребности покупателей.</w:t>
      </w:r>
    </w:p>
    <w:p w:rsidR="003860CD" w:rsidRPr="00A26D20" w:rsidRDefault="003860CD" w:rsidP="00A26D20">
      <w:pPr>
        <w:widowControl w:val="0"/>
        <w:shd w:val="clear" w:color="auto" w:fill="FFFFFF"/>
        <w:spacing w:line="360" w:lineRule="auto"/>
        <w:ind w:firstLine="709"/>
        <w:jc w:val="both"/>
        <w:rPr>
          <w:sz w:val="28"/>
          <w:szCs w:val="28"/>
        </w:rPr>
      </w:pPr>
      <w:r w:rsidRPr="00A26D20">
        <w:rPr>
          <w:sz w:val="28"/>
          <w:szCs w:val="28"/>
        </w:rPr>
        <w:t>Кроме того, при приемке по качеству и отпуске товаров товароведы регистрируют выявленные дефекты, а затем составляют рекламации для предъявления претензий поставщику, что также служит основанием для корректирующих мероприятий на стадии производства.</w:t>
      </w:r>
      <w:r w:rsidR="001F10AC" w:rsidRPr="00A26D20">
        <w:rPr>
          <w:rStyle w:val="ad"/>
          <w:sz w:val="28"/>
          <w:szCs w:val="28"/>
        </w:rPr>
        <w:footnoteReference w:id="1"/>
      </w:r>
    </w:p>
    <w:p w:rsidR="003860CD" w:rsidRPr="00A26D20" w:rsidRDefault="003860CD" w:rsidP="00A26D20">
      <w:pPr>
        <w:widowControl w:val="0"/>
        <w:spacing w:line="360" w:lineRule="auto"/>
        <w:ind w:firstLine="709"/>
        <w:jc w:val="both"/>
        <w:rPr>
          <w:sz w:val="28"/>
        </w:rPr>
      </w:pPr>
    </w:p>
    <w:p w:rsidR="002F08AE" w:rsidRPr="00A26D20" w:rsidRDefault="002F08AE" w:rsidP="00A26D20">
      <w:pPr>
        <w:pStyle w:val="1"/>
        <w:keepNext w:val="0"/>
        <w:widowControl w:val="0"/>
        <w:spacing w:before="0" w:after="0" w:line="360" w:lineRule="auto"/>
        <w:ind w:firstLine="709"/>
        <w:jc w:val="both"/>
        <w:rPr>
          <w:rFonts w:ascii="Times New Roman" w:hAnsi="Times New Roman" w:cs="Times New Roman"/>
          <w:sz w:val="28"/>
        </w:rPr>
      </w:pPr>
      <w:r w:rsidRPr="00A26D20">
        <w:rPr>
          <w:rFonts w:ascii="Times New Roman" w:hAnsi="Times New Roman" w:cs="Times New Roman"/>
          <w:sz w:val="28"/>
        </w:rPr>
        <w:br w:type="page"/>
      </w:r>
      <w:bookmarkStart w:id="1" w:name="_Toc130920753"/>
      <w:r w:rsidRPr="00A26D20">
        <w:rPr>
          <w:rFonts w:ascii="Times New Roman" w:hAnsi="Times New Roman" w:cs="Times New Roman"/>
          <w:sz w:val="28"/>
        </w:rPr>
        <w:t>Вопрос №16. Алюминий: физиологическая функция и причины накопления в организме, основные проявления интоксикации</w:t>
      </w:r>
      <w:bookmarkEnd w:id="1"/>
    </w:p>
    <w:p w:rsidR="00D52AE1" w:rsidRPr="00A26D20" w:rsidRDefault="00D52AE1" w:rsidP="00A26D20">
      <w:pPr>
        <w:widowControl w:val="0"/>
        <w:spacing w:line="360" w:lineRule="auto"/>
        <w:ind w:firstLine="709"/>
        <w:jc w:val="both"/>
        <w:rPr>
          <w:sz w:val="28"/>
          <w:szCs w:val="28"/>
        </w:rPr>
      </w:pPr>
    </w:p>
    <w:p w:rsidR="00826978" w:rsidRPr="00A26D20" w:rsidRDefault="00826978" w:rsidP="00A26D20">
      <w:pPr>
        <w:widowControl w:val="0"/>
        <w:spacing w:line="360" w:lineRule="auto"/>
        <w:ind w:firstLine="709"/>
        <w:jc w:val="both"/>
        <w:rPr>
          <w:sz w:val="28"/>
          <w:szCs w:val="28"/>
        </w:rPr>
      </w:pPr>
      <w:r w:rsidRPr="00A26D20">
        <w:rPr>
          <w:sz w:val="28"/>
          <w:szCs w:val="28"/>
        </w:rPr>
        <w:t>Токсичность Al явилась "выстрелом в спину" для человечества. Будучи третьим по распространенности элементом земной коры и обладая ценными качествами, металлический алюминий нашел широчайшее применение и в технике (уже в 60-е годы Al использовали при производстве около 4 тыс. изделий) и в быту. Однако алюминиевая посуда (если она не контактирует с кислой или щелочной средой) не является главным поставщиком Al в организм. Обогащение питьевой воды ионами Al начинается на водоочистной станции при обработке ее сульфатом алюминия. Многократное превышение концентрации Al над нормой характерно для озерных и речных вод в регионах, подверженных действию кислотных дождей, за счет растворения природных малорастворимых алюмосиликатных пород. Именно повышение [Al3 +], а не [H+] приводит к гибели рыб, земноводных и моллюсков в водоемах, орошаемых кислотными дождями. Не следует злоупотреблять содержащими гидроксид алюминия лекарствами: противоартритными, противогеморроидальными, понижающими кислотность желудочного сока. Как буферную добавку вводят гидроксид алюминия и в некоторые препараты аспирина и в губную помаду. Среди же пищевых материалов наивысшей концентрацией Al (до 20 мг/г) выделяется, увы, чай. Анализ токсинов органической природы приведен в следующей статье.</w:t>
      </w:r>
    </w:p>
    <w:p w:rsidR="00826978" w:rsidRPr="00A26D20" w:rsidRDefault="00826978"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Во время гемодиализа дополнительное неблагоприятное влияние на скелет оказывает аккумуляция в организме больных алюминия.</w:t>
      </w:r>
    </w:p>
    <w:p w:rsidR="00826978" w:rsidRPr="00A26D20" w:rsidRDefault="00826978"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Последний попадает в организм при приеме содержащих алюминий гелей, назначаемых больным для контроля гиперфосфатемии, антацидов, некоторых парентерально применяемых растворов, например альбумина, и при использовании для приготовления диализирующего раствора неочищенной от алюминия водопроводной воды.</w:t>
      </w:r>
    </w:p>
    <w:p w:rsidR="00826978" w:rsidRPr="00A26D20" w:rsidRDefault="00826978"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Попадание в организм алюминия с водопроводной водой — основная причина гипералюминемии у больных, находящихся на гемодиализе, однако нередко тяжелые осложнения, связанные с накоплением алюминия в тканях (поражение скелета, энцефалопатия, анемия), могут быть следствием только пероральной нагрузки.</w:t>
      </w:r>
    </w:p>
    <w:p w:rsidR="00826978" w:rsidRPr="00A26D20" w:rsidRDefault="00826978"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Пероральная нагрузка, обусловленная приемом содержащих алюминий гелей, — основной путь поступления алюминия у больных с предтерминальной ХПН и основная причина развития у них костной патологии, как и у лиц с нормальной функцией почек, находящихся на парентеральном питании. Усиливают всасывание алюминия соединения цитрата путем повышения растворимости алюминия и парацеллюлярного пути абсорбции.</w:t>
      </w:r>
    </w:p>
    <w:p w:rsidR="00826978" w:rsidRPr="00A26D20" w:rsidRDefault="00826978"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Гистологически у больных с поражением скелета вследствие интоксикации алюминием отложения последнего обнаруживаются вдоль уменьшенного в размерах фронта минерализации остеоида, препятствуя отложению солей кальция в остеоид, причем выраженность остеомаляции тесно коррелирует с содержанием алюминия в костной ткани. В местах отложения алюминия, образующего структуры величиной от 20 до 100 нм, практически полностью отсутствуют активные остеобласты, а в выстилающих поверхность кости фибробластоподобных клетках не выявляется эндоплазматический ретикулум. Костная ткань выглядит неактивной и практически не воспринимает тетрациклиновую метку, что свидетельствует о резком замедлении процессов ремоделирования (новообразования) костной ткани. У некоторых больных остеомалятическое поражение костной ткани носит очаговый характер, однако в большинстве случаев эти очаговые "апластические" изменения со временем трансформируются в генерализованную форму остеомаляции и нередко персистируют без изменений в течение ряда лет. АЗС может развиваться и в отсутствие накопления алюминия в костной ткани.</w:t>
      </w:r>
    </w:p>
    <w:p w:rsidR="00826978" w:rsidRPr="00A26D20" w:rsidRDefault="00826978"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У части больных массивные отложения алюминия в трабекулярной кости сочетаются с признаками фиброзного остеита и с нормальной или увеличенной скоростью новообразования костной ткани. Однако и в этих случаях дальнейшая аккумуляция алюминия приводит в конечном итоге к развитию остеомаляции.</w:t>
      </w:r>
    </w:p>
    <w:p w:rsidR="00826978" w:rsidRPr="00A26D20" w:rsidRDefault="00826978"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Механизм, посредством которого алюминий индуцирует остеомалятические изменения, окончательно не расшифрован. Однако проведенные с культурой костной ткани исследования показали, что алюминий через гидроксильную группу формирует с цитратом металлоцитратный комплекс, препятствующий росту кристаллов фосфата кальция и угнетающий минерализацию остеоида. Аналогичными свойствами обладают железо и бериллий, сочетающие поливалентность с небольшим молекулярным радиусом.</w:t>
      </w:r>
    </w:p>
    <w:p w:rsidR="00826978" w:rsidRPr="00A26D20" w:rsidRDefault="00826978"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Алюминий в концентрации 54-135 мкг/л, которая нередко наблюдается в сыворотке крови больных, находящихся на гемодиализе, и без цитрата способен ингибировать рост кристаллов фосфата кальция, однако ингибирующая активность металлоцитратного комплекса, который откладывается на поверхности кристаллов, во много раз выше.</w:t>
      </w:r>
    </w:p>
    <w:p w:rsidR="00826978" w:rsidRPr="00A26D20" w:rsidRDefault="00826978" w:rsidP="00A26D20">
      <w:pPr>
        <w:widowControl w:val="0"/>
        <w:spacing w:line="360" w:lineRule="auto"/>
        <w:ind w:firstLine="709"/>
        <w:jc w:val="both"/>
        <w:rPr>
          <w:sz w:val="28"/>
        </w:rPr>
      </w:pPr>
    </w:p>
    <w:p w:rsidR="002F08AE" w:rsidRPr="00A26D20" w:rsidRDefault="002F08AE" w:rsidP="00A26D20">
      <w:pPr>
        <w:pStyle w:val="1"/>
        <w:keepNext w:val="0"/>
        <w:widowControl w:val="0"/>
        <w:spacing w:before="0" w:after="0" w:line="360" w:lineRule="auto"/>
        <w:ind w:firstLine="709"/>
        <w:jc w:val="both"/>
        <w:rPr>
          <w:rFonts w:ascii="Times New Roman" w:hAnsi="Times New Roman" w:cs="Times New Roman"/>
          <w:sz w:val="28"/>
        </w:rPr>
      </w:pPr>
      <w:bookmarkStart w:id="2" w:name="_Toc130920754"/>
      <w:r w:rsidRPr="00A26D20">
        <w:rPr>
          <w:rFonts w:ascii="Times New Roman" w:hAnsi="Times New Roman" w:cs="Times New Roman"/>
          <w:sz w:val="28"/>
        </w:rPr>
        <w:t>Вопрос №26. Бактериальные токсины (стафилококковый энтеротоксин, ботулотоксины, и др.). Причины загрязнения пищевых продуктов</w:t>
      </w:r>
      <w:bookmarkEnd w:id="2"/>
    </w:p>
    <w:p w:rsidR="001F10AC" w:rsidRPr="00A26D20" w:rsidRDefault="001F10AC" w:rsidP="00A26D20">
      <w:pPr>
        <w:widowControl w:val="0"/>
        <w:spacing w:line="360" w:lineRule="auto"/>
        <w:ind w:firstLine="709"/>
        <w:jc w:val="both"/>
        <w:rPr>
          <w:sz w:val="28"/>
        </w:rPr>
      </w:pPr>
    </w:p>
    <w:p w:rsidR="001F10AC" w:rsidRPr="00A26D20" w:rsidRDefault="001F10AC" w:rsidP="00A26D20">
      <w:pPr>
        <w:pStyle w:val="a8"/>
        <w:widowControl w:val="0"/>
        <w:spacing w:before="0" w:beforeAutospacing="0" w:after="0" w:afterAutospacing="0" w:line="360" w:lineRule="auto"/>
        <w:ind w:firstLine="709"/>
        <w:jc w:val="both"/>
        <w:rPr>
          <w:bCs/>
          <w:color w:val="auto"/>
          <w:sz w:val="28"/>
          <w:szCs w:val="28"/>
        </w:rPr>
      </w:pPr>
      <w:r w:rsidRPr="00A26D20">
        <w:rPr>
          <w:color w:val="auto"/>
          <w:sz w:val="28"/>
          <w:szCs w:val="28"/>
        </w:rPr>
        <w:t xml:space="preserve">Токсины, соединения (часто белковой природы) </w:t>
      </w:r>
      <w:r w:rsidRPr="00A26D20">
        <w:rPr>
          <w:iCs/>
          <w:color w:val="auto"/>
          <w:sz w:val="28"/>
          <w:szCs w:val="28"/>
        </w:rPr>
        <w:t>бактериального</w:t>
      </w:r>
      <w:r w:rsidRPr="00A26D20">
        <w:rPr>
          <w:color w:val="auto"/>
          <w:sz w:val="28"/>
          <w:szCs w:val="28"/>
        </w:rPr>
        <w:t xml:space="preserve">, </w:t>
      </w:r>
      <w:r w:rsidRPr="00A26D20">
        <w:rPr>
          <w:iCs/>
          <w:color w:val="auto"/>
          <w:sz w:val="28"/>
          <w:szCs w:val="28"/>
        </w:rPr>
        <w:t>растительного</w:t>
      </w:r>
      <w:r w:rsidRPr="00A26D20">
        <w:rPr>
          <w:color w:val="auto"/>
          <w:sz w:val="28"/>
          <w:szCs w:val="28"/>
        </w:rPr>
        <w:t xml:space="preserve"> или животного </w:t>
      </w:r>
      <w:r w:rsidRPr="00A26D20">
        <w:rPr>
          <w:iCs/>
          <w:color w:val="auto"/>
          <w:sz w:val="28"/>
          <w:szCs w:val="28"/>
        </w:rPr>
        <w:t>происхождения</w:t>
      </w:r>
      <w:r w:rsidRPr="00A26D20">
        <w:rPr>
          <w:color w:val="auto"/>
          <w:sz w:val="28"/>
          <w:szCs w:val="28"/>
        </w:rPr>
        <w:t xml:space="preserve">, способные при попадании в организм животных или человека вызывать </w:t>
      </w:r>
      <w:r w:rsidRPr="00A26D20">
        <w:rPr>
          <w:iCs/>
          <w:color w:val="auto"/>
          <w:sz w:val="28"/>
          <w:szCs w:val="28"/>
        </w:rPr>
        <w:t>заболевание</w:t>
      </w:r>
      <w:r w:rsidRPr="00A26D20">
        <w:rPr>
          <w:color w:val="auto"/>
          <w:sz w:val="28"/>
          <w:szCs w:val="28"/>
        </w:rPr>
        <w:t xml:space="preserve"> или их гибель. Содержатся в ядах змей, пауков, скорпионов. Бактериальные </w:t>
      </w:r>
      <w:r w:rsidRPr="00A26D20">
        <w:rPr>
          <w:iCs/>
          <w:color w:val="auto"/>
          <w:sz w:val="28"/>
          <w:szCs w:val="28"/>
        </w:rPr>
        <w:t>токсины</w:t>
      </w:r>
      <w:r w:rsidRPr="00A26D20">
        <w:rPr>
          <w:color w:val="auto"/>
          <w:sz w:val="28"/>
          <w:szCs w:val="28"/>
        </w:rPr>
        <w:t xml:space="preserve"> вызывают столбняк, бутулизм и др. болезни. Токсины применяют для получения анатоксинов.</w:t>
      </w:r>
    </w:p>
    <w:p w:rsidR="001F10AC" w:rsidRPr="00A26D20" w:rsidRDefault="001F10AC" w:rsidP="00A26D20">
      <w:pPr>
        <w:pStyle w:val="a8"/>
        <w:widowControl w:val="0"/>
        <w:spacing w:before="0" w:beforeAutospacing="0" w:after="0" w:afterAutospacing="0" w:line="360" w:lineRule="auto"/>
        <w:ind w:firstLine="709"/>
        <w:jc w:val="both"/>
        <w:rPr>
          <w:color w:val="auto"/>
          <w:sz w:val="28"/>
          <w:szCs w:val="28"/>
        </w:rPr>
      </w:pPr>
      <w:r w:rsidRPr="00A26D20">
        <w:rPr>
          <w:bCs/>
          <w:color w:val="auto"/>
          <w:sz w:val="28"/>
          <w:szCs w:val="28"/>
        </w:rPr>
        <w:t>М</w:t>
      </w:r>
      <w:r w:rsidRPr="00A26D20">
        <w:rPr>
          <w:color w:val="auto"/>
          <w:sz w:val="28"/>
          <w:szCs w:val="28"/>
        </w:rPr>
        <w:t>ногие тяжелейшие клинические проявления бактериальных инфекций обусловлены синтезом высокоактивных химических веществ, называемых бактериальными токсинами. В частности, 2кг токсина Clostridium botulinum достаточно для уничтожения населения всего земного шара.</w:t>
      </w:r>
    </w:p>
    <w:p w:rsidR="001F10AC" w:rsidRPr="00A26D20" w:rsidRDefault="001F10AC"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 xml:space="preserve">Бактериальные токсины подразделяются на два больших класса: </w:t>
      </w:r>
      <w:r w:rsidRPr="00A26D20">
        <w:rPr>
          <w:bCs/>
          <w:color w:val="auto"/>
          <w:sz w:val="28"/>
          <w:szCs w:val="28"/>
        </w:rPr>
        <w:t>эндотоксины и экзотоксины</w:t>
      </w:r>
      <w:r w:rsidRPr="00A26D20">
        <w:rPr>
          <w:color w:val="auto"/>
          <w:sz w:val="28"/>
          <w:szCs w:val="28"/>
        </w:rPr>
        <w:t>. Действие экзотоксинов можно сравнить с полетом стрелы, всегда поражающей мишень в одну точку. Действие эндотоксина напоминает эффект отброска камня в воду; волны расходятся во все стороны. Эндотоксин вызывает множество функциональных нарушений вследствие продукции большого количества медиаторов.</w:t>
      </w:r>
    </w:p>
    <w:p w:rsidR="001F10AC" w:rsidRPr="00A26D20" w:rsidRDefault="001F10AC" w:rsidP="00A26D20">
      <w:pPr>
        <w:widowControl w:val="0"/>
        <w:tabs>
          <w:tab w:val="left" w:pos="360"/>
        </w:tabs>
        <w:spacing w:line="360" w:lineRule="auto"/>
        <w:ind w:firstLine="709"/>
        <w:jc w:val="both"/>
        <w:rPr>
          <w:sz w:val="28"/>
          <w:szCs w:val="28"/>
        </w:rPr>
      </w:pPr>
      <w:r w:rsidRPr="00A26D20">
        <w:rPr>
          <w:bCs/>
          <w:sz w:val="28"/>
          <w:szCs w:val="28"/>
        </w:rPr>
        <w:t>Пищевые отравления бактериальными токсинами</w:t>
      </w:r>
      <w:r w:rsidRPr="00A26D20">
        <w:rPr>
          <w:sz w:val="28"/>
          <w:szCs w:val="28"/>
        </w:rPr>
        <w:t xml:space="preserve"> - заболевания, возникающие после употребления продуктов, обсемененных различными микроорганизмами и содержащих бактериальные токсины. К ним относятся отравления токсинами ботулизма, Cl. perfringens и стафилококковые отравления.</w:t>
      </w:r>
    </w:p>
    <w:p w:rsidR="001F10AC" w:rsidRPr="00A26D20" w:rsidRDefault="001F10AC" w:rsidP="00A26D20">
      <w:pPr>
        <w:widowControl w:val="0"/>
        <w:tabs>
          <w:tab w:val="left" w:pos="360"/>
        </w:tabs>
        <w:spacing w:line="360" w:lineRule="auto"/>
        <w:ind w:firstLine="709"/>
        <w:jc w:val="both"/>
        <w:rPr>
          <w:sz w:val="28"/>
          <w:szCs w:val="28"/>
        </w:rPr>
      </w:pPr>
      <w:r w:rsidRPr="00A26D20">
        <w:rPr>
          <w:sz w:val="28"/>
          <w:szCs w:val="28"/>
        </w:rPr>
        <w:t xml:space="preserve">Пищевые отравления стафилококкового происхождения связаны со штаммами патогенных стафилококков, способных продуцировать энтеротоксин. Они способны также образовывать гематоксины, гиалуронидазу, дают положительную реакцию плазмокоагуляции. При попадании в продукты (отлкадей, больных гнойничковыми заболеваниями, или аэрогенно от здоровых носителей стафилококков) они способны размножаться, что приводит к накоплению в продуктах энтеротоксина. Стафилококковые отравления чаще связаны с употреблением молока, молочных продуктов, мясных, рыбных, овощных блюд, тортов, пирожных, рыбных консервов в масле. Продукты, содержащие интеротоксин, по внешнему виду и запаху не отличаются от доброкачественных. Стафилококки переносят высокие концентрации соли и сахара. Если стафилококки погибают при прогревании до 80 гр. С, то энтеротоксин выдерживает прогревание до 100 гр. С в течение 1,5-2 ч. К энтеротоксину очень чувствительны котята и щенки, на которых проводят биологическую пробу. Микробы Cl. perfringens представляют собой крупные грамотрицательные палочки. Растут в анаэробных условиях, способны образовывать споры. По антигенным свойствам делятся на 6 серотипов (А, В, С, D, Е, F). Отравления чаще связаны с возбудителем типа А. </w:t>
      </w:r>
    </w:p>
    <w:p w:rsidR="001F10AC" w:rsidRPr="00A26D20" w:rsidRDefault="001F10AC" w:rsidP="00A26D20">
      <w:pPr>
        <w:widowControl w:val="0"/>
        <w:tabs>
          <w:tab w:val="left" w:pos="360"/>
        </w:tabs>
        <w:spacing w:line="360" w:lineRule="auto"/>
        <w:ind w:firstLine="709"/>
        <w:jc w:val="both"/>
        <w:rPr>
          <w:sz w:val="28"/>
          <w:szCs w:val="28"/>
        </w:rPr>
      </w:pPr>
      <w:r w:rsidRPr="00A26D20">
        <w:rPr>
          <w:sz w:val="28"/>
          <w:szCs w:val="28"/>
        </w:rPr>
        <w:t xml:space="preserve">Стафилококковые отравления обусловлены только токсинами, могут возникать и отсутствие самого возбудителя (например, отравления продуктами, содержащими энтеротоксин). Энтеротоксин не разрушается пищеварительными ферментами и способен проникать через слизистые оболочки желудочно-кишечного тракта. Учитывая короткий инкубационный период (до 2 ч), можно думать, что всасывание токсина происходит уже в желудке. Токсин вызывает активацию моторики желудочно-кишечного тракта, действует на сердечно-сосудистую систему (значительное снижение АД). </w:t>
      </w:r>
    </w:p>
    <w:p w:rsidR="001F10AC" w:rsidRPr="00A26D20" w:rsidRDefault="001F10AC"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 xml:space="preserve">При отравлении токсинами клостридий наибольшее значение придается лецитиназе С (альфа-токсин). Токсины приводят к повреждению слизистой оболочки кишечника, нарушают его всасывательную функцию, гематогенно проникают в различные органы, связываются с митохондриями клеток печени, почек, селезенки, легких. Повреждается сосудистая стенка, что ведет к развитию геморрагического синдрома. В тяжелых случаях может развиться анаэробный сепсис. Инкубационный период при стафилококковых отравлениях чаще длится 1,5-2 ч, при отравлениях токсинами клостридий - от 6 до 24 ч. При стафилококковых отравлениях наиболее характерные признаки - режущая схваткообразная боль в подложечной области, рвота. Температура тела нормальная или субфебрильная. Поноса может не быть; кратковременное расстройство стула наблюдается примерно у половины больных. Типичны нарастающая слабость, бледность кожных покровов, похолодание конечностей, снижение АД. Может развиться коллаптоидное состояние. Однако даже при резко выраженной симптоматике начального периода к концу суток от начала болезни наступает выздоровление, лишь у отдельных больных в течение 2-3 дней сохраняется слабость. </w:t>
      </w:r>
    </w:p>
    <w:p w:rsidR="001F10AC" w:rsidRPr="00A26D20" w:rsidRDefault="001F10AC" w:rsidP="00A26D20">
      <w:pPr>
        <w:widowControl w:val="0"/>
        <w:tabs>
          <w:tab w:val="left" w:pos="360"/>
        </w:tabs>
        <w:spacing w:line="360" w:lineRule="auto"/>
        <w:ind w:firstLine="709"/>
        <w:jc w:val="both"/>
        <w:rPr>
          <w:sz w:val="28"/>
          <w:szCs w:val="28"/>
        </w:rPr>
      </w:pPr>
      <w:r w:rsidRPr="00A26D20">
        <w:rPr>
          <w:sz w:val="28"/>
          <w:szCs w:val="28"/>
        </w:rPr>
        <w:t xml:space="preserve">Отравления, вызываемые тохсинами клостридий, протекают значительно тяжелее. Заболевание начинается с боли в животе, преимущественно в пупочной области; нарастает общая слабость, стул учащается до 20 раз и более, он обильный, водянистый, иногда в виде рисового отвара. Рвота и жидкий стул приводят иногда к выраженному обезвоживанию. В некоторых случаях возникает картина некротического энтерита. Летальность достигает 30%. </w:t>
      </w:r>
    </w:p>
    <w:p w:rsidR="001F10AC" w:rsidRPr="00A26D20" w:rsidRDefault="001F10AC" w:rsidP="00A26D20">
      <w:pPr>
        <w:widowControl w:val="0"/>
        <w:tabs>
          <w:tab w:val="left" w:pos="360"/>
        </w:tabs>
        <w:spacing w:line="360" w:lineRule="auto"/>
        <w:ind w:firstLine="709"/>
        <w:jc w:val="both"/>
        <w:rPr>
          <w:sz w:val="28"/>
          <w:szCs w:val="28"/>
        </w:rPr>
      </w:pPr>
      <w:r w:rsidRPr="00A26D20">
        <w:rPr>
          <w:bCs/>
          <w:sz w:val="28"/>
          <w:szCs w:val="28"/>
        </w:rPr>
        <w:t>Диагноз</w:t>
      </w:r>
      <w:r w:rsidRPr="00A26D20">
        <w:rPr>
          <w:sz w:val="28"/>
          <w:szCs w:val="28"/>
        </w:rPr>
        <w:t xml:space="preserve"> стафилококкового отравления может быть поставлен на основании характерной симптоматики и эпидемиологических предпосылок (групповой характер заболеваний, связь с определенным продуктом). Для доказательства диагноза может быть использовано выделение стафилококка, продуцирующего энтеротоксин, из остатков пищи или содержимого желудка. При отравлении прогретой пищей наличие энтеротоксина устанавливают при помощи биологической пробы на котятах или: реакции преципитации. Доказательством отравления токсинами клостридий является обнаружение этих микроорганизмов в подозрительных продуктах, в промывных водах или рвотных массах. </w:t>
      </w:r>
    </w:p>
    <w:p w:rsidR="001F10AC" w:rsidRPr="00A26D20" w:rsidRDefault="001F10AC" w:rsidP="00A26D20">
      <w:pPr>
        <w:widowControl w:val="0"/>
        <w:tabs>
          <w:tab w:val="left" w:pos="360"/>
        </w:tabs>
        <w:spacing w:line="360" w:lineRule="auto"/>
        <w:ind w:firstLine="709"/>
        <w:jc w:val="both"/>
        <w:rPr>
          <w:sz w:val="28"/>
          <w:szCs w:val="28"/>
        </w:rPr>
      </w:pPr>
      <w:r w:rsidRPr="00A26D20">
        <w:rPr>
          <w:sz w:val="28"/>
          <w:szCs w:val="28"/>
        </w:rPr>
        <w:t xml:space="preserve">Для удаления токсинов из организма промывают желудок водой или 5% раствором гидрокарбоната натрия, посла чего при стафилококковом отравлении можно назначить солевое слабительное. При развитии обезвоживания (отравление токсином клостридий) проводят комплекс мероприятий по регидратации. При среднетяжелой форме вводят в/в капельно изотонический раствор натрия хлорида или равные его объемы с 5% раствором глюкозы в количестве 1000-1500 мл. При тяжелых и очень тяжелых формах с успехом используется раствор "Трисоль". Состав его следующий: 1000 мл апирогенной стерильной воды, </w:t>
      </w:r>
      <w:smartTag w:uri="urn:schemas-microsoft-com:office:smarttags" w:element="metricconverter">
        <w:smartTagPr>
          <w:attr w:name="ProductID" w:val="5 г"/>
        </w:smartTagPr>
        <w:r w:rsidRPr="00A26D20">
          <w:rPr>
            <w:sz w:val="28"/>
            <w:szCs w:val="28"/>
          </w:rPr>
          <w:t>5 г</w:t>
        </w:r>
      </w:smartTag>
      <w:r w:rsidRPr="00A26D20">
        <w:rPr>
          <w:sz w:val="28"/>
          <w:szCs w:val="28"/>
        </w:rPr>
        <w:t xml:space="preserve"> хлориде натрия, </w:t>
      </w:r>
      <w:smartTag w:uri="urn:schemas-microsoft-com:office:smarttags" w:element="metricconverter">
        <w:smartTagPr>
          <w:attr w:name="ProductID" w:val="4 г"/>
        </w:smartTagPr>
        <w:r w:rsidRPr="00A26D20">
          <w:rPr>
            <w:sz w:val="28"/>
            <w:szCs w:val="28"/>
          </w:rPr>
          <w:t>4 г</w:t>
        </w:r>
      </w:smartTag>
      <w:r w:rsidRPr="00A26D20">
        <w:rPr>
          <w:sz w:val="28"/>
          <w:szCs w:val="28"/>
        </w:rPr>
        <w:t xml:space="preserve"> гидрокарбоната натрия и </w:t>
      </w:r>
      <w:smartTag w:uri="urn:schemas-microsoft-com:office:smarttags" w:element="metricconverter">
        <w:smartTagPr>
          <w:attr w:name="ProductID" w:val="1 г"/>
        </w:smartTagPr>
        <w:r w:rsidRPr="00A26D20">
          <w:rPr>
            <w:sz w:val="28"/>
            <w:szCs w:val="28"/>
          </w:rPr>
          <w:t>1 г</w:t>
        </w:r>
      </w:smartTag>
      <w:r w:rsidRPr="00A26D20">
        <w:rPr>
          <w:sz w:val="28"/>
          <w:szCs w:val="28"/>
        </w:rPr>
        <w:t xml:space="preserve"> хлорида калия, "Трисоль" рекомендуется комбинировать с коллоидными растворами, которые способствуют выведению токсинов из организма, восстановлению мигроциркуляции. При стафилококковых отравлениях антибиотики на назначают. При отравлениях, вызванных клостридиями, учитывая возможность анаэробного сепсиса, назначают антибиотики широкого спектра действия (тетрациклины, левомицетин, эритромицин). </w:t>
      </w:r>
    </w:p>
    <w:p w:rsidR="001F10AC" w:rsidRPr="00A26D20" w:rsidRDefault="001F10AC" w:rsidP="00A26D20">
      <w:pPr>
        <w:widowControl w:val="0"/>
        <w:tabs>
          <w:tab w:val="left" w:pos="360"/>
        </w:tabs>
        <w:spacing w:line="360" w:lineRule="auto"/>
        <w:ind w:firstLine="709"/>
        <w:jc w:val="both"/>
        <w:rPr>
          <w:sz w:val="28"/>
          <w:szCs w:val="28"/>
        </w:rPr>
      </w:pPr>
      <w:r w:rsidRPr="00A26D20">
        <w:rPr>
          <w:sz w:val="28"/>
          <w:szCs w:val="28"/>
        </w:rPr>
        <w:t xml:space="preserve">Прогноз при стафилококковых отравлениях благоприятный. При отравлениях токсинами клостридий прогноз серьезный, особенно при развитии анаэробного сепсиса. </w:t>
      </w:r>
    </w:p>
    <w:p w:rsidR="001F10AC" w:rsidRPr="00A26D20" w:rsidRDefault="001F10AC" w:rsidP="00A26D20">
      <w:pPr>
        <w:widowControl w:val="0"/>
        <w:tabs>
          <w:tab w:val="left" w:pos="360"/>
        </w:tabs>
        <w:spacing w:line="360" w:lineRule="auto"/>
        <w:ind w:firstLine="709"/>
        <w:jc w:val="both"/>
        <w:rPr>
          <w:sz w:val="28"/>
          <w:szCs w:val="28"/>
        </w:rPr>
      </w:pPr>
      <w:r w:rsidRPr="00A26D20">
        <w:rPr>
          <w:sz w:val="28"/>
          <w:szCs w:val="28"/>
        </w:rPr>
        <w:t xml:space="preserve">Проводят мероприятия по уменьшению носительства стафилококков среди работников службы питания (предупреждение и лечение гнойничковых заболеваний, лечение хронических воспалительных заболеваний миндалин, верхних дыхательных путей). Не допускаются к работе лица, имеющие гнойничковые заболевания. Необходимо правильное хранение готовых блюд, исключающее размножение этих стафилококков. Для профилактики отравлений токсинами клостркдий основное значение имеет контроль за забоем скота, обработкой, хранением и транспортировкой мяса. </w:t>
      </w:r>
    </w:p>
    <w:p w:rsidR="001F10AC" w:rsidRPr="00A26D20" w:rsidRDefault="001F10AC" w:rsidP="00A26D20">
      <w:pPr>
        <w:widowControl w:val="0"/>
        <w:spacing w:line="360" w:lineRule="auto"/>
        <w:ind w:firstLine="709"/>
        <w:jc w:val="both"/>
        <w:rPr>
          <w:sz w:val="28"/>
          <w:szCs w:val="28"/>
        </w:rPr>
      </w:pPr>
      <w:r w:rsidRPr="00A26D20">
        <w:rPr>
          <w:sz w:val="28"/>
          <w:szCs w:val="28"/>
        </w:rPr>
        <w:t>Энтеротоксины - группа экзотоксинов, вызывающих диарею и др. признаки острого кишечного заболевания. Более изучены холерный Э. (см. Холера), термолабильный Э. кишечной палочки, обладающие близким механизмом действия, связанным с активацией системы цАМФ -аденилатциклаза; токсины такого типа, по-видимому, выделяют некоторые штаммы S. typhimurium,K. pneumoniae, С. perfringens, С. difficile, S. aureus; токсин Шига (ядовитое вещество, оказывающее особенно заметное действие на желудочно-кишечныйтракт, вызывая у человека рвоту, понос и боль в животе.)</w:t>
      </w:r>
    </w:p>
    <w:p w:rsidR="001F10AC" w:rsidRPr="00A26D20" w:rsidRDefault="001F10AC"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 xml:space="preserve">Нейротоксины </w:t>
      </w:r>
      <w:r w:rsidRPr="00A26D20">
        <w:rPr>
          <w:i/>
          <w:iCs/>
          <w:color w:val="auto"/>
          <w:sz w:val="28"/>
          <w:szCs w:val="28"/>
        </w:rPr>
        <w:t>C.botulinum</w:t>
      </w:r>
      <w:r w:rsidRPr="00A26D20">
        <w:rPr>
          <w:color w:val="auto"/>
          <w:sz w:val="28"/>
          <w:szCs w:val="28"/>
        </w:rPr>
        <w:t xml:space="preserve"> (BoNT серотипов A vG) и </w:t>
      </w:r>
      <w:r w:rsidRPr="00A26D20">
        <w:rPr>
          <w:i/>
          <w:iCs/>
          <w:color w:val="auto"/>
          <w:sz w:val="28"/>
          <w:szCs w:val="28"/>
        </w:rPr>
        <w:t>C.tetani</w:t>
      </w:r>
      <w:r w:rsidRPr="00A26D20">
        <w:rPr>
          <w:color w:val="auto"/>
          <w:sz w:val="28"/>
          <w:szCs w:val="28"/>
        </w:rPr>
        <w:t xml:space="preserve"> (TeNT) формируют другую категорию бактериальных токсинов на основании сходства структуры, ферментативной активности и мишеней - клеток нервной системы. Токсины BoNT наиболее часто связаны с ботулизмом у новорожденных и пищевым ботулизмом и существуют в природе в виде больших комплексов, включающих нейротоксин и один или несколько белков, которые, как полагают, обеспечивают защиту и стабильность молекулы токсина в желудочно-кишечном тракте. TeNT, синтезируемый в ранах вегетативными формами </w:t>
      </w:r>
      <w:r w:rsidRPr="00A26D20">
        <w:rPr>
          <w:i/>
          <w:iCs/>
          <w:color w:val="auto"/>
          <w:sz w:val="28"/>
          <w:szCs w:val="28"/>
        </w:rPr>
        <w:t>C.tetani</w:t>
      </w:r>
      <w:r w:rsidRPr="00A26D20">
        <w:rPr>
          <w:color w:val="auto"/>
          <w:sz w:val="28"/>
          <w:szCs w:val="28"/>
        </w:rPr>
        <w:t>, не формирует комплексов с белками.</w:t>
      </w:r>
    </w:p>
    <w:p w:rsidR="001F10AC" w:rsidRPr="00A26D20" w:rsidRDefault="001F10AC"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Гены, кодирующие BoNT и TeNT, локализованы на плазмидах (TeNT, BoNT/A, G и, возможно, B) или в составе бактериофагов (BoNT/C, D, E, F). Нейротоксины синтезируются в виде неактивных полипептидов с молекулярной массой до 150 кДа. Они высвобождаются при лизисе бактериальной клетки и активируются путем протеолитического расщепления незащищенной петли полипептида. Каждая активная молекула нейротоксина состоит из тяжелой (100 кДа) и легкой (50 кДа) цепочек, соединенных единичной бисульфидной связью. Тяжелая цепочка BoNT и TeNT содержит два домена: участок, ответственный за транслокацию токсина в N-концевой части, и область на C-конце, регулирующую связывание токсина с клеткой. Легкие цепочки BoNT и TeNT содержат цинксвязывающие последовательности, необходимые для осуществления протеазной активности токсина, зависящей от ионов цинка.</w:t>
      </w:r>
    </w:p>
    <w:p w:rsidR="001F10AC" w:rsidRPr="00A26D20" w:rsidRDefault="001F10AC"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Клеточными мишенями BoNT и TeNT является группа белков, необходимых для стыковки и соединения синаптических пузырьков с пресинаптическими плазматическими мембранами с последующим высвобождением нейромедиаторов. BoNT связываются с рецепторами на пресинаптической мембране моторных нейронов периферической нервной системы. Протеолиз белков-мишеней в этих нейронах ингибирует высвобождение ацетилхолина, препятствуя таким образом мышечным сокращениям. BoNT/B, D, F и G разрушают везикулоассоциированный мембранный протеин и синаптобревин; BoNT/A и E поражают синаптосомально-ассоциированный белок SNAP 25; BoNT/C гидролизует синтаксин и SNAP 25.</w:t>
      </w:r>
    </w:p>
    <w:p w:rsidR="001F10AC" w:rsidRPr="00A26D20" w:rsidRDefault="001F10AC"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TeNT воздействует на центральную нервную систему, поражая два вида нейронов. Он первоначально связывается с рецепторами пресинаптической мембраны моторных нейронов, но затем с помощью обратного везикулярного транспорта перемещается в спинной мозг, где может внедриться в тормозные и вставочные нейроны. Расщепление везикулоассоциированного мембранного протеина и синаптобревина в этих нейронах приводит к высвобождению глицина и гамма-аминомаслянойкислоты, которые в свою очередь вызывают мышечные сокращения (контрактуры). Различия в клинических проявлениях интоксикации BoNT и TeNT (пониженный тонус мышц и спастический паралич соответственно) являются прямым следствием воздействия данных токсинов на различные нейроны и блокирования различных нейротрансмиттеров.</w:t>
      </w:r>
    </w:p>
    <w:p w:rsidR="001F10AC" w:rsidRPr="00A26D20" w:rsidRDefault="001F10AC" w:rsidP="00A26D20">
      <w:pPr>
        <w:pStyle w:val="a8"/>
        <w:widowControl w:val="0"/>
        <w:spacing w:before="0" w:beforeAutospacing="0" w:after="0" w:afterAutospacing="0" w:line="360" w:lineRule="auto"/>
        <w:ind w:firstLine="709"/>
        <w:jc w:val="both"/>
        <w:rPr>
          <w:color w:val="auto"/>
          <w:sz w:val="28"/>
          <w:szCs w:val="28"/>
        </w:rPr>
      </w:pPr>
      <w:r w:rsidRPr="00A26D20">
        <w:rPr>
          <w:color w:val="auto"/>
          <w:sz w:val="28"/>
          <w:szCs w:val="28"/>
        </w:rPr>
        <w:t>Некоторые бактериальные токсины действуют непосредственно на Т-клетки и антигенпрезентирующие клетки иммунной системы. При нарушении функций этих клеток, вызванном токсином, развиваются заболевания. Одна из больших групп этой категории токсинов - пирогенные токсины, обладающие свойствами суперантигенов (PTSAg). Их отличительная особенность - мощное стимулирующее действие на клетки иммунной системы, пирогенность и усиление эндотоксического шока. Эти термостабильные токсины с молекулярной массой от 22 до 30 кДа включают стафилококковые энтеротоксины серотипов AvE, G и H, пирогенные экзотоксины стрептококков группы А (серотипы AvC и F), суперантиген стрептококков группы А и стафилококковый TSST-1.</w:t>
      </w:r>
      <w:r w:rsidRPr="00A26D20">
        <w:rPr>
          <w:rStyle w:val="ad"/>
          <w:color w:val="auto"/>
          <w:sz w:val="28"/>
          <w:szCs w:val="28"/>
        </w:rPr>
        <w:footnoteReference w:id="2"/>
      </w:r>
    </w:p>
    <w:p w:rsidR="001F10AC" w:rsidRPr="00A26D20" w:rsidRDefault="001F10AC" w:rsidP="00A26D20">
      <w:pPr>
        <w:widowControl w:val="0"/>
        <w:spacing w:line="360" w:lineRule="auto"/>
        <w:ind w:firstLine="709"/>
        <w:jc w:val="both"/>
        <w:rPr>
          <w:sz w:val="28"/>
        </w:rPr>
      </w:pPr>
    </w:p>
    <w:p w:rsidR="002F08AE" w:rsidRPr="00A26D20" w:rsidRDefault="002F08AE" w:rsidP="00A26D20">
      <w:pPr>
        <w:pStyle w:val="1"/>
        <w:keepNext w:val="0"/>
        <w:widowControl w:val="0"/>
        <w:spacing w:before="0" w:after="0" w:line="360" w:lineRule="auto"/>
        <w:ind w:firstLine="709"/>
        <w:jc w:val="both"/>
        <w:rPr>
          <w:rFonts w:ascii="Times New Roman" w:hAnsi="Times New Roman" w:cs="Times New Roman"/>
          <w:sz w:val="28"/>
        </w:rPr>
      </w:pPr>
      <w:bookmarkStart w:id="3" w:name="_Toc130920755"/>
      <w:r w:rsidRPr="00A26D20">
        <w:rPr>
          <w:rFonts w:ascii="Times New Roman" w:hAnsi="Times New Roman" w:cs="Times New Roman"/>
          <w:sz w:val="28"/>
        </w:rPr>
        <w:t>Вопрос №33. Продукты питания, содержание биогенные амины</w:t>
      </w:r>
      <w:bookmarkEnd w:id="3"/>
    </w:p>
    <w:p w:rsidR="00826978" w:rsidRPr="00A26D20" w:rsidRDefault="00826978" w:rsidP="00A26D20">
      <w:pPr>
        <w:widowControl w:val="0"/>
        <w:spacing w:line="360" w:lineRule="auto"/>
        <w:ind w:firstLine="709"/>
        <w:jc w:val="both"/>
        <w:rPr>
          <w:sz w:val="28"/>
          <w:szCs w:val="28"/>
        </w:rPr>
      </w:pPr>
    </w:p>
    <w:p w:rsidR="00FA3389" w:rsidRPr="00A26D20" w:rsidRDefault="00FA3389" w:rsidP="00A26D20">
      <w:pPr>
        <w:widowControl w:val="0"/>
        <w:spacing w:line="360" w:lineRule="auto"/>
        <w:ind w:firstLine="709"/>
        <w:jc w:val="both"/>
        <w:rPr>
          <w:sz w:val="28"/>
          <w:szCs w:val="28"/>
        </w:rPr>
      </w:pPr>
      <w:r w:rsidRPr="00A26D20">
        <w:rPr>
          <w:sz w:val="28"/>
          <w:szCs w:val="28"/>
        </w:rPr>
        <w:t>Парафармацевтики - это, как правило, продукты, содержащие минорные компоненты пищи - органические кислоты, биофлаваноиды, дубильные, фенольные соединения и олигопептиды, некоторые олигосахариды, так называемые натурпродукты. Их действие направлено на активацию и стимуляцию функции отдельных органов и систем в пределах физиологических границ (например, стимуляция секреторной, моторно-эвакуаторной функции кишечника пищевыми волокнами, стимуляция умственной и физической работоспособности адаптогенами, регуляция липидно-холестеринового обмена, функции центральной нервной и сердечно-сосудистой систем).</w:t>
      </w:r>
    </w:p>
    <w:p w:rsidR="00FA3389" w:rsidRPr="00A26D20" w:rsidRDefault="00FA3389" w:rsidP="00A26D20">
      <w:pPr>
        <w:widowControl w:val="0"/>
        <w:spacing w:line="360" w:lineRule="auto"/>
        <w:ind w:firstLine="709"/>
        <w:jc w:val="both"/>
        <w:rPr>
          <w:sz w:val="28"/>
          <w:szCs w:val="28"/>
        </w:rPr>
      </w:pPr>
      <w:r w:rsidRPr="00A26D20">
        <w:rPr>
          <w:sz w:val="28"/>
          <w:szCs w:val="28"/>
        </w:rPr>
        <w:t>Однако физиологический уровень содержания активных компонентов многих парафармацевтиков в клетках и тканях организма неизвестен (биогенные амины, олигопептиды, гликозиды, органические кислоты, сапонины), как неизвестна и физиологическая потребность в них здорового человека. Более того, пока еще вообще не идентифицированы активные компоненты многих парафармацевтиков. Пример таких соединений - экстракты, получаемые из сложных комплексов пищевых и лекарственных растений и других видов природного сырья или смеси сухих лекарственных трав. Поэтому необходимы научные исследования эффективности парафармацевтиков.</w:t>
      </w:r>
    </w:p>
    <w:p w:rsidR="00FA3389" w:rsidRPr="00A26D20" w:rsidRDefault="00FA3389" w:rsidP="00A26D20">
      <w:pPr>
        <w:widowControl w:val="0"/>
        <w:spacing w:line="360" w:lineRule="auto"/>
        <w:ind w:firstLine="709"/>
        <w:jc w:val="both"/>
        <w:rPr>
          <w:sz w:val="28"/>
          <w:szCs w:val="28"/>
        </w:rPr>
      </w:pPr>
      <w:r w:rsidRPr="00A26D20">
        <w:rPr>
          <w:sz w:val="28"/>
          <w:szCs w:val="28"/>
        </w:rPr>
        <w:t xml:space="preserve">Исходя из этого, следует помнить, что применять парафармацевтики, состоящие из трав или их компонентов, надо очень осторожно, поскольку реакции организма могут оказаться неадекватными: более сильными, чем нужно, или ослабленными либо извращенными. </w:t>
      </w:r>
    </w:p>
    <w:p w:rsidR="00FA3389" w:rsidRPr="00A26D20" w:rsidRDefault="00FA3389" w:rsidP="00A26D20">
      <w:pPr>
        <w:widowControl w:val="0"/>
        <w:spacing w:line="360" w:lineRule="auto"/>
        <w:ind w:firstLine="709"/>
        <w:jc w:val="both"/>
        <w:rPr>
          <w:sz w:val="28"/>
          <w:szCs w:val="28"/>
        </w:rPr>
      </w:pPr>
      <w:r w:rsidRPr="00A26D20">
        <w:rPr>
          <w:sz w:val="28"/>
          <w:szCs w:val="28"/>
        </w:rPr>
        <w:t xml:space="preserve">Парафармацевтики не относятся к лекарствам и не могут их заменять. Основное отличие их от лекарств: количество действующего начала в суточной дозе парафармацевтика не должно превышать разовую терапевтическую дозу этого вещества в случае, когда оно применяется в химически чистом виде в качестве лекарственного средства (приказ Минздрава России №117 от 15.04.97 г.). Парафармацевтики в большинстве своем являются источниками природных компонентов пищи, чаще не обладающих питательной ценностью. Однако в силу способности мягко регулировать функции отдельных органов и систем они также рассматриваются как незаменимые факторы питания. К парафармацевтикам относятся и продукты, приготовленные на основе композиций особых видов микроорганизмов, предназначенные для нормализации и поддержания микробиоценоза кишечника (эубиотики/пробиотики). Парафармацевтики классифицируются как пищевые продукты и реализуются в свободной продаже. При их использовании в качестве вспомогательной терапии заболеваний или в качестве профилактических средств перед применением необходима консультация врача-специалиста. Парафармацевтики имеют широкий диапазон используемых доз и низкую вероятность токсических и побочных эффектов. Однако у людей с хроническими заболеваниями может наблюдаться индивидуальная непереносимость некоторых компонентов препарата. </w:t>
      </w:r>
    </w:p>
    <w:p w:rsidR="00FA3389" w:rsidRPr="00A26D20" w:rsidRDefault="00FA3389" w:rsidP="00A26D20">
      <w:pPr>
        <w:widowControl w:val="0"/>
        <w:spacing w:line="360" w:lineRule="auto"/>
        <w:ind w:firstLine="709"/>
        <w:jc w:val="both"/>
        <w:rPr>
          <w:sz w:val="28"/>
          <w:szCs w:val="28"/>
        </w:rPr>
      </w:pPr>
      <w:r w:rsidRPr="00A26D20">
        <w:rPr>
          <w:sz w:val="28"/>
          <w:szCs w:val="28"/>
        </w:rPr>
        <w:t xml:space="preserve">С лекарствами парафармацевтики сближает то, что они выпускаются в виде таблеток или капсул, экстрактов, настоев, порошков, сиропов. Основой лекарства могут быть те же активные вещества, что и содержащиеся в парафармацевтике, но их дозы в последнем существенно ниже, чем в лекарственной форме. </w:t>
      </w:r>
    </w:p>
    <w:p w:rsidR="00FA3389" w:rsidRPr="00A26D20" w:rsidRDefault="00FA3389" w:rsidP="00A26D20">
      <w:pPr>
        <w:widowControl w:val="0"/>
        <w:spacing w:line="360" w:lineRule="auto"/>
        <w:ind w:firstLine="709"/>
        <w:jc w:val="both"/>
        <w:rPr>
          <w:sz w:val="28"/>
          <w:szCs w:val="28"/>
        </w:rPr>
      </w:pPr>
      <w:r w:rsidRPr="00A26D20">
        <w:rPr>
          <w:sz w:val="28"/>
          <w:szCs w:val="28"/>
        </w:rPr>
        <w:t>Сегодня можно с уверенностью сказать, что биологически активным добавкам к пище принадлежит будущее. Возможно, в скором времени они позволят эффективно осуществлять профилактику многих заболеваний.</w:t>
      </w:r>
    </w:p>
    <w:p w:rsidR="00FA3389" w:rsidRPr="00A26D20" w:rsidRDefault="00FA3389" w:rsidP="00A26D20">
      <w:pPr>
        <w:widowControl w:val="0"/>
        <w:spacing w:line="360" w:lineRule="auto"/>
        <w:ind w:firstLine="709"/>
        <w:jc w:val="both"/>
        <w:rPr>
          <w:sz w:val="28"/>
          <w:szCs w:val="28"/>
        </w:rPr>
      </w:pPr>
      <w:r w:rsidRPr="00A26D20">
        <w:rPr>
          <w:sz w:val="28"/>
          <w:szCs w:val="28"/>
        </w:rPr>
        <w:t>Проблема оценки качества продовольствия сегодня представляется достаточно важной для сохранения</w:t>
      </w:r>
      <w:r w:rsidR="00A26D20">
        <w:rPr>
          <w:sz w:val="28"/>
          <w:szCs w:val="28"/>
        </w:rPr>
        <w:t xml:space="preserve"> </w:t>
      </w:r>
      <w:r w:rsidRPr="00A26D20">
        <w:rPr>
          <w:sz w:val="28"/>
          <w:szCs w:val="28"/>
        </w:rPr>
        <w:t>здоровья населения в условиях ухудшения экологической обстановки. Значительную долю продуктов, поступающих на стол человека занимают мясные продукты – белковые компоненты животного</w:t>
      </w:r>
      <w:r w:rsidR="00A26D20">
        <w:rPr>
          <w:sz w:val="28"/>
          <w:szCs w:val="28"/>
        </w:rPr>
        <w:t xml:space="preserve"> </w:t>
      </w:r>
      <w:r w:rsidRPr="00A26D20">
        <w:rPr>
          <w:sz w:val="28"/>
          <w:szCs w:val="28"/>
        </w:rPr>
        <w:t>происхождения. Процессы биохимического распада белков, содержащихся в мясе и мясных продуктах, приводят к ухудшению потребительских свойств мясных изделий, ухудшая экологию питания человека. Ряд веществ, в первую очередь гистамин, серотонин, тирамин и кадаверин. Образующихся в результате биодеградации может</w:t>
      </w:r>
      <w:r w:rsidR="00A26D20">
        <w:rPr>
          <w:sz w:val="28"/>
          <w:szCs w:val="28"/>
        </w:rPr>
        <w:t xml:space="preserve"> </w:t>
      </w:r>
      <w:r w:rsidRPr="00A26D20">
        <w:rPr>
          <w:sz w:val="28"/>
          <w:szCs w:val="28"/>
        </w:rPr>
        <w:t>служить</w:t>
      </w:r>
      <w:r w:rsidR="00A26D20">
        <w:rPr>
          <w:sz w:val="28"/>
          <w:szCs w:val="28"/>
        </w:rPr>
        <w:t xml:space="preserve"> </w:t>
      </w:r>
      <w:r w:rsidRPr="00A26D20">
        <w:rPr>
          <w:sz w:val="28"/>
          <w:szCs w:val="28"/>
        </w:rPr>
        <w:t>для тестирования безопасности</w:t>
      </w:r>
      <w:r w:rsidR="00A26D20">
        <w:rPr>
          <w:sz w:val="28"/>
          <w:szCs w:val="28"/>
        </w:rPr>
        <w:t xml:space="preserve"> </w:t>
      </w:r>
      <w:r w:rsidRPr="00A26D20">
        <w:rPr>
          <w:sz w:val="28"/>
          <w:szCs w:val="28"/>
        </w:rPr>
        <w:t>продовольствияю Количество этих веществ в</w:t>
      </w:r>
      <w:r w:rsidR="00A26D20">
        <w:rPr>
          <w:sz w:val="28"/>
          <w:szCs w:val="28"/>
        </w:rPr>
        <w:t xml:space="preserve"> </w:t>
      </w:r>
      <w:r w:rsidRPr="00A26D20">
        <w:rPr>
          <w:sz w:val="28"/>
          <w:szCs w:val="28"/>
        </w:rPr>
        <w:t>пищевых продуктах обычно различается и колеблется от &lt; 1 до 2500 мг/кг. Уровень</w:t>
      </w:r>
      <w:r w:rsidR="00A26D20">
        <w:rPr>
          <w:sz w:val="28"/>
          <w:szCs w:val="28"/>
        </w:rPr>
        <w:t xml:space="preserve"> </w:t>
      </w:r>
      <w:r w:rsidRPr="00A26D20">
        <w:rPr>
          <w:sz w:val="28"/>
          <w:szCs w:val="28"/>
        </w:rPr>
        <w:t xml:space="preserve">содержания биогенных аминов &gt;100 мг в кг продукта вреден для здоровья человека. </w:t>
      </w:r>
    </w:p>
    <w:p w:rsidR="00FA3389" w:rsidRPr="00A26D20" w:rsidRDefault="00FA3389" w:rsidP="00A26D20">
      <w:pPr>
        <w:widowControl w:val="0"/>
        <w:spacing w:line="360" w:lineRule="auto"/>
        <w:ind w:firstLine="709"/>
        <w:jc w:val="both"/>
        <w:rPr>
          <w:sz w:val="28"/>
          <w:szCs w:val="28"/>
        </w:rPr>
      </w:pPr>
      <w:r w:rsidRPr="00A26D20">
        <w:rPr>
          <w:sz w:val="28"/>
          <w:szCs w:val="28"/>
        </w:rPr>
        <w:t>Проведено изучение биохимического состояния различных продуктов, в состав которых</w:t>
      </w:r>
      <w:r w:rsidR="00A26D20">
        <w:rPr>
          <w:sz w:val="28"/>
          <w:szCs w:val="28"/>
        </w:rPr>
        <w:t xml:space="preserve"> </w:t>
      </w:r>
      <w:r w:rsidRPr="00A26D20">
        <w:rPr>
          <w:sz w:val="28"/>
          <w:szCs w:val="28"/>
        </w:rPr>
        <w:t>включена говядина и свинина, которые подвергали хранению при различных температурах и длительности и использовали для</w:t>
      </w:r>
      <w:r w:rsidR="00A26D20">
        <w:rPr>
          <w:sz w:val="28"/>
          <w:szCs w:val="28"/>
        </w:rPr>
        <w:t xml:space="preserve"> </w:t>
      </w:r>
      <w:r w:rsidRPr="00A26D20">
        <w:rPr>
          <w:sz w:val="28"/>
          <w:szCs w:val="28"/>
        </w:rPr>
        <w:t>последующей идентификации образующегося в процессе хранения характерного диамина – кадаверина храматографическим методом. Определены условия образования указанных веществ в</w:t>
      </w:r>
      <w:r w:rsidR="00A26D20">
        <w:rPr>
          <w:sz w:val="28"/>
          <w:szCs w:val="28"/>
        </w:rPr>
        <w:t xml:space="preserve"> </w:t>
      </w:r>
      <w:r w:rsidRPr="00A26D20">
        <w:rPr>
          <w:sz w:val="28"/>
          <w:szCs w:val="28"/>
        </w:rPr>
        <w:t>динамике и статике. Проведенные исследования показывают, что наблюдается практически пропорциональная зависимость содержания кадаверина от времени выдержки образцов. Исходные образцы говядины и свинины, проанализированные методом тонкослойной хроматографии,</w:t>
      </w:r>
      <w:r w:rsidR="00A26D20">
        <w:rPr>
          <w:sz w:val="28"/>
          <w:szCs w:val="28"/>
        </w:rPr>
        <w:t xml:space="preserve"> </w:t>
      </w:r>
      <w:r w:rsidRPr="00A26D20">
        <w:rPr>
          <w:sz w:val="28"/>
          <w:szCs w:val="28"/>
        </w:rPr>
        <w:t xml:space="preserve">в сравнении со стандартом чистого кадаверина, содержали от 10 до 14 мг кадаверина на кг массы образца. Количество этого вещества в зависимости от условий хранения и обработки продукции возрастало в 3 – 10 раз. </w:t>
      </w:r>
    </w:p>
    <w:p w:rsidR="00FA3389" w:rsidRPr="00A26D20" w:rsidRDefault="00FA3389" w:rsidP="00A26D20">
      <w:pPr>
        <w:widowControl w:val="0"/>
        <w:spacing w:line="360" w:lineRule="auto"/>
        <w:ind w:firstLine="709"/>
        <w:jc w:val="both"/>
        <w:rPr>
          <w:sz w:val="28"/>
          <w:szCs w:val="28"/>
        </w:rPr>
      </w:pPr>
      <w:r w:rsidRPr="00A26D20">
        <w:rPr>
          <w:sz w:val="28"/>
          <w:szCs w:val="28"/>
        </w:rPr>
        <w:t>Проведенные исследования позволяют осуществлять использование</w:t>
      </w:r>
      <w:r w:rsidR="00A26D20">
        <w:rPr>
          <w:sz w:val="28"/>
          <w:szCs w:val="28"/>
        </w:rPr>
        <w:t xml:space="preserve"> </w:t>
      </w:r>
      <w:r w:rsidRPr="00A26D20">
        <w:rPr>
          <w:sz w:val="28"/>
          <w:szCs w:val="28"/>
        </w:rPr>
        <w:t>в качестве</w:t>
      </w:r>
      <w:r w:rsidR="00A26D20">
        <w:rPr>
          <w:sz w:val="28"/>
          <w:szCs w:val="28"/>
        </w:rPr>
        <w:t xml:space="preserve"> </w:t>
      </w:r>
      <w:r w:rsidRPr="00A26D20">
        <w:rPr>
          <w:sz w:val="28"/>
          <w:szCs w:val="28"/>
        </w:rPr>
        <w:t>“сигнального”</w:t>
      </w:r>
      <w:r w:rsidR="00A26D20">
        <w:rPr>
          <w:sz w:val="28"/>
          <w:szCs w:val="28"/>
        </w:rPr>
        <w:t xml:space="preserve"> </w:t>
      </w:r>
      <w:r w:rsidRPr="00A26D20">
        <w:rPr>
          <w:sz w:val="28"/>
          <w:szCs w:val="28"/>
        </w:rPr>
        <w:t>вещества</w:t>
      </w:r>
      <w:r w:rsidR="00A26D20">
        <w:rPr>
          <w:sz w:val="28"/>
          <w:szCs w:val="28"/>
        </w:rPr>
        <w:t xml:space="preserve"> </w:t>
      </w:r>
      <w:r w:rsidRPr="00A26D20">
        <w:rPr>
          <w:sz w:val="28"/>
          <w:szCs w:val="28"/>
        </w:rPr>
        <w:t>кадаверина</w:t>
      </w:r>
      <w:r w:rsidR="00A26D20">
        <w:rPr>
          <w:sz w:val="28"/>
          <w:szCs w:val="28"/>
        </w:rPr>
        <w:t xml:space="preserve"> </w:t>
      </w:r>
      <w:r w:rsidRPr="00A26D20">
        <w:rPr>
          <w:sz w:val="28"/>
          <w:szCs w:val="28"/>
        </w:rPr>
        <w:t>для последующей разработки физико-химического метода идентификации</w:t>
      </w:r>
      <w:r w:rsidR="00A26D20">
        <w:rPr>
          <w:sz w:val="28"/>
          <w:szCs w:val="28"/>
        </w:rPr>
        <w:t xml:space="preserve"> </w:t>
      </w:r>
      <w:r w:rsidRPr="00A26D20">
        <w:rPr>
          <w:sz w:val="28"/>
          <w:szCs w:val="28"/>
        </w:rPr>
        <w:t>биохимического состояния мяса и оценки свежести мясной продукции.</w:t>
      </w:r>
      <w:r w:rsidR="0078692E" w:rsidRPr="00A26D20">
        <w:rPr>
          <w:rStyle w:val="ad"/>
          <w:sz w:val="28"/>
          <w:szCs w:val="28"/>
        </w:rPr>
        <w:footnoteReference w:id="3"/>
      </w:r>
    </w:p>
    <w:p w:rsidR="00A26D20" w:rsidRDefault="00A26D20" w:rsidP="00A26D20">
      <w:pPr>
        <w:pStyle w:val="1"/>
        <w:keepNext w:val="0"/>
        <w:widowControl w:val="0"/>
        <w:spacing w:before="0" w:after="0" w:line="360" w:lineRule="auto"/>
        <w:ind w:firstLine="709"/>
        <w:jc w:val="both"/>
        <w:rPr>
          <w:rFonts w:ascii="Times New Roman" w:hAnsi="Times New Roman" w:cs="Times New Roman"/>
          <w:sz w:val="28"/>
        </w:rPr>
      </w:pPr>
    </w:p>
    <w:p w:rsidR="002F08AE" w:rsidRPr="00A26D20" w:rsidRDefault="002F08AE" w:rsidP="00A26D20">
      <w:pPr>
        <w:pStyle w:val="1"/>
        <w:keepNext w:val="0"/>
        <w:widowControl w:val="0"/>
        <w:spacing w:before="0" w:after="0" w:line="360" w:lineRule="auto"/>
        <w:ind w:firstLine="709"/>
        <w:jc w:val="both"/>
        <w:rPr>
          <w:rFonts w:ascii="Times New Roman" w:hAnsi="Times New Roman" w:cs="Times New Roman"/>
          <w:sz w:val="28"/>
        </w:rPr>
      </w:pPr>
      <w:bookmarkStart w:id="4" w:name="_Toc130920756"/>
      <w:r w:rsidRPr="00A26D20">
        <w:rPr>
          <w:rFonts w:ascii="Times New Roman" w:hAnsi="Times New Roman" w:cs="Times New Roman"/>
          <w:sz w:val="28"/>
        </w:rPr>
        <w:t>Задача №46. Идентифицировать загрязняющие вещества в твороге и творожных изделиях. Указать допустимые уровни, объяснить пути попадания токсичных элементов</w:t>
      </w:r>
      <w:bookmarkEnd w:id="4"/>
      <w:r w:rsidRPr="00A26D20">
        <w:rPr>
          <w:rFonts w:ascii="Times New Roman" w:hAnsi="Times New Roman" w:cs="Times New Roman"/>
          <w:sz w:val="28"/>
        </w:rPr>
        <w:t xml:space="preserve"> </w:t>
      </w:r>
    </w:p>
    <w:p w:rsidR="001F10AC" w:rsidRPr="00A26D20" w:rsidRDefault="001F10AC" w:rsidP="00A26D20">
      <w:pPr>
        <w:widowControl w:val="0"/>
        <w:spacing w:line="360" w:lineRule="auto"/>
        <w:ind w:firstLine="709"/>
        <w:jc w:val="both"/>
        <w:rPr>
          <w:sz w:val="28"/>
        </w:rPr>
      </w:pPr>
    </w:p>
    <w:p w:rsidR="001F10AC" w:rsidRPr="00A26D20" w:rsidRDefault="001F10AC" w:rsidP="00A26D20">
      <w:pPr>
        <w:widowControl w:val="0"/>
        <w:spacing w:line="360" w:lineRule="auto"/>
        <w:ind w:firstLine="709"/>
        <w:jc w:val="both"/>
        <w:rPr>
          <w:sz w:val="28"/>
        </w:rPr>
      </w:pPr>
      <w:r w:rsidRPr="00A26D20">
        <w:rPr>
          <w:sz w:val="28"/>
          <w:szCs w:val="28"/>
        </w:rPr>
        <w:t>Чтобы идентифицировать загрязняющие вещества в сахаре необходимо использовать Санитарно-эпидемиологические правила и нормативы «Гигиенические требования к безопасности и пищевой ценности пищевых продуктов. СанПин 2.3.2.1078-01 (утв.: Постановление Главного государственного санитарного врача РФ №36 от 14.11.2001 года (в ред. От 15.04.2003 года))</w:t>
      </w:r>
    </w:p>
    <w:p w:rsidR="001F10AC" w:rsidRPr="00A26D20" w:rsidRDefault="001F10AC" w:rsidP="00A26D20">
      <w:pPr>
        <w:pStyle w:val="ab"/>
        <w:widowControl w:val="0"/>
        <w:rPr>
          <w:color w:val="auto"/>
          <w:szCs w:val="28"/>
        </w:rPr>
      </w:pPr>
      <w:r w:rsidRPr="00A26D20">
        <w:rPr>
          <w:color w:val="auto"/>
          <w:szCs w:val="28"/>
        </w:rPr>
        <w:t>Данные этого документа сведены в таблицу 1.</w:t>
      </w:r>
    </w:p>
    <w:p w:rsidR="001F10AC" w:rsidRPr="00A26D20" w:rsidRDefault="001F10AC" w:rsidP="00A26D20">
      <w:pPr>
        <w:pStyle w:val="ab"/>
        <w:widowControl w:val="0"/>
        <w:rPr>
          <w:color w:val="auto"/>
          <w:szCs w:val="28"/>
        </w:rPr>
      </w:pPr>
      <w:r w:rsidRPr="00A26D20">
        <w:rPr>
          <w:color w:val="auto"/>
          <w:szCs w:val="28"/>
        </w:rPr>
        <w:t>Таблица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2133"/>
        <w:gridCol w:w="1800"/>
        <w:gridCol w:w="3600"/>
      </w:tblGrid>
      <w:tr w:rsidR="001F10AC" w:rsidRPr="00120877" w:rsidTr="00120877">
        <w:tc>
          <w:tcPr>
            <w:tcW w:w="2295"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Наименование продукта</w:t>
            </w:r>
          </w:p>
        </w:tc>
        <w:tc>
          <w:tcPr>
            <w:tcW w:w="2133"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 xml:space="preserve">Показатель </w:t>
            </w:r>
          </w:p>
        </w:tc>
        <w:tc>
          <w:tcPr>
            <w:tcW w:w="1800"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Допустимые уровни мг/кг, не более</w:t>
            </w:r>
          </w:p>
        </w:tc>
        <w:tc>
          <w:tcPr>
            <w:tcW w:w="3600"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Примечание</w:t>
            </w:r>
          </w:p>
        </w:tc>
      </w:tr>
      <w:tr w:rsidR="001F10AC" w:rsidRPr="00120877" w:rsidTr="00120877">
        <w:tc>
          <w:tcPr>
            <w:tcW w:w="2295" w:type="dxa"/>
            <w:vMerge w:val="restart"/>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Творог и творожные изделия</w:t>
            </w: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ind w:firstLine="0"/>
              <w:rPr>
                <w:color w:val="auto"/>
                <w:sz w:val="20"/>
                <w:szCs w:val="20"/>
              </w:rPr>
            </w:pPr>
          </w:p>
        </w:tc>
        <w:tc>
          <w:tcPr>
            <w:tcW w:w="2133"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Токсические элементы:</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Свинец</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Мышьяк</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 xml:space="preserve">Кадмий </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 xml:space="preserve">Ртуть </w:t>
            </w:r>
          </w:p>
        </w:tc>
        <w:tc>
          <w:tcPr>
            <w:tcW w:w="1800" w:type="dxa"/>
            <w:shd w:val="clear" w:color="auto" w:fill="auto"/>
          </w:tcPr>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0,3</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0,2</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0,1</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0,02</w:t>
            </w:r>
          </w:p>
        </w:tc>
        <w:tc>
          <w:tcPr>
            <w:tcW w:w="3600" w:type="dxa"/>
            <w:shd w:val="clear" w:color="auto" w:fill="auto"/>
            <w:vAlign w:val="center"/>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w:t>
            </w:r>
          </w:p>
        </w:tc>
      </w:tr>
      <w:tr w:rsidR="001F10AC" w:rsidRPr="00120877" w:rsidTr="00120877">
        <w:tc>
          <w:tcPr>
            <w:tcW w:w="2295" w:type="dxa"/>
            <w:vMerge/>
            <w:shd w:val="clear" w:color="auto" w:fill="auto"/>
          </w:tcPr>
          <w:p w:rsidR="001F10AC" w:rsidRPr="00120877" w:rsidRDefault="001F10AC" w:rsidP="00120877">
            <w:pPr>
              <w:pStyle w:val="ab"/>
              <w:widowControl w:val="0"/>
              <w:ind w:firstLine="0"/>
              <w:rPr>
                <w:color w:val="auto"/>
                <w:sz w:val="20"/>
                <w:szCs w:val="20"/>
              </w:rPr>
            </w:pPr>
          </w:p>
        </w:tc>
        <w:tc>
          <w:tcPr>
            <w:tcW w:w="2133"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Микотоксины афлатоксин М1</w:t>
            </w:r>
          </w:p>
        </w:tc>
        <w:tc>
          <w:tcPr>
            <w:tcW w:w="1800"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0,0005</w:t>
            </w:r>
          </w:p>
        </w:tc>
        <w:tc>
          <w:tcPr>
            <w:tcW w:w="3600" w:type="dxa"/>
            <w:shd w:val="clear" w:color="auto" w:fill="auto"/>
            <w:vAlign w:val="center"/>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w:t>
            </w:r>
          </w:p>
        </w:tc>
      </w:tr>
      <w:tr w:rsidR="001F10AC" w:rsidRPr="00120877" w:rsidTr="00120877">
        <w:tc>
          <w:tcPr>
            <w:tcW w:w="2295" w:type="dxa"/>
            <w:vMerge/>
            <w:shd w:val="clear" w:color="auto" w:fill="auto"/>
          </w:tcPr>
          <w:p w:rsidR="001F10AC" w:rsidRPr="00120877" w:rsidRDefault="001F10AC" w:rsidP="00120877">
            <w:pPr>
              <w:pStyle w:val="ab"/>
              <w:widowControl w:val="0"/>
              <w:ind w:firstLine="0"/>
              <w:rPr>
                <w:color w:val="auto"/>
                <w:sz w:val="20"/>
                <w:szCs w:val="20"/>
              </w:rPr>
            </w:pPr>
          </w:p>
        </w:tc>
        <w:tc>
          <w:tcPr>
            <w:tcW w:w="2133"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 xml:space="preserve">Пестициды </w:t>
            </w:r>
          </w:p>
        </w:tc>
        <w:tc>
          <w:tcPr>
            <w:tcW w:w="1800"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1,25</w:t>
            </w:r>
          </w:p>
        </w:tc>
        <w:tc>
          <w:tcPr>
            <w:tcW w:w="3600" w:type="dxa"/>
            <w:shd w:val="clear" w:color="auto" w:fill="auto"/>
            <w:vAlign w:val="center"/>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В пересчете на жир</w:t>
            </w:r>
          </w:p>
        </w:tc>
      </w:tr>
      <w:tr w:rsidR="001F10AC" w:rsidRPr="00120877" w:rsidTr="00120877">
        <w:tc>
          <w:tcPr>
            <w:tcW w:w="2295" w:type="dxa"/>
            <w:vMerge/>
            <w:shd w:val="clear" w:color="auto" w:fill="auto"/>
          </w:tcPr>
          <w:p w:rsidR="001F10AC" w:rsidRPr="00120877" w:rsidRDefault="001F10AC" w:rsidP="00120877">
            <w:pPr>
              <w:pStyle w:val="ab"/>
              <w:widowControl w:val="0"/>
              <w:ind w:firstLine="0"/>
              <w:rPr>
                <w:color w:val="auto"/>
                <w:sz w:val="20"/>
                <w:szCs w:val="20"/>
              </w:rPr>
            </w:pPr>
          </w:p>
        </w:tc>
        <w:tc>
          <w:tcPr>
            <w:tcW w:w="2133"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ДДТ и его метаболиты</w:t>
            </w:r>
          </w:p>
        </w:tc>
        <w:tc>
          <w:tcPr>
            <w:tcW w:w="1800"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1,0</w:t>
            </w:r>
          </w:p>
        </w:tc>
        <w:tc>
          <w:tcPr>
            <w:tcW w:w="3600" w:type="dxa"/>
            <w:shd w:val="clear" w:color="auto" w:fill="auto"/>
            <w:vAlign w:val="center"/>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То же</w:t>
            </w:r>
          </w:p>
        </w:tc>
      </w:tr>
      <w:tr w:rsidR="001F10AC" w:rsidRPr="00120877" w:rsidTr="00120877">
        <w:tc>
          <w:tcPr>
            <w:tcW w:w="2295" w:type="dxa"/>
            <w:vMerge/>
            <w:shd w:val="clear" w:color="auto" w:fill="auto"/>
          </w:tcPr>
          <w:p w:rsidR="001F10AC" w:rsidRPr="00120877" w:rsidRDefault="001F10AC" w:rsidP="00120877">
            <w:pPr>
              <w:pStyle w:val="ab"/>
              <w:widowControl w:val="0"/>
              <w:shd w:val="clear" w:color="auto" w:fill="auto"/>
              <w:ind w:firstLine="0"/>
              <w:rPr>
                <w:color w:val="auto"/>
                <w:sz w:val="20"/>
                <w:szCs w:val="20"/>
              </w:rPr>
            </w:pPr>
          </w:p>
        </w:tc>
        <w:tc>
          <w:tcPr>
            <w:tcW w:w="2133"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Антибиотики и радионуклиды</w:t>
            </w:r>
          </w:p>
        </w:tc>
        <w:tc>
          <w:tcPr>
            <w:tcW w:w="1800"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125</w:t>
            </w:r>
          </w:p>
        </w:tc>
        <w:tc>
          <w:tcPr>
            <w:tcW w:w="3600" w:type="dxa"/>
            <w:shd w:val="clear" w:color="auto" w:fill="auto"/>
            <w:vAlign w:val="center"/>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w:t>
            </w:r>
          </w:p>
        </w:tc>
      </w:tr>
    </w:tbl>
    <w:p w:rsidR="00A26D20" w:rsidRDefault="00A26D20" w:rsidP="00A26D20">
      <w:pPr>
        <w:widowControl w:val="0"/>
        <w:spacing w:line="360" w:lineRule="auto"/>
        <w:ind w:firstLine="709"/>
        <w:jc w:val="both"/>
        <w:rPr>
          <w:sz w:val="28"/>
          <w:szCs w:val="28"/>
        </w:rPr>
      </w:pPr>
    </w:p>
    <w:p w:rsidR="001F10AC" w:rsidRPr="00A26D20" w:rsidRDefault="001F10AC" w:rsidP="00A26D20">
      <w:pPr>
        <w:widowControl w:val="0"/>
        <w:spacing w:line="360" w:lineRule="auto"/>
        <w:ind w:firstLine="709"/>
        <w:jc w:val="both"/>
        <w:rPr>
          <w:sz w:val="28"/>
          <w:szCs w:val="28"/>
        </w:rPr>
      </w:pPr>
      <w:r w:rsidRPr="00A26D20">
        <w:rPr>
          <w:sz w:val="28"/>
          <w:szCs w:val="28"/>
        </w:rPr>
        <w:t>Токсические элементы попадают в творог в виде загрязнений из сырья, тары или в результате обработки. В большинстве случаев имеются в виду посторонние примеси химической природы. Загрязнения из окружающей среды, радиоактивные и ядовитые отходы промышленности, транспорта и домашнего хозяйства, попадающие через воздух, воду и почву, в творог или проникающие в них при хранении. Загрязнения компонентами упаковочных материалов — загрязнения от пропитанной бумаги или от дерева. Такие загрязнения часто переходят в молочные продукты и другие продукты питания.</w:t>
      </w:r>
    </w:p>
    <w:p w:rsidR="001F10AC" w:rsidRPr="00A26D20" w:rsidRDefault="001F10AC" w:rsidP="00A26D20">
      <w:pPr>
        <w:widowControl w:val="0"/>
        <w:spacing w:line="360" w:lineRule="auto"/>
        <w:ind w:firstLine="709"/>
        <w:jc w:val="both"/>
        <w:rPr>
          <w:sz w:val="28"/>
          <w:szCs w:val="28"/>
        </w:rPr>
      </w:pPr>
      <w:r w:rsidRPr="00A26D20">
        <w:rPr>
          <w:sz w:val="28"/>
          <w:szCs w:val="28"/>
        </w:rPr>
        <w:t>При несоответствии нормативов товар не пригоден к реализации и употреблению.</w:t>
      </w:r>
      <w:r w:rsidRPr="00A26D20">
        <w:rPr>
          <w:rStyle w:val="ad"/>
          <w:sz w:val="28"/>
          <w:szCs w:val="28"/>
        </w:rPr>
        <w:footnoteReference w:id="4"/>
      </w:r>
    </w:p>
    <w:p w:rsidR="001F10AC" w:rsidRPr="00A26D20" w:rsidRDefault="001F10AC" w:rsidP="00A26D20">
      <w:pPr>
        <w:widowControl w:val="0"/>
        <w:spacing w:line="360" w:lineRule="auto"/>
        <w:ind w:firstLine="709"/>
        <w:jc w:val="both"/>
        <w:rPr>
          <w:sz w:val="28"/>
        </w:rPr>
      </w:pPr>
    </w:p>
    <w:p w:rsidR="00BF3D86" w:rsidRPr="00A26D20" w:rsidRDefault="002F08AE" w:rsidP="00A26D20">
      <w:pPr>
        <w:pStyle w:val="1"/>
        <w:keepNext w:val="0"/>
        <w:widowControl w:val="0"/>
        <w:spacing w:before="0" w:after="0" w:line="360" w:lineRule="auto"/>
        <w:ind w:firstLine="709"/>
        <w:jc w:val="both"/>
        <w:rPr>
          <w:rFonts w:ascii="Times New Roman" w:hAnsi="Times New Roman" w:cs="Times New Roman"/>
          <w:sz w:val="28"/>
        </w:rPr>
      </w:pPr>
      <w:r w:rsidRPr="00A26D20">
        <w:rPr>
          <w:rFonts w:ascii="Times New Roman" w:hAnsi="Times New Roman" w:cs="Times New Roman"/>
          <w:sz w:val="28"/>
        </w:rPr>
        <w:br w:type="page"/>
      </w:r>
      <w:bookmarkStart w:id="5" w:name="_Toc130920757"/>
      <w:r w:rsidRPr="00A26D20">
        <w:rPr>
          <w:rFonts w:ascii="Times New Roman" w:hAnsi="Times New Roman" w:cs="Times New Roman"/>
          <w:sz w:val="28"/>
        </w:rPr>
        <w:t xml:space="preserve">Задача №55. Идентифицировать загрязняющие вещества в </w:t>
      </w:r>
      <w:r w:rsidR="00BF3D86" w:rsidRPr="00A26D20">
        <w:rPr>
          <w:rFonts w:ascii="Times New Roman" w:hAnsi="Times New Roman" w:cs="Times New Roman"/>
          <w:sz w:val="28"/>
        </w:rPr>
        <w:t>хлебе и булочных изделиях</w:t>
      </w:r>
      <w:r w:rsidRPr="00A26D20">
        <w:rPr>
          <w:rFonts w:ascii="Times New Roman" w:hAnsi="Times New Roman" w:cs="Times New Roman"/>
          <w:sz w:val="28"/>
        </w:rPr>
        <w:t>. Указать допустимые уровни, объяснить пути попадания токсичных элементов</w:t>
      </w:r>
      <w:bookmarkEnd w:id="5"/>
    </w:p>
    <w:p w:rsidR="00BA3655" w:rsidRPr="00A26D20" w:rsidRDefault="00BA3655" w:rsidP="00A26D20">
      <w:pPr>
        <w:widowControl w:val="0"/>
        <w:spacing w:line="360" w:lineRule="auto"/>
        <w:ind w:firstLine="709"/>
        <w:jc w:val="both"/>
        <w:rPr>
          <w:sz w:val="28"/>
        </w:rPr>
      </w:pPr>
    </w:p>
    <w:p w:rsidR="001F10AC" w:rsidRPr="00A26D20" w:rsidRDefault="001F10AC" w:rsidP="00A26D20">
      <w:pPr>
        <w:widowControl w:val="0"/>
        <w:spacing w:line="360" w:lineRule="auto"/>
        <w:ind w:firstLine="709"/>
        <w:jc w:val="both"/>
        <w:rPr>
          <w:sz w:val="28"/>
        </w:rPr>
      </w:pPr>
      <w:r w:rsidRPr="00A26D20">
        <w:rPr>
          <w:sz w:val="28"/>
          <w:szCs w:val="28"/>
        </w:rPr>
        <w:t>Чтобы идентифицировать загрязняющие вещества в сахаре необходимо использовать Санитарно-эпидемиологические правила и нормативы «Гигиенические требования к безопасности и пищевой ценности пищевых продуктов. СанПин 2.3.2.1078-01 (утв.: Постановление Главного государственного санитарного врача РФ №36 от 14.11.2001 года (в ред. От 15.04.2003 года))</w:t>
      </w:r>
    </w:p>
    <w:p w:rsidR="001F10AC" w:rsidRPr="00A26D20" w:rsidRDefault="001F10AC" w:rsidP="00A26D20">
      <w:pPr>
        <w:pStyle w:val="ab"/>
        <w:widowControl w:val="0"/>
        <w:rPr>
          <w:color w:val="auto"/>
          <w:szCs w:val="28"/>
        </w:rPr>
      </w:pPr>
      <w:r w:rsidRPr="00A26D20">
        <w:rPr>
          <w:color w:val="auto"/>
          <w:szCs w:val="28"/>
        </w:rPr>
        <w:t>Данные этого документа сведены в таблицу 1.</w:t>
      </w:r>
    </w:p>
    <w:p w:rsidR="00A26D20" w:rsidRDefault="00A26D20" w:rsidP="00A26D20">
      <w:pPr>
        <w:pStyle w:val="ab"/>
        <w:widowControl w:val="0"/>
        <w:rPr>
          <w:color w:val="auto"/>
          <w:szCs w:val="28"/>
        </w:rPr>
      </w:pPr>
    </w:p>
    <w:p w:rsidR="001F10AC" w:rsidRPr="00A26D20" w:rsidRDefault="001F10AC" w:rsidP="00A26D20">
      <w:pPr>
        <w:pStyle w:val="ab"/>
        <w:widowControl w:val="0"/>
        <w:rPr>
          <w:color w:val="auto"/>
          <w:szCs w:val="28"/>
        </w:rPr>
      </w:pPr>
      <w:r w:rsidRPr="00A26D20">
        <w:rPr>
          <w:color w:val="auto"/>
          <w:szCs w:val="28"/>
        </w:rPr>
        <w:t>Таблица 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3393"/>
        <w:gridCol w:w="1800"/>
        <w:gridCol w:w="2160"/>
      </w:tblGrid>
      <w:tr w:rsidR="001F10AC" w:rsidRPr="00120877" w:rsidTr="00120877">
        <w:tc>
          <w:tcPr>
            <w:tcW w:w="2295"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Наименование продукта</w:t>
            </w:r>
          </w:p>
        </w:tc>
        <w:tc>
          <w:tcPr>
            <w:tcW w:w="3393"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 xml:space="preserve">Показатель </w:t>
            </w:r>
          </w:p>
        </w:tc>
        <w:tc>
          <w:tcPr>
            <w:tcW w:w="1800"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Допустимые уровни мг/кг, не более</w:t>
            </w:r>
          </w:p>
        </w:tc>
        <w:tc>
          <w:tcPr>
            <w:tcW w:w="2160"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Примечание</w:t>
            </w:r>
          </w:p>
        </w:tc>
      </w:tr>
      <w:tr w:rsidR="001F10AC" w:rsidRPr="00120877" w:rsidTr="00120877">
        <w:tc>
          <w:tcPr>
            <w:tcW w:w="2295" w:type="dxa"/>
            <w:vMerge w:val="restart"/>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Хлеб, булочные изделия, сдобные изделия</w:t>
            </w:r>
          </w:p>
        </w:tc>
        <w:tc>
          <w:tcPr>
            <w:tcW w:w="3393"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Токсические элементы:</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Свинец</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Мышьяк</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 xml:space="preserve">Кадмий </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 xml:space="preserve">Ртуть </w:t>
            </w:r>
          </w:p>
        </w:tc>
        <w:tc>
          <w:tcPr>
            <w:tcW w:w="1800" w:type="dxa"/>
            <w:shd w:val="clear" w:color="auto" w:fill="auto"/>
          </w:tcPr>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0,35</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0,15</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0,07</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0,015</w:t>
            </w:r>
          </w:p>
        </w:tc>
        <w:tc>
          <w:tcPr>
            <w:tcW w:w="2160" w:type="dxa"/>
            <w:shd w:val="clear" w:color="auto" w:fill="auto"/>
            <w:vAlign w:val="center"/>
          </w:tcPr>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tc>
      </w:tr>
      <w:tr w:rsidR="001F10AC" w:rsidRPr="00120877" w:rsidTr="00120877">
        <w:tc>
          <w:tcPr>
            <w:tcW w:w="2295" w:type="dxa"/>
            <w:vMerge/>
            <w:shd w:val="clear" w:color="auto" w:fill="auto"/>
          </w:tcPr>
          <w:p w:rsidR="001F10AC" w:rsidRPr="00120877" w:rsidRDefault="001F10AC" w:rsidP="00120877">
            <w:pPr>
              <w:pStyle w:val="ab"/>
              <w:widowControl w:val="0"/>
              <w:shd w:val="clear" w:color="auto" w:fill="auto"/>
              <w:ind w:firstLine="0"/>
              <w:rPr>
                <w:color w:val="auto"/>
                <w:sz w:val="20"/>
                <w:szCs w:val="20"/>
              </w:rPr>
            </w:pPr>
          </w:p>
        </w:tc>
        <w:tc>
          <w:tcPr>
            <w:tcW w:w="3393" w:type="dxa"/>
            <w:shd w:val="clear" w:color="auto" w:fill="auto"/>
          </w:tcPr>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Пестициды:</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 xml:space="preserve">Гексахлорциклогексан (изомеры) </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ДДТ и его метаболиты</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Гексахлорбензол ртутьорганические пестициды 2,4-Д кислота и ее соли</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Радионуклиды:</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Цезий-137</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Стронций-90</w:t>
            </w:r>
          </w:p>
        </w:tc>
        <w:tc>
          <w:tcPr>
            <w:tcW w:w="1800" w:type="dxa"/>
            <w:shd w:val="clear" w:color="auto" w:fill="auto"/>
          </w:tcPr>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0,5</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0,02-0,05</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Не доп.</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Не доп.</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40</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20</w:t>
            </w:r>
          </w:p>
        </w:tc>
        <w:tc>
          <w:tcPr>
            <w:tcW w:w="2160" w:type="dxa"/>
            <w:shd w:val="clear" w:color="auto" w:fill="auto"/>
            <w:vAlign w:val="center"/>
          </w:tcPr>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Бк/кг</w:t>
            </w:r>
          </w:p>
          <w:p w:rsidR="001F10AC" w:rsidRPr="00120877" w:rsidRDefault="001F10AC" w:rsidP="00120877">
            <w:pPr>
              <w:pStyle w:val="ab"/>
              <w:widowControl w:val="0"/>
              <w:shd w:val="clear" w:color="auto" w:fill="auto"/>
              <w:ind w:firstLine="0"/>
              <w:rPr>
                <w:color w:val="auto"/>
                <w:sz w:val="20"/>
                <w:szCs w:val="20"/>
              </w:rPr>
            </w:pPr>
            <w:r w:rsidRPr="00120877">
              <w:rPr>
                <w:color w:val="auto"/>
                <w:sz w:val="20"/>
                <w:szCs w:val="20"/>
              </w:rPr>
              <w:t>Бк/кг</w:t>
            </w:r>
          </w:p>
        </w:tc>
      </w:tr>
    </w:tbl>
    <w:p w:rsidR="001F10AC" w:rsidRPr="00A26D20" w:rsidRDefault="001F10AC" w:rsidP="00A26D20">
      <w:pPr>
        <w:widowControl w:val="0"/>
        <w:spacing w:line="360" w:lineRule="auto"/>
        <w:ind w:firstLine="709"/>
        <w:jc w:val="both"/>
        <w:rPr>
          <w:sz w:val="28"/>
          <w:szCs w:val="28"/>
        </w:rPr>
      </w:pPr>
    </w:p>
    <w:p w:rsidR="001F10AC" w:rsidRPr="00A26D20" w:rsidRDefault="001F10AC" w:rsidP="00A26D20">
      <w:pPr>
        <w:widowControl w:val="0"/>
        <w:spacing w:line="360" w:lineRule="auto"/>
        <w:ind w:firstLine="709"/>
        <w:jc w:val="both"/>
        <w:rPr>
          <w:sz w:val="28"/>
          <w:szCs w:val="28"/>
        </w:rPr>
      </w:pPr>
      <w:r w:rsidRPr="00A26D20">
        <w:rPr>
          <w:sz w:val="28"/>
          <w:szCs w:val="28"/>
        </w:rPr>
        <w:t>Как правило,</w:t>
      </w:r>
      <w:r w:rsidRPr="00A26D20">
        <w:rPr>
          <w:sz w:val="28"/>
        </w:rPr>
        <w:t xml:space="preserve"> </w:t>
      </w:r>
      <w:r w:rsidRPr="00A26D20">
        <w:rPr>
          <w:sz w:val="28"/>
          <w:szCs w:val="28"/>
        </w:rPr>
        <w:t>токсические элементы попадают в продукты в виде загрязнений из сырья, тары или в результате обработки. К ним относятся остатки вспомогательных материалов, применяемых при получении или переработке муки, но не предназначенных быть ее составными частями. В большинстве случаев имеются в виду посторонние примеси химической природы. Загрязнения из окружающей среды. К ним относятся радиоактивные и ядовитые отходы промышленности, транспорта и домашнего хозяйства, попадающие через воздух, воду и почву на мясо или проникающие в него при хранении. Загрязнения компонентами упаковочных материалов — загрязнения от металлической тары (свинец, олово), от пропитанной бумаги или от дерева. Такие загрязнения часто переходят в хлеб и другие продукты питания.</w:t>
      </w:r>
    </w:p>
    <w:p w:rsidR="001F10AC" w:rsidRPr="00A26D20" w:rsidRDefault="001F10AC" w:rsidP="00A26D20">
      <w:pPr>
        <w:widowControl w:val="0"/>
        <w:spacing w:line="360" w:lineRule="auto"/>
        <w:ind w:firstLine="709"/>
        <w:jc w:val="both"/>
        <w:rPr>
          <w:sz w:val="28"/>
          <w:szCs w:val="28"/>
        </w:rPr>
      </w:pPr>
      <w:r w:rsidRPr="00A26D20">
        <w:rPr>
          <w:sz w:val="28"/>
          <w:szCs w:val="28"/>
        </w:rPr>
        <w:t>В случае, если показатели нормативов завышены, хлеб не пригоден к употреблению в пищу.</w:t>
      </w:r>
      <w:r w:rsidRPr="00A26D20">
        <w:rPr>
          <w:rStyle w:val="ad"/>
          <w:sz w:val="28"/>
          <w:szCs w:val="28"/>
        </w:rPr>
        <w:footnoteReference w:id="5"/>
      </w:r>
    </w:p>
    <w:p w:rsidR="00BA3655" w:rsidRPr="00A26D20" w:rsidRDefault="00BA3655" w:rsidP="00A26D20">
      <w:pPr>
        <w:widowControl w:val="0"/>
        <w:spacing w:line="360" w:lineRule="auto"/>
        <w:ind w:firstLine="709"/>
        <w:jc w:val="both"/>
        <w:rPr>
          <w:sz w:val="28"/>
        </w:rPr>
      </w:pPr>
    </w:p>
    <w:p w:rsidR="006D20B9" w:rsidRPr="00A26D20" w:rsidRDefault="00BF3D86" w:rsidP="00A26D20">
      <w:pPr>
        <w:pStyle w:val="1"/>
        <w:keepNext w:val="0"/>
        <w:widowControl w:val="0"/>
        <w:spacing w:before="0" w:after="0" w:line="360" w:lineRule="auto"/>
        <w:ind w:firstLine="709"/>
        <w:jc w:val="both"/>
        <w:rPr>
          <w:rFonts w:ascii="Times New Roman" w:hAnsi="Times New Roman" w:cs="Times New Roman"/>
          <w:sz w:val="28"/>
        </w:rPr>
      </w:pPr>
      <w:r w:rsidRPr="00A26D20">
        <w:rPr>
          <w:rFonts w:ascii="Times New Roman" w:hAnsi="Times New Roman" w:cs="Times New Roman"/>
          <w:sz w:val="28"/>
        </w:rPr>
        <w:br w:type="page"/>
      </w:r>
      <w:bookmarkStart w:id="6" w:name="_Toc130920758"/>
      <w:r w:rsidRPr="00A26D20">
        <w:rPr>
          <w:rFonts w:ascii="Times New Roman" w:hAnsi="Times New Roman" w:cs="Times New Roman"/>
          <w:sz w:val="28"/>
        </w:rPr>
        <w:t>Список использованной литературы</w:t>
      </w:r>
      <w:bookmarkEnd w:id="6"/>
      <w:r w:rsidR="00A26D20">
        <w:rPr>
          <w:rFonts w:ascii="Times New Roman" w:hAnsi="Times New Roman" w:cs="Times New Roman"/>
          <w:sz w:val="28"/>
        </w:rPr>
        <w:t xml:space="preserve"> </w:t>
      </w:r>
    </w:p>
    <w:p w:rsidR="001F10AC" w:rsidRPr="00A26D20" w:rsidRDefault="001F10AC" w:rsidP="00A26D20">
      <w:pPr>
        <w:widowControl w:val="0"/>
        <w:spacing w:line="360" w:lineRule="auto"/>
        <w:ind w:firstLine="709"/>
        <w:jc w:val="both"/>
        <w:rPr>
          <w:sz w:val="28"/>
        </w:rPr>
      </w:pPr>
    </w:p>
    <w:p w:rsidR="002A213C" w:rsidRPr="00A26D20" w:rsidRDefault="002A213C" w:rsidP="00A26D20">
      <w:pPr>
        <w:widowControl w:val="0"/>
        <w:numPr>
          <w:ilvl w:val="0"/>
          <w:numId w:val="2"/>
        </w:numPr>
        <w:spacing w:line="360" w:lineRule="auto"/>
        <w:ind w:left="0" w:firstLine="0"/>
        <w:jc w:val="both"/>
        <w:rPr>
          <w:sz w:val="28"/>
          <w:szCs w:val="28"/>
        </w:rPr>
      </w:pPr>
      <w:r w:rsidRPr="00A26D20">
        <w:rPr>
          <w:sz w:val="28"/>
          <w:szCs w:val="28"/>
        </w:rPr>
        <w:t xml:space="preserve">Федеральный закон «О качестве и безопасности пищевых продуктов» от января </w:t>
      </w:r>
      <w:smartTag w:uri="urn:schemas-microsoft-com:office:smarttags" w:element="metricconverter">
        <w:smartTagPr>
          <w:attr w:name="ProductID" w:val="2000 г"/>
        </w:smartTagPr>
        <w:r w:rsidRPr="00A26D20">
          <w:rPr>
            <w:sz w:val="28"/>
            <w:szCs w:val="28"/>
          </w:rPr>
          <w:t>2000 г</w:t>
        </w:r>
      </w:smartTag>
      <w:r w:rsidRPr="00A26D20">
        <w:rPr>
          <w:sz w:val="28"/>
          <w:szCs w:val="28"/>
        </w:rPr>
        <w:t>.</w:t>
      </w:r>
    </w:p>
    <w:p w:rsidR="001F10AC" w:rsidRPr="00A26D20" w:rsidRDefault="002A213C" w:rsidP="00A26D20">
      <w:pPr>
        <w:widowControl w:val="0"/>
        <w:numPr>
          <w:ilvl w:val="0"/>
          <w:numId w:val="2"/>
        </w:numPr>
        <w:spacing w:line="360" w:lineRule="auto"/>
        <w:ind w:left="0" w:firstLine="0"/>
        <w:jc w:val="both"/>
        <w:rPr>
          <w:sz w:val="28"/>
          <w:szCs w:val="28"/>
        </w:rPr>
      </w:pPr>
      <w:r w:rsidRPr="00A26D20">
        <w:rPr>
          <w:sz w:val="28"/>
          <w:szCs w:val="28"/>
        </w:rPr>
        <w:t xml:space="preserve"> </w:t>
      </w:r>
      <w:r w:rsidR="001F10AC" w:rsidRPr="00A26D20">
        <w:rPr>
          <w:sz w:val="28"/>
          <w:szCs w:val="28"/>
        </w:rPr>
        <w:t>«Гигиенические требования к безопасности и пищевой ценности пищевых продуктов. СанПиН 2.3.2.1078-01 (утв.: Постановление Главного государственного санитарного врача РФ №36 от 14.11.2001 года (в ред. От 15.04.2003 года))</w:t>
      </w:r>
    </w:p>
    <w:p w:rsidR="002A213C" w:rsidRPr="00A26D20" w:rsidRDefault="002A213C" w:rsidP="00A26D20">
      <w:pPr>
        <w:widowControl w:val="0"/>
        <w:numPr>
          <w:ilvl w:val="0"/>
          <w:numId w:val="2"/>
        </w:numPr>
        <w:spacing w:line="360" w:lineRule="auto"/>
        <w:ind w:left="0" w:firstLine="0"/>
        <w:jc w:val="both"/>
        <w:rPr>
          <w:sz w:val="28"/>
          <w:szCs w:val="28"/>
        </w:rPr>
      </w:pPr>
      <w:r w:rsidRPr="00A26D20">
        <w:rPr>
          <w:sz w:val="28"/>
          <w:szCs w:val="28"/>
        </w:rPr>
        <w:t>Нечаев А.П. Пищевая химия. – М., 2003 – 256с.</w:t>
      </w:r>
    </w:p>
    <w:p w:rsidR="002A213C" w:rsidRPr="00A26D20" w:rsidRDefault="002A213C" w:rsidP="00A26D20">
      <w:pPr>
        <w:widowControl w:val="0"/>
        <w:numPr>
          <w:ilvl w:val="0"/>
          <w:numId w:val="2"/>
        </w:numPr>
        <w:spacing w:line="360" w:lineRule="auto"/>
        <w:ind w:left="0" w:firstLine="0"/>
        <w:jc w:val="both"/>
        <w:rPr>
          <w:sz w:val="28"/>
          <w:szCs w:val="28"/>
        </w:rPr>
      </w:pPr>
      <w:r w:rsidRPr="00A26D20">
        <w:rPr>
          <w:sz w:val="28"/>
          <w:szCs w:val="28"/>
        </w:rPr>
        <w:t>Позняковский А.П., Кочеткова А.А., Зайцев А.Н. Пищевые добавки. – М., 2003 – 321с.</w:t>
      </w:r>
    </w:p>
    <w:p w:rsidR="002A213C" w:rsidRPr="00A26D20" w:rsidRDefault="002A213C" w:rsidP="00A26D20">
      <w:pPr>
        <w:widowControl w:val="0"/>
        <w:numPr>
          <w:ilvl w:val="0"/>
          <w:numId w:val="2"/>
        </w:numPr>
        <w:spacing w:line="360" w:lineRule="auto"/>
        <w:ind w:left="0" w:firstLine="0"/>
        <w:jc w:val="both"/>
        <w:rPr>
          <w:sz w:val="28"/>
          <w:szCs w:val="28"/>
        </w:rPr>
      </w:pPr>
      <w:r w:rsidRPr="00A26D20">
        <w:rPr>
          <w:sz w:val="28"/>
          <w:szCs w:val="28"/>
        </w:rPr>
        <w:t>Тутельян В.А. и др. Биологически активные добавки в питании человека. – Томск, 2004 –352с.</w:t>
      </w:r>
      <w:bookmarkStart w:id="7" w:name="_GoBack"/>
      <w:bookmarkEnd w:id="7"/>
    </w:p>
    <w:sectPr w:rsidR="002A213C" w:rsidRPr="00A26D20" w:rsidSect="00A26D20">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877" w:rsidRDefault="00120877">
      <w:r>
        <w:separator/>
      </w:r>
    </w:p>
  </w:endnote>
  <w:endnote w:type="continuationSeparator" w:id="0">
    <w:p w:rsidR="00120877" w:rsidRDefault="0012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877" w:rsidRDefault="00120877">
      <w:r>
        <w:separator/>
      </w:r>
    </w:p>
  </w:footnote>
  <w:footnote w:type="continuationSeparator" w:id="0">
    <w:p w:rsidR="00120877" w:rsidRDefault="00120877">
      <w:r>
        <w:continuationSeparator/>
      </w:r>
    </w:p>
  </w:footnote>
  <w:footnote w:id="1">
    <w:p w:rsidR="00120877" w:rsidRDefault="001F10AC" w:rsidP="001F10AC">
      <w:pPr>
        <w:spacing w:line="360" w:lineRule="auto"/>
        <w:ind w:left="357"/>
        <w:jc w:val="both"/>
      </w:pPr>
      <w:r>
        <w:rPr>
          <w:rStyle w:val="ad"/>
        </w:rPr>
        <w:footnoteRef/>
      </w:r>
      <w:r w:rsidRPr="001F10AC">
        <w:rPr>
          <w:sz w:val="20"/>
          <w:szCs w:val="20"/>
        </w:rPr>
        <w:t xml:space="preserve">Федеральный закон «О качестве и безопасности пищевых продуктов» от января </w:t>
      </w:r>
      <w:smartTag w:uri="urn:schemas-microsoft-com:office:smarttags" w:element="metricconverter">
        <w:smartTagPr>
          <w:attr w:name="ProductID" w:val="2000 г"/>
        </w:smartTagPr>
        <w:r w:rsidRPr="001F10AC">
          <w:rPr>
            <w:sz w:val="20"/>
            <w:szCs w:val="20"/>
          </w:rPr>
          <w:t>2000 г</w:t>
        </w:r>
      </w:smartTag>
      <w:r w:rsidRPr="001F10AC">
        <w:rPr>
          <w:sz w:val="20"/>
          <w:szCs w:val="20"/>
        </w:rPr>
        <w:t xml:space="preserve">. </w:t>
      </w:r>
    </w:p>
  </w:footnote>
  <w:footnote w:id="2">
    <w:p w:rsidR="00120877" w:rsidRDefault="001F10AC" w:rsidP="001F10AC">
      <w:pPr>
        <w:spacing w:line="360" w:lineRule="auto"/>
        <w:ind w:left="357"/>
        <w:jc w:val="both"/>
      </w:pPr>
      <w:r>
        <w:rPr>
          <w:rStyle w:val="ad"/>
        </w:rPr>
        <w:footnoteRef/>
      </w:r>
      <w:r>
        <w:t xml:space="preserve"> </w:t>
      </w:r>
      <w:r w:rsidRPr="001F10AC">
        <w:rPr>
          <w:sz w:val="20"/>
          <w:szCs w:val="20"/>
        </w:rPr>
        <w:t>Нечаев А.П. Пищевая химия. – М., 2003 – 256с.</w:t>
      </w:r>
    </w:p>
  </w:footnote>
  <w:footnote w:id="3">
    <w:p w:rsidR="00120877" w:rsidRDefault="0078692E" w:rsidP="0078692E">
      <w:pPr>
        <w:spacing w:line="360" w:lineRule="auto"/>
        <w:ind w:left="357"/>
        <w:jc w:val="both"/>
      </w:pPr>
      <w:r>
        <w:rPr>
          <w:rStyle w:val="ad"/>
        </w:rPr>
        <w:footnoteRef/>
      </w:r>
      <w:r>
        <w:t xml:space="preserve"> </w:t>
      </w:r>
      <w:r w:rsidRPr="0078692E">
        <w:rPr>
          <w:sz w:val="20"/>
          <w:szCs w:val="20"/>
        </w:rPr>
        <w:t>Позняковский А.П., Кочеткова А.А., Зайцев А.Н. Пищевые добавки. – М., 2003 – 321с.</w:t>
      </w:r>
    </w:p>
  </w:footnote>
  <w:footnote w:id="4">
    <w:p w:rsidR="00120877" w:rsidRDefault="001F10AC" w:rsidP="001F10AC">
      <w:pPr>
        <w:ind w:left="357"/>
        <w:jc w:val="both"/>
      </w:pPr>
      <w:r>
        <w:rPr>
          <w:rStyle w:val="ad"/>
        </w:rPr>
        <w:footnoteRef/>
      </w:r>
      <w:r>
        <w:t xml:space="preserve"> </w:t>
      </w:r>
      <w:r w:rsidRPr="009A20ED">
        <w:rPr>
          <w:sz w:val="20"/>
          <w:szCs w:val="20"/>
        </w:rPr>
        <w:t>«Гигиенические требования к безопасности и пищевой ценности пищевых продуктов. СанПиН 2.3.2.1078-01 (утв.: Постановление Главного государственного санитарного врача РФ №36 от 14.11.2001 года (в ред. От 15.04.2003 года))</w:t>
      </w:r>
    </w:p>
  </w:footnote>
  <w:footnote w:id="5">
    <w:p w:rsidR="00120877" w:rsidRDefault="001F10AC" w:rsidP="001F10AC">
      <w:pPr>
        <w:ind w:left="357"/>
        <w:jc w:val="both"/>
      </w:pPr>
      <w:r>
        <w:rPr>
          <w:rStyle w:val="ad"/>
        </w:rPr>
        <w:footnoteRef/>
      </w:r>
      <w:r>
        <w:t xml:space="preserve"> </w:t>
      </w:r>
      <w:r w:rsidRPr="009A20ED">
        <w:rPr>
          <w:sz w:val="20"/>
          <w:szCs w:val="20"/>
        </w:rPr>
        <w:t>«Гигиенические требования к безопасности и пищевой ценности пищевых продуктов. СанПиН 2.3.2.1078-01 (утв.: Постановление Главного государственного санитарного врача РФ №36 от 14.11.2001 года (в ред. От 15.04.2003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655" w:rsidRDefault="00BA3655" w:rsidP="00292587">
    <w:pPr>
      <w:pStyle w:val="a4"/>
      <w:framePr w:wrap="around" w:vAnchor="text" w:hAnchor="margin" w:xAlign="right" w:y="1"/>
      <w:rPr>
        <w:rStyle w:val="a6"/>
      </w:rPr>
    </w:pPr>
  </w:p>
  <w:p w:rsidR="00BA3655" w:rsidRDefault="00BA3655" w:rsidP="002F08A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20AB9"/>
    <w:multiLevelType w:val="hybridMultilevel"/>
    <w:tmpl w:val="BB86ABC6"/>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8645BC"/>
    <w:multiLevelType w:val="hybridMultilevel"/>
    <w:tmpl w:val="F15E2D3C"/>
    <w:lvl w:ilvl="0" w:tplc="A6FC7E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8AE"/>
    <w:rsid w:val="000C39EB"/>
    <w:rsid w:val="00120877"/>
    <w:rsid w:val="001926A1"/>
    <w:rsid w:val="001F10AC"/>
    <w:rsid w:val="00292587"/>
    <w:rsid w:val="002A213C"/>
    <w:rsid w:val="002F08AE"/>
    <w:rsid w:val="00352903"/>
    <w:rsid w:val="003860CD"/>
    <w:rsid w:val="00503718"/>
    <w:rsid w:val="00607AB1"/>
    <w:rsid w:val="0061292E"/>
    <w:rsid w:val="006B7F3D"/>
    <w:rsid w:val="006D20B9"/>
    <w:rsid w:val="0078692E"/>
    <w:rsid w:val="007D49AC"/>
    <w:rsid w:val="00826978"/>
    <w:rsid w:val="009A20ED"/>
    <w:rsid w:val="00A26D20"/>
    <w:rsid w:val="00BA3655"/>
    <w:rsid w:val="00BF3D86"/>
    <w:rsid w:val="00C02A90"/>
    <w:rsid w:val="00D52AE1"/>
    <w:rsid w:val="00D90356"/>
    <w:rsid w:val="00DB5C6D"/>
    <w:rsid w:val="00E76C57"/>
    <w:rsid w:val="00ED2677"/>
    <w:rsid w:val="00FA3389"/>
    <w:rsid w:val="00FD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C98617-6D5C-4435-9E7E-F2C12E69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F08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Наташа"/>
    <w:basedOn w:val="a"/>
    <w:rsid w:val="00352903"/>
    <w:pPr>
      <w:spacing w:line="360" w:lineRule="auto"/>
      <w:ind w:left="708"/>
      <w:jc w:val="both"/>
    </w:pPr>
    <w:rPr>
      <w:sz w:val="28"/>
    </w:rPr>
  </w:style>
  <w:style w:type="paragraph" w:customStyle="1" w:styleId="11">
    <w:name w:val="Стиль1"/>
    <w:basedOn w:val="12"/>
    <w:next w:val="2"/>
    <w:rsid w:val="006B7F3D"/>
    <w:pPr>
      <w:jc w:val="center"/>
    </w:pPr>
    <w:rPr>
      <w:b/>
      <w:sz w:val="32"/>
      <w:szCs w:val="32"/>
    </w:rPr>
  </w:style>
  <w:style w:type="paragraph" w:styleId="12">
    <w:name w:val="toc 1"/>
    <w:basedOn w:val="a"/>
    <w:next w:val="a"/>
    <w:autoRedefine/>
    <w:uiPriority w:val="39"/>
    <w:semiHidden/>
    <w:rsid w:val="006B7F3D"/>
  </w:style>
  <w:style w:type="paragraph" w:styleId="2">
    <w:name w:val="Body Text 2"/>
    <w:basedOn w:val="a"/>
    <w:link w:val="20"/>
    <w:uiPriority w:val="99"/>
    <w:rsid w:val="006B7F3D"/>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4">
    <w:name w:val="header"/>
    <w:basedOn w:val="a"/>
    <w:link w:val="a5"/>
    <w:uiPriority w:val="99"/>
    <w:rsid w:val="002F08A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F08AE"/>
    <w:rPr>
      <w:rFonts w:cs="Times New Roman"/>
    </w:rPr>
  </w:style>
  <w:style w:type="character" w:styleId="a7">
    <w:name w:val="Hyperlink"/>
    <w:uiPriority w:val="99"/>
    <w:rsid w:val="00BF3D86"/>
    <w:rPr>
      <w:rFonts w:cs="Times New Roman"/>
      <w:color w:val="0000FF"/>
      <w:u w:val="single"/>
    </w:rPr>
  </w:style>
  <w:style w:type="paragraph" w:styleId="a8">
    <w:name w:val="Normal (Web)"/>
    <w:basedOn w:val="a"/>
    <w:uiPriority w:val="99"/>
    <w:rsid w:val="00826978"/>
    <w:pPr>
      <w:spacing w:before="100" w:beforeAutospacing="1" w:after="100" w:afterAutospacing="1"/>
    </w:pPr>
    <w:rPr>
      <w:color w:val="666600"/>
    </w:rPr>
  </w:style>
  <w:style w:type="paragraph" w:styleId="a9">
    <w:name w:val="footer"/>
    <w:basedOn w:val="a"/>
    <w:link w:val="aa"/>
    <w:uiPriority w:val="99"/>
    <w:rsid w:val="00FA338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customStyle="1" w:styleId="ab">
    <w:name w:val="Юльчик"/>
    <w:basedOn w:val="a"/>
    <w:rsid w:val="001F10AC"/>
    <w:pPr>
      <w:shd w:val="clear" w:color="auto" w:fill="FFFFFF"/>
      <w:spacing w:line="360" w:lineRule="auto"/>
      <w:ind w:firstLine="709"/>
      <w:jc w:val="both"/>
    </w:pPr>
    <w:rPr>
      <w:color w:val="000000"/>
      <w:sz w:val="28"/>
    </w:rPr>
  </w:style>
  <w:style w:type="table" w:styleId="ac">
    <w:name w:val="Table Grid"/>
    <w:basedOn w:val="a1"/>
    <w:uiPriority w:val="59"/>
    <w:rsid w:val="001F1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uiPriority w:val="99"/>
    <w:semiHidden/>
    <w:rsid w:val="001F10AC"/>
    <w:rPr>
      <w:rFonts w:cs="Times New Roman"/>
      <w:vertAlign w:val="superscript"/>
    </w:rPr>
  </w:style>
  <w:style w:type="paragraph" w:styleId="ae">
    <w:name w:val="footnote text"/>
    <w:basedOn w:val="a"/>
    <w:link w:val="af"/>
    <w:uiPriority w:val="99"/>
    <w:semiHidden/>
    <w:rsid w:val="001F10AC"/>
    <w:rPr>
      <w:sz w:val="20"/>
      <w:szCs w:val="20"/>
    </w:rPr>
  </w:style>
  <w:style w:type="character" w:customStyle="1" w:styleId="af">
    <w:name w:val="Текст сноски Знак"/>
    <w:link w:val="ae"/>
    <w:uiPriority w:val="99"/>
    <w:semiHidden/>
    <w:locked/>
    <w:rPr>
      <w:rFonts w:cs="Times New Roman"/>
    </w:rPr>
  </w:style>
  <w:style w:type="paragraph" w:styleId="af0">
    <w:name w:val="Balloon Text"/>
    <w:basedOn w:val="a"/>
    <w:link w:val="af1"/>
    <w:uiPriority w:val="99"/>
    <w:semiHidden/>
    <w:rsid w:val="001926A1"/>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69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5145</Words>
  <Characters>29332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ннд</dc:creator>
  <cp:keywords/>
  <dc:description/>
  <cp:lastModifiedBy>admin</cp:lastModifiedBy>
  <cp:revision>2</cp:revision>
  <cp:lastPrinted>2006-03-27T11:03:00Z</cp:lastPrinted>
  <dcterms:created xsi:type="dcterms:W3CDTF">2014-03-13T06:54:00Z</dcterms:created>
  <dcterms:modified xsi:type="dcterms:W3CDTF">2014-03-13T06:54:00Z</dcterms:modified>
</cp:coreProperties>
</file>