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22" w:rsidRPr="001C367E" w:rsidRDefault="00982C22" w:rsidP="001C367E">
      <w:pPr>
        <w:spacing w:line="360" w:lineRule="auto"/>
        <w:ind w:firstLine="709"/>
        <w:jc w:val="center"/>
        <w:rPr>
          <w:sz w:val="28"/>
          <w:szCs w:val="28"/>
        </w:rPr>
      </w:pPr>
      <w:r w:rsidRPr="001C367E">
        <w:rPr>
          <w:sz w:val="28"/>
          <w:szCs w:val="28"/>
        </w:rPr>
        <w:t>Министерство образования и науки РФ</w:t>
      </w:r>
    </w:p>
    <w:p w:rsidR="00982C22" w:rsidRPr="001C367E" w:rsidRDefault="00982C22" w:rsidP="001C367E">
      <w:pPr>
        <w:spacing w:line="360" w:lineRule="auto"/>
        <w:ind w:firstLine="709"/>
        <w:jc w:val="center"/>
        <w:rPr>
          <w:sz w:val="28"/>
          <w:szCs w:val="28"/>
        </w:rPr>
      </w:pPr>
      <w:r w:rsidRPr="001C367E">
        <w:rPr>
          <w:sz w:val="28"/>
          <w:szCs w:val="28"/>
        </w:rPr>
        <w:t>Федеральное агентство по образованию ГОУ ВПО</w:t>
      </w:r>
    </w:p>
    <w:p w:rsidR="001C367E" w:rsidRDefault="001C367E" w:rsidP="001C367E">
      <w:pPr>
        <w:spacing w:line="360" w:lineRule="auto"/>
        <w:ind w:firstLine="709"/>
        <w:jc w:val="center"/>
        <w:rPr>
          <w:sz w:val="28"/>
          <w:szCs w:val="28"/>
          <w:lang w:val="uk-UA"/>
        </w:rPr>
      </w:pPr>
    </w:p>
    <w:p w:rsidR="008615BF" w:rsidRPr="001C367E" w:rsidRDefault="008615BF" w:rsidP="001C367E">
      <w:pPr>
        <w:spacing w:line="360" w:lineRule="auto"/>
        <w:ind w:firstLine="709"/>
        <w:jc w:val="center"/>
        <w:rPr>
          <w:sz w:val="28"/>
          <w:szCs w:val="28"/>
        </w:rPr>
      </w:pPr>
      <w:r w:rsidRPr="001C367E">
        <w:rPr>
          <w:sz w:val="28"/>
          <w:szCs w:val="28"/>
        </w:rPr>
        <w:t>Кафедра денежного обращения и кредита</w:t>
      </w: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1C367E" w:rsidRDefault="001C367E" w:rsidP="001C367E">
      <w:pPr>
        <w:spacing w:line="360" w:lineRule="auto"/>
        <w:ind w:firstLine="709"/>
        <w:jc w:val="center"/>
        <w:rPr>
          <w:sz w:val="28"/>
          <w:szCs w:val="28"/>
          <w:lang w:val="uk-UA"/>
        </w:rPr>
      </w:pPr>
    </w:p>
    <w:p w:rsidR="001C367E" w:rsidRDefault="001C367E" w:rsidP="001C367E">
      <w:pPr>
        <w:spacing w:line="360" w:lineRule="auto"/>
        <w:ind w:firstLine="709"/>
        <w:jc w:val="center"/>
        <w:rPr>
          <w:sz w:val="28"/>
          <w:szCs w:val="28"/>
          <w:lang w:val="uk-UA"/>
        </w:rPr>
      </w:pPr>
    </w:p>
    <w:p w:rsidR="001C367E" w:rsidRDefault="001C367E" w:rsidP="001C367E">
      <w:pPr>
        <w:spacing w:line="360" w:lineRule="auto"/>
        <w:ind w:firstLine="709"/>
        <w:jc w:val="center"/>
        <w:rPr>
          <w:sz w:val="28"/>
          <w:szCs w:val="28"/>
          <w:lang w:val="uk-UA"/>
        </w:rPr>
      </w:pPr>
    </w:p>
    <w:p w:rsidR="001C367E" w:rsidRDefault="001C367E" w:rsidP="001C367E">
      <w:pPr>
        <w:spacing w:line="360" w:lineRule="auto"/>
        <w:ind w:firstLine="709"/>
        <w:jc w:val="center"/>
        <w:rPr>
          <w:sz w:val="28"/>
          <w:szCs w:val="28"/>
          <w:lang w:val="uk-UA"/>
        </w:rPr>
      </w:pPr>
    </w:p>
    <w:p w:rsidR="00982C22" w:rsidRPr="001C367E" w:rsidRDefault="00982C22" w:rsidP="001C367E">
      <w:pPr>
        <w:spacing w:line="360" w:lineRule="auto"/>
        <w:ind w:firstLine="709"/>
        <w:jc w:val="center"/>
        <w:rPr>
          <w:sz w:val="28"/>
          <w:szCs w:val="28"/>
        </w:rPr>
      </w:pPr>
      <w:r w:rsidRPr="001C367E">
        <w:rPr>
          <w:sz w:val="28"/>
          <w:szCs w:val="28"/>
        </w:rPr>
        <w:t>Контрольная работа</w:t>
      </w:r>
    </w:p>
    <w:p w:rsidR="00982C22" w:rsidRPr="001C367E" w:rsidRDefault="00982C22" w:rsidP="001C367E">
      <w:pPr>
        <w:spacing w:line="360" w:lineRule="auto"/>
        <w:ind w:firstLine="709"/>
        <w:jc w:val="center"/>
        <w:rPr>
          <w:sz w:val="28"/>
          <w:szCs w:val="28"/>
        </w:rPr>
      </w:pPr>
      <w:r w:rsidRPr="001C367E">
        <w:rPr>
          <w:sz w:val="28"/>
          <w:szCs w:val="28"/>
        </w:rPr>
        <w:t xml:space="preserve">по </w:t>
      </w:r>
      <w:r w:rsidR="007A7176" w:rsidRPr="001C367E">
        <w:rPr>
          <w:sz w:val="28"/>
          <w:szCs w:val="28"/>
        </w:rPr>
        <w:t>дисциплине «Финансы и кредит»</w:t>
      </w:r>
    </w:p>
    <w:p w:rsidR="00982C22" w:rsidRPr="001C367E" w:rsidRDefault="007A7176" w:rsidP="001C367E">
      <w:pPr>
        <w:spacing w:line="360" w:lineRule="auto"/>
        <w:ind w:firstLine="709"/>
        <w:jc w:val="center"/>
        <w:rPr>
          <w:sz w:val="28"/>
          <w:szCs w:val="36"/>
        </w:rPr>
      </w:pPr>
      <w:r w:rsidRPr="001C367E">
        <w:rPr>
          <w:sz w:val="28"/>
          <w:szCs w:val="36"/>
        </w:rPr>
        <w:t>Вариант № 5</w:t>
      </w:r>
    </w:p>
    <w:p w:rsidR="00982C22" w:rsidRPr="001C367E" w:rsidRDefault="00F9781A" w:rsidP="001C367E">
      <w:pPr>
        <w:spacing w:line="360" w:lineRule="auto"/>
        <w:ind w:firstLine="709"/>
        <w:jc w:val="center"/>
        <w:rPr>
          <w:sz w:val="28"/>
          <w:szCs w:val="28"/>
        </w:rPr>
      </w:pPr>
      <w:r>
        <w:rPr>
          <w:sz w:val="28"/>
          <w:szCs w:val="28"/>
        </w:rPr>
        <w:t>Бюджетная система как механизм государственного регулирования</w:t>
      </w: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Pr="001C367E" w:rsidRDefault="00982C22" w:rsidP="001C367E">
      <w:pPr>
        <w:spacing w:line="360" w:lineRule="auto"/>
        <w:ind w:firstLine="709"/>
        <w:jc w:val="center"/>
        <w:rPr>
          <w:sz w:val="28"/>
          <w:szCs w:val="28"/>
        </w:rPr>
      </w:pPr>
    </w:p>
    <w:p w:rsidR="00982C22" w:rsidRDefault="00982C22" w:rsidP="001C367E">
      <w:pPr>
        <w:spacing w:line="360" w:lineRule="auto"/>
        <w:ind w:firstLine="709"/>
        <w:jc w:val="center"/>
        <w:rPr>
          <w:sz w:val="28"/>
          <w:szCs w:val="28"/>
          <w:lang w:val="uk-UA"/>
        </w:rPr>
      </w:pPr>
    </w:p>
    <w:p w:rsidR="001C367E" w:rsidRDefault="001C367E" w:rsidP="001C367E">
      <w:pPr>
        <w:spacing w:line="360" w:lineRule="auto"/>
        <w:ind w:firstLine="709"/>
        <w:jc w:val="center"/>
        <w:rPr>
          <w:sz w:val="28"/>
          <w:szCs w:val="28"/>
          <w:lang w:val="uk-UA"/>
        </w:rPr>
      </w:pPr>
    </w:p>
    <w:p w:rsidR="001C367E" w:rsidRDefault="001C367E" w:rsidP="001C367E">
      <w:pPr>
        <w:spacing w:line="360" w:lineRule="auto"/>
        <w:ind w:firstLine="709"/>
        <w:jc w:val="center"/>
        <w:rPr>
          <w:sz w:val="28"/>
          <w:szCs w:val="28"/>
          <w:lang w:val="uk-UA"/>
        </w:rPr>
      </w:pPr>
    </w:p>
    <w:p w:rsidR="001C367E" w:rsidRPr="001C367E" w:rsidRDefault="001C367E" w:rsidP="001C367E">
      <w:pPr>
        <w:spacing w:line="360" w:lineRule="auto"/>
        <w:ind w:firstLine="709"/>
        <w:jc w:val="center"/>
        <w:rPr>
          <w:sz w:val="28"/>
          <w:szCs w:val="28"/>
          <w:lang w:val="uk-UA"/>
        </w:rPr>
      </w:pPr>
    </w:p>
    <w:p w:rsidR="00982C22" w:rsidRPr="001C367E" w:rsidRDefault="00982C22" w:rsidP="001C367E">
      <w:pPr>
        <w:spacing w:line="360" w:lineRule="auto"/>
        <w:ind w:firstLine="709"/>
        <w:jc w:val="center"/>
        <w:rPr>
          <w:sz w:val="28"/>
          <w:szCs w:val="28"/>
        </w:rPr>
      </w:pPr>
      <w:r w:rsidRPr="001C367E">
        <w:rPr>
          <w:sz w:val="28"/>
          <w:szCs w:val="28"/>
        </w:rPr>
        <w:t>Краснодар, 2009</w:t>
      </w:r>
    </w:p>
    <w:p w:rsidR="00982C22" w:rsidRPr="00F9781A" w:rsidRDefault="00982C22" w:rsidP="001C367E">
      <w:pPr>
        <w:spacing w:line="360" w:lineRule="auto"/>
        <w:ind w:firstLine="709"/>
        <w:jc w:val="both"/>
        <w:rPr>
          <w:sz w:val="28"/>
          <w:szCs w:val="28"/>
          <w:lang w:val="uk-UA"/>
        </w:rPr>
      </w:pPr>
      <w:r w:rsidRPr="001C367E">
        <w:rPr>
          <w:sz w:val="28"/>
          <w:szCs w:val="28"/>
        </w:rPr>
        <w:br w:type="page"/>
      </w:r>
      <w:r w:rsidR="00F9781A" w:rsidRPr="001C367E">
        <w:rPr>
          <w:sz w:val="28"/>
          <w:szCs w:val="28"/>
        </w:rPr>
        <w:t>СОДЕРЖАНИЕ</w:t>
      </w:r>
    </w:p>
    <w:p w:rsidR="00982C22" w:rsidRPr="001C367E" w:rsidRDefault="00982C22" w:rsidP="001C367E">
      <w:pPr>
        <w:spacing w:line="360" w:lineRule="auto"/>
        <w:ind w:firstLine="709"/>
        <w:jc w:val="both"/>
        <w:rPr>
          <w:sz w:val="28"/>
          <w:szCs w:val="28"/>
        </w:rPr>
      </w:pPr>
    </w:p>
    <w:p w:rsidR="00982C22" w:rsidRPr="001C367E" w:rsidRDefault="00982C22" w:rsidP="00F9781A">
      <w:pPr>
        <w:spacing w:line="360" w:lineRule="auto"/>
        <w:jc w:val="both"/>
        <w:rPr>
          <w:sz w:val="28"/>
          <w:szCs w:val="28"/>
        </w:rPr>
      </w:pPr>
      <w:r w:rsidRPr="001C367E">
        <w:rPr>
          <w:sz w:val="28"/>
          <w:szCs w:val="28"/>
        </w:rPr>
        <w:t xml:space="preserve">1. </w:t>
      </w:r>
      <w:r w:rsidR="0099231C" w:rsidRPr="001C367E">
        <w:rPr>
          <w:sz w:val="28"/>
          <w:szCs w:val="28"/>
        </w:rPr>
        <w:t>Бюджетная система, её реформирование в РФ</w:t>
      </w:r>
    </w:p>
    <w:p w:rsidR="00E972E0" w:rsidRPr="001C367E" w:rsidRDefault="00E972E0" w:rsidP="00F9781A">
      <w:pPr>
        <w:autoSpaceDE w:val="0"/>
        <w:autoSpaceDN w:val="0"/>
        <w:adjustRightInd w:val="0"/>
        <w:spacing w:line="360" w:lineRule="auto"/>
        <w:jc w:val="both"/>
        <w:rPr>
          <w:sz w:val="28"/>
          <w:szCs w:val="28"/>
        </w:rPr>
      </w:pPr>
      <w:r w:rsidRPr="001C367E">
        <w:rPr>
          <w:sz w:val="28"/>
          <w:szCs w:val="28"/>
        </w:rPr>
        <w:t>1.1 Сущность бюджетного реформирования</w:t>
      </w:r>
    </w:p>
    <w:p w:rsidR="00E972E0" w:rsidRPr="001C367E" w:rsidRDefault="00E972E0" w:rsidP="00F9781A">
      <w:pPr>
        <w:spacing w:line="360" w:lineRule="auto"/>
        <w:jc w:val="both"/>
        <w:rPr>
          <w:sz w:val="28"/>
          <w:szCs w:val="28"/>
        </w:rPr>
      </w:pPr>
      <w:r w:rsidRPr="001C367E">
        <w:rPr>
          <w:sz w:val="28"/>
          <w:szCs w:val="28"/>
        </w:rPr>
        <w:t>1.2 Основные направления реформирования</w:t>
      </w:r>
    </w:p>
    <w:p w:rsidR="00982C22" w:rsidRPr="001C367E" w:rsidRDefault="00982C22" w:rsidP="00F9781A">
      <w:pPr>
        <w:spacing w:line="360" w:lineRule="auto"/>
        <w:jc w:val="both"/>
        <w:rPr>
          <w:sz w:val="28"/>
          <w:szCs w:val="28"/>
        </w:rPr>
      </w:pPr>
      <w:r w:rsidRPr="001C367E">
        <w:rPr>
          <w:sz w:val="28"/>
          <w:szCs w:val="28"/>
        </w:rPr>
        <w:t xml:space="preserve">2. </w:t>
      </w:r>
      <w:r w:rsidR="0099231C" w:rsidRPr="001C367E">
        <w:rPr>
          <w:sz w:val="28"/>
          <w:szCs w:val="28"/>
        </w:rPr>
        <w:t>Виды ценных бумаг, их характеристика</w:t>
      </w:r>
    </w:p>
    <w:p w:rsidR="00B1729A" w:rsidRPr="001C367E" w:rsidRDefault="00F52EF6" w:rsidP="00F9781A">
      <w:pPr>
        <w:spacing w:line="360" w:lineRule="auto"/>
        <w:jc w:val="both"/>
        <w:rPr>
          <w:sz w:val="28"/>
          <w:szCs w:val="28"/>
        </w:rPr>
      </w:pPr>
      <w:r w:rsidRPr="001C367E">
        <w:rPr>
          <w:sz w:val="28"/>
          <w:szCs w:val="28"/>
        </w:rPr>
        <w:t>2.1 Понятие и сущность ценной бумаги</w:t>
      </w:r>
    </w:p>
    <w:p w:rsidR="000D1EB2" w:rsidRPr="001C367E" w:rsidRDefault="00B1729A" w:rsidP="00F9781A">
      <w:pPr>
        <w:spacing w:line="360" w:lineRule="auto"/>
        <w:jc w:val="both"/>
        <w:rPr>
          <w:kern w:val="20"/>
          <w:sz w:val="28"/>
          <w:szCs w:val="28"/>
        </w:rPr>
      </w:pPr>
      <w:r w:rsidRPr="001C367E">
        <w:rPr>
          <w:sz w:val="28"/>
          <w:szCs w:val="28"/>
        </w:rPr>
        <w:t>2.2 Основные ценные бумаги</w:t>
      </w:r>
      <w:r w:rsidR="0091138F" w:rsidRPr="001C367E">
        <w:rPr>
          <w:kern w:val="20"/>
          <w:sz w:val="28"/>
          <w:szCs w:val="28"/>
        </w:rPr>
        <w:tab/>
      </w:r>
    </w:p>
    <w:p w:rsidR="00FC4E99" w:rsidRPr="001C367E" w:rsidRDefault="00FC4E99" w:rsidP="00F9781A">
      <w:pPr>
        <w:spacing w:line="360" w:lineRule="auto"/>
        <w:jc w:val="both"/>
        <w:rPr>
          <w:sz w:val="28"/>
          <w:szCs w:val="28"/>
        </w:rPr>
      </w:pPr>
      <w:r w:rsidRPr="001C367E">
        <w:rPr>
          <w:sz w:val="28"/>
          <w:szCs w:val="28"/>
        </w:rPr>
        <w:t>2.3 Производные ценные бумаги</w:t>
      </w:r>
    </w:p>
    <w:p w:rsidR="00982C22" w:rsidRPr="001C367E" w:rsidRDefault="00982C22" w:rsidP="00F9781A">
      <w:pPr>
        <w:spacing w:line="360" w:lineRule="auto"/>
        <w:jc w:val="both"/>
        <w:rPr>
          <w:sz w:val="28"/>
          <w:szCs w:val="28"/>
        </w:rPr>
      </w:pPr>
      <w:r w:rsidRPr="001C367E">
        <w:rPr>
          <w:sz w:val="28"/>
          <w:szCs w:val="28"/>
        </w:rPr>
        <w:t>Список использованной литературы</w:t>
      </w:r>
    </w:p>
    <w:p w:rsidR="0099231C" w:rsidRPr="001C367E" w:rsidRDefault="00982C22" w:rsidP="001C367E">
      <w:pPr>
        <w:spacing w:line="360" w:lineRule="auto"/>
        <w:ind w:firstLine="709"/>
        <w:jc w:val="both"/>
        <w:rPr>
          <w:caps/>
          <w:sz w:val="28"/>
          <w:szCs w:val="28"/>
        </w:rPr>
      </w:pPr>
      <w:r w:rsidRPr="001C367E">
        <w:rPr>
          <w:sz w:val="28"/>
          <w:szCs w:val="28"/>
        </w:rPr>
        <w:br w:type="page"/>
      </w:r>
      <w:r w:rsidR="0099231C" w:rsidRPr="001C367E">
        <w:rPr>
          <w:caps/>
          <w:sz w:val="28"/>
          <w:szCs w:val="28"/>
        </w:rPr>
        <w:t>1. Бюджетная система, её реформирование в РФ</w:t>
      </w:r>
    </w:p>
    <w:p w:rsidR="00F9781A" w:rsidRDefault="00F9781A" w:rsidP="001C367E">
      <w:pPr>
        <w:autoSpaceDE w:val="0"/>
        <w:autoSpaceDN w:val="0"/>
        <w:adjustRightInd w:val="0"/>
        <w:spacing w:line="360" w:lineRule="auto"/>
        <w:ind w:firstLine="709"/>
        <w:jc w:val="both"/>
        <w:rPr>
          <w:sz w:val="28"/>
          <w:szCs w:val="28"/>
          <w:lang w:val="uk-UA"/>
        </w:rPr>
      </w:pPr>
    </w:p>
    <w:p w:rsidR="00E972E0" w:rsidRPr="001C367E" w:rsidRDefault="00E972E0" w:rsidP="001C367E">
      <w:pPr>
        <w:autoSpaceDE w:val="0"/>
        <w:autoSpaceDN w:val="0"/>
        <w:adjustRightInd w:val="0"/>
        <w:spacing w:line="360" w:lineRule="auto"/>
        <w:ind w:firstLine="709"/>
        <w:jc w:val="both"/>
        <w:rPr>
          <w:sz w:val="28"/>
          <w:szCs w:val="28"/>
        </w:rPr>
      </w:pPr>
      <w:r w:rsidRPr="001C367E">
        <w:rPr>
          <w:sz w:val="28"/>
          <w:szCs w:val="28"/>
        </w:rPr>
        <w:t>1.1 Сущность бюджетного реформирования</w:t>
      </w:r>
    </w:p>
    <w:p w:rsidR="00F9781A" w:rsidRDefault="00F9781A" w:rsidP="001C367E">
      <w:pPr>
        <w:autoSpaceDE w:val="0"/>
        <w:autoSpaceDN w:val="0"/>
        <w:adjustRightInd w:val="0"/>
        <w:spacing w:line="360" w:lineRule="auto"/>
        <w:ind w:firstLine="709"/>
        <w:jc w:val="both"/>
        <w:rPr>
          <w:sz w:val="28"/>
          <w:szCs w:val="28"/>
          <w:lang w:val="uk-UA"/>
        </w:rPr>
      </w:pP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государственный бюджет. </w:t>
      </w: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 xml:space="preserve">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 xml:space="preserve">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 е. для выполнения государством возложенных на него функций. </w:t>
      </w: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r w:rsidR="00D91DF0" w:rsidRPr="001C367E">
        <w:rPr>
          <w:rStyle w:val="a8"/>
          <w:sz w:val="28"/>
          <w:szCs w:val="28"/>
        </w:rPr>
        <w:footnoteReference w:id="1"/>
      </w:r>
      <w:r w:rsidRPr="001C367E">
        <w:rPr>
          <w:sz w:val="28"/>
          <w:szCs w:val="28"/>
        </w:rPr>
        <w:t xml:space="preserve"> </w:t>
      </w: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 xml:space="preserve">Бюджетное устройство 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 и др. </w:t>
      </w: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 xml:space="preserve">Составляющей частью бюджетного устройства является бюджетная система. Бюджетная система государства – главное звено финансовой системы государства. </w:t>
      </w:r>
    </w:p>
    <w:p w:rsidR="00345EFF" w:rsidRPr="001C367E" w:rsidRDefault="00345EFF" w:rsidP="001C367E">
      <w:pPr>
        <w:autoSpaceDE w:val="0"/>
        <w:autoSpaceDN w:val="0"/>
        <w:adjustRightInd w:val="0"/>
        <w:spacing w:line="360" w:lineRule="auto"/>
        <w:ind w:firstLine="709"/>
        <w:jc w:val="both"/>
        <w:rPr>
          <w:sz w:val="28"/>
          <w:szCs w:val="28"/>
        </w:rPr>
      </w:pPr>
      <w:r w:rsidRPr="001C367E">
        <w:rPr>
          <w:sz w:val="28"/>
          <w:szCs w:val="28"/>
        </w:rPr>
        <w:t xml:space="preserve">Бюджетная система Российской Федерации – система,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w:t>
      </w:r>
    </w:p>
    <w:p w:rsidR="003B7F65" w:rsidRPr="001C367E" w:rsidRDefault="003B7F65" w:rsidP="001C367E">
      <w:pPr>
        <w:spacing w:line="360" w:lineRule="auto"/>
        <w:ind w:firstLine="709"/>
        <w:jc w:val="both"/>
        <w:rPr>
          <w:sz w:val="28"/>
          <w:szCs w:val="28"/>
        </w:rPr>
      </w:pPr>
      <w:r w:rsidRPr="001C367E">
        <w:rPr>
          <w:sz w:val="28"/>
          <w:szCs w:val="28"/>
        </w:rPr>
        <w:t xml:space="preserve">В настоящее время комплексное реформирование бюджетной системы, инициированное Президентом и Правительством Российской Федерации на период 2004 — 2006 гг. </w:t>
      </w:r>
      <w:r w:rsidR="003C5C2A" w:rsidRPr="001C367E">
        <w:rPr>
          <w:sz w:val="28"/>
          <w:szCs w:val="28"/>
        </w:rPr>
        <w:t xml:space="preserve">продолжает активизироваться. </w:t>
      </w:r>
      <w:r w:rsidRPr="001C367E">
        <w:rPr>
          <w:sz w:val="28"/>
          <w:szCs w:val="28"/>
        </w:rPr>
        <w:t xml:space="preserve">Главной целью </w:t>
      </w:r>
      <w:r w:rsidR="003C5C2A" w:rsidRPr="001C367E">
        <w:rPr>
          <w:sz w:val="28"/>
          <w:szCs w:val="28"/>
        </w:rPr>
        <w:t xml:space="preserve">бюджетной </w:t>
      </w:r>
      <w:r w:rsidRPr="001C367E">
        <w:rPr>
          <w:sz w:val="28"/>
          <w:szCs w:val="28"/>
        </w:rPr>
        <w:t>реформы является повышение эффективности управления бюджетными средствами в соответствии с приоритетами государственной политики. Основными направлениями реформирования являются следующие</w:t>
      </w:r>
      <w:r w:rsidR="00F55AD7" w:rsidRPr="001C367E">
        <w:rPr>
          <w:sz w:val="28"/>
          <w:szCs w:val="28"/>
        </w:rPr>
        <w:t>:</w:t>
      </w:r>
      <w:r w:rsidR="006D2868" w:rsidRPr="001C367E">
        <w:rPr>
          <w:rStyle w:val="a8"/>
          <w:sz w:val="28"/>
          <w:szCs w:val="28"/>
        </w:rPr>
        <w:footnoteReference w:id="2"/>
      </w:r>
      <w:r w:rsidRPr="001C367E">
        <w:rPr>
          <w:sz w:val="28"/>
          <w:szCs w:val="28"/>
        </w:rPr>
        <w:t xml:space="preserve"> </w:t>
      </w:r>
    </w:p>
    <w:p w:rsidR="003B7F65" w:rsidRPr="001C367E" w:rsidRDefault="003B7F65" w:rsidP="001C367E">
      <w:pPr>
        <w:tabs>
          <w:tab w:val="left" w:pos="720"/>
        </w:tabs>
        <w:spacing w:line="360" w:lineRule="auto"/>
        <w:ind w:firstLine="709"/>
        <w:jc w:val="both"/>
        <w:rPr>
          <w:sz w:val="28"/>
          <w:szCs w:val="28"/>
        </w:rPr>
      </w:pPr>
      <w:r w:rsidRPr="001C367E">
        <w:rPr>
          <w:sz w:val="28"/>
          <w:szCs w:val="28"/>
        </w:rPr>
        <w:t xml:space="preserve">• Реформа бюджетного процесса, одобрена постановлением Правительства РФ №249 от 22.05.2004 г. </w:t>
      </w:r>
    </w:p>
    <w:p w:rsidR="003B7F65" w:rsidRPr="001C367E" w:rsidRDefault="003B7F65" w:rsidP="001C367E">
      <w:pPr>
        <w:spacing w:line="360" w:lineRule="auto"/>
        <w:ind w:firstLine="709"/>
        <w:jc w:val="both"/>
        <w:rPr>
          <w:sz w:val="28"/>
          <w:szCs w:val="28"/>
        </w:rPr>
      </w:pPr>
      <w:r w:rsidRPr="001C367E">
        <w:rPr>
          <w:sz w:val="28"/>
          <w:szCs w:val="28"/>
        </w:rPr>
        <w:t>•</w:t>
      </w:r>
      <w:r w:rsidR="001C367E" w:rsidRPr="001C367E">
        <w:rPr>
          <w:sz w:val="28"/>
          <w:szCs w:val="28"/>
        </w:rPr>
        <w:t xml:space="preserve"> </w:t>
      </w:r>
      <w:r w:rsidRPr="001C367E">
        <w:rPr>
          <w:sz w:val="28"/>
          <w:szCs w:val="28"/>
        </w:rPr>
        <w:t xml:space="preserve">Реформа бюджетного сектора, план мероприятий по реформированию утвержден Постановлением Правительства №1688Р от 21.11.2003 г. </w:t>
      </w:r>
    </w:p>
    <w:p w:rsidR="003B7F65" w:rsidRPr="001C367E" w:rsidRDefault="003B7F65" w:rsidP="001C367E">
      <w:pPr>
        <w:spacing w:line="360" w:lineRule="auto"/>
        <w:ind w:firstLine="709"/>
        <w:jc w:val="both"/>
        <w:rPr>
          <w:sz w:val="28"/>
          <w:szCs w:val="28"/>
        </w:rPr>
      </w:pPr>
      <w:r w:rsidRPr="001C367E">
        <w:rPr>
          <w:sz w:val="28"/>
          <w:szCs w:val="28"/>
        </w:rPr>
        <w:t xml:space="preserve">• Реформа межбюджетных отношений, поправки в Бюджетный и Налоговый кодексы проходят второе чтение в Государственной Думе РФ. </w:t>
      </w:r>
    </w:p>
    <w:p w:rsidR="003B7F65" w:rsidRPr="001C367E" w:rsidRDefault="003B7F65" w:rsidP="001C367E">
      <w:pPr>
        <w:spacing w:line="360" w:lineRule="auto"/>
        <w:ind w:firstLine="709"/>
        <w:jc w:val="both"/>
        <w:rPr>
          <w:sz w:val="28"/>
          <w:szCs w:val="28"/>
        </w:rPr>
      </w:pPr>
      <w:r w:rsidRPr="001C367E">
        <w:rPr>
          <w:sz w:val="28"/>
          <w:szCs w:val="28"/>
        </w:rPr>
        <w:t>• Совершенствование процедур исполнения бюджетов, поправки в Бюджетный кодекс, в частности Статья 215-1 «Кассовое обслуживание исполнения бюджетов», проходят второе чтение в Государственной Думе РФ. Параллельно с реформой бюджетной системы на федеральном уровне реализуется административная реформа в соответствии с указом Президента РФ от 23 июля 2003 г. № 824 и реформа местного самоуправления в соответствии с ФЗ №131 от 06.10.2003 г., которые так же оказывают влияние на будущую конфигурацию бюджетной системы РФ.</w:t>
      </w:r>
    </w:p>
    <w:p w:rsidR="003B7F65" w:rsidRPr="001C367E" w:rsidRDefault="003B7F65" w:rsidP="001C367E">
      <w:pPr>
        <w:spacing w:line="360" w:lineRule="auto"/>
        <w:ind w:firstLine="709"/>
        <w:jc w:val="both"/>
        <w:rPr>
          <w:sz w:val="28"/>
          <w:szCs w:val="28"/>
        </w:rPr>
      </w:pPr>
      <w:r w:rsidRPr="001C367E">
        <w:rPr>
          <w:sz w:val="28"/>
          <w:szCs w:val="28"/>
        </w:rPr>
        <w:t>Все составляющие реформы бюджетной системы являются взаимосвязанными, и достижение максимально положительного результата возможно только при одновременной и успешной их реализации. Сложность и масштабность процесса реформирования</w:t>
      </w:r>
      <w:r w:rsidR="007E1A6E" w:rsidRPr="001C367E">
        <w:rPr>
          <w:sz w:val="28"/>
          <w:szCs w:val="28"/>
        </w:rPr>
        <w:t>,</w:t>
      </w:r>
      <w:r w:rsidRPr="001C367E">
        <w:rPr>
          <w:sz w:val="28"/>
          <w:szCs w:val="28"/>
        </w:rPr>
        <w:t xml:space="preserve"> как правило, требуют формирования комплексной целевой Программы для внедрения новых механизмов государственного (муниципального) управления и формирования эффективной бюджетной системы. Данная программа позвол</w:t>
      </w:r>
      <w:r w:rsidR="000879F2" w:rsidRPr="001C367E">
        <w:rPr>
          <w:sz w:val="28"/>
          <w:szCs w:val="28"/>
        </w:rPr>
        <w:t>яет</w:t>
      </w:r>
      <w:r w:rsidRPr="001C367E">
        <w:rPr>
          <w:sz w:val="28"/>
          <w:szCs w:val="28"/>
        </w:rPr>
        <w:t xml:space="preserve"> компенсировать возможные проблемы переходного периода и синхронизировать ход различных направлений реформирования в муниципальном образовании с целью достижения максимального эффекта в соответствии с требованиями федерального законодательства.</w:t>
      </w:r>
    </w:p>
    <w:p w:rsidR="00E972E0" w:rsidRPr="001C367E" w:rsidRDefault="00E972E0" w:rsidP="001C367E">
      <w:pPr>
        <w:spacing w:line="360" w:lineRule="auto"/>
        <w:ind w:firstLine="709"/>
        <w:jc w:val="both"/>
        <w:rPr>
          <w:sz w:val="28"/>
          <w:szCs w:val="28"/>
        </w:rPr>
      </w:pPr>
      <w:r w:rsidRPr="001C367E">
        <w:rPr>
          <w:sz w:val="28"/>
          <w:szCs w:val="28"/>
        </w:rPr>
        <w:t>1.2 Основные направления реформирования</w:t>
      </w:r>
    </w:p>
    <w:p w:rsidR="003B7F65" w:rsidRPr="001C367E" w:rsidRDefault="003B7F65" w:rsidP="001C367E">
      <w:pPr>
        <w:spacing w:line="360" w:lineRule="auto"/>
        <w:ind w:firstLine="709"/>
        <w:jc w:val="both"/>
        <w:rPr>
          <w:sz w:val="28"/>
          <w:szCs w:val="28"/>
        </w:rPr>
      </w:pPr>
      <w:r w:rsidRPr="001C367E">
        <w:rPr>
          <w:sz w:val="28"/>
          <w:szCs w:val="28"/>
        </w:rPr>
        <w:t xml:space="preserve">Ключевой элемент реформирования — реформа бюджетного процесса, которая состоит из следующих направлений: </w:t>
      </w:r>
    </w:p>
    <w:p w:rsidR="003B7F65" w:rsidRPr="001C367E" w:rsidRDefault="003B7F65" w:rsidP="001C367E">
      <w:pPr>
        <w:spacing w:line="360" w:lineRule="auto"/>
        <w:ind w:firstLine="709"/>
        <w:jc w:val="both"/>
        <w:rPr>
          <w:sz w:val="28"/>
          <w:szCs w:val="28"/>
        </w:rPr>
      </w:pPr>
      <w:r w:rsidRPr="001C367E">
        <w:rPr>
          <w:sz w:val="28"/>
          <w:szCs w:val="28"/>
        </w:rPr>
        <w:t xml:space="preserve">1. Реформирование бюджетной классификации РФ и бюджетного учета. </w:t>
      </w:r>
    </w:p>
    <w:p w:rsidR="003B7F65" w:rsidRPr="001C367E" w:rsidRDefault="003B7F65" w:rsidP="001C367E">
      <w:pPr>
        <w:spacing w:line="360" w:lineRule="auto"/>
        <w:ind w:firstLine="709"/>
        <w:jc w:val="both"/>
        <w:rPr>
          <w:sz w:val="28"/>
          <w:szCs w:val="28"/>
        </w:rPr>
      </w:pPr>
      <w:r w:rsidRPr="001C367E">
        <w:rPr>
          <w:sz w:val="28"/>
          <w:szCs w:val="28"/>
        </w:rPr>
        <w:t xml:space="preserve">2. Выделение бюджетов действующих и принимаемых обязательств. </w:t>
      </w:r>
    </w:p>
    <w:p w:rsidR="003B7F65" w:rsidRPr="001C367E" w:rsidRDefault="003B7F65" w:rsidP="001C367E">
      <w:pPr>
        <w:spacing w:line="360" w:lineRule="auto"/>
        <w:ind w:firstLine="709"/>
        <w:jc w:val="both"/>
        <w:rPr>
          <w:sz w:val="28"/>
          <w:szCs w:val="28"/>
        </w:rPr>
      </w:pPr>
      <w:r w:rsidRPr="001C367E">
        <w:rPr>
          <w:sz w:val="28"/>
          <w:szCs w:val="28"/>
        </w:rPr>
        <w:t xml:space="preserve">3. Совершенствование среднесрочного финансового планирования. </w:t>
      </w:r>
    </w:p>
    <w:p w:rsidR="003B7F65" w:rsidRPr="001C367E" w:rsidRDefault="003B7F65" w:rsidP="001C367E">
      <w:pPr>
        <w:spacing w:line="360" w:lineRule="auto"/>
        <w:ind w:firstLine="709"/>
        <w:jc w:val="both"/>
        <w:rPr>
          <w:sz w:val="28"/>
          <w:szCs w:val="28"/>
        </w:rPr>
      </w:pPr>
      <w:r w:rsidRPr="001C367E">
        <w:rPr>
          <w:sz w:val="28"/>
          <w:szCs w:val="28"/>
        </w:rPr>
        <w:t xml:space="preserve">4. Совершенствование и расширение сферы применения программно-целевых методов бюджетного планирования. </w:t>
      </w:r>
    </w:p>
    <w:p w:rsidR="003B7F65" w:rsidRPr="001C367E" w:rsidRDefault="003B7F65" w:rsidP="001C367E">
      <w:pPr>
        <w:spacing w:line="360" w:lineRule="auto"/>
        <w:ind w:firstLine="709"/>
        <w:jc w:val="both"/>
        <w:rPr>
          <w:sz w:val="28"/>
          <w:szCs w:val="28"/>
        </w:rPr>
      </w:pPr>
      <w:r w:rsidRPr="001C367E">
        <w:rPr>
          <w:sz w:val="28"/>
          <w:szCs w:val="28"/>
        </w:rPr>
        <w:t>5. Упорядочение процедур составления и рассмотрения бюджета.</w:t>
      </w:r>
    </w:p>
    <w:p w:rsidR="003B7F65" w:rsidRPr="001C367E" w:rsidRDefault="003B7F65" w:rsidP="001C367E">
      <w:pPr>
        <w:spacing w:line="360" w:lineRule="auto"/>
        <w:ind w:firstLine="709"/>
        <w:jc w:val="both"/>
        <w:rPr>
          <w:sz w:val="28"/>
          <w:szCs w:val="28"/>
        </w:rPr>
      </w:pPr>
      <w:r w:rsidRPr="001C367E">
        <w:rPr>
          <w:sz w:val="28"/>
          <w:szCs w:val="28"/>
        </w:rPr>
        <w:t xml:space="preserve">В соответствии с этими направлениями реформирования бюджетный процесс модернизируется так, чтобы отвечать требованиям модели бюджетирования, ориентированного на результаты в рамках среднесрочного финансового планирования. Это потребует включения в бюджетный процесс новых процедур оценки результативности бюджетных расходов и соответственно поэтапного перехода от сметного планирования и финансирования расходов к бюджетному планированию, ориентированному на достижение конечных общественно значимых и измеримых результатов. Организация на новых принципах процедур составления и рассмотрения бюджета приведет к необходимости аналитического разделения действующих и вновь принимаемых расходных обязательств, что в свою очередь приведет к увеличению трудоемкости бюджетного процесса, росту объема учитываемых и обрабатываемых данных. </w:t>
      </w:r>
    </w:p>
    <w:p w:rsidR="00D9634D" w:rsidRPr="001C367E" w:rsidRDefault="00D9634D" w:rsidP="001C367E">
      <w:pPr>
        <w:spacing w:line="360" w:lineRule="auto"/>
        <w:ind w:firstLine="709"/>
        <w:jc w:val="both"/>
        <w:rPr>
          <w:sz w:val="28"/>
          <w:szCs w:val="28"/>
        </w:rPr>
      </w:pPr>
      <w:r w:rsidRPr="001C367E">
        <w:rPr>
          <w:sz w:val="28"/>
          <w:szCs w:val="28"/>
        </w:rPr>
        <w:t>Совершенствование и расширение программно-целевых методов бюджетного планирования, с одной стороны, требует модернизации методологии создания и реализации городских, отраслевых (ведомственных) целевых программ как неотъемлемой части бюджетного процесса. С другой стороны, требуется разработка нового механизма ежегодных докладов основными субъектами городского бюджетного планирования о достигнутых результатах и основных направлениях своей деятельности, определения методов формирования четких критериев и индикаторов оценки достижения ими общественно значимых результатов, расчета эффективности расходования бюджетных средств.</w:t>
      </w:r>
      <w:r w:rsidR="001E71E7" w:rsidRPr="001C367E">
        <w:rPr>
          <w:rStyle w:val="a8"/>
          <w:sz w:val="28"/>
          <w:szCs w:val="28"/>
        </w:rPr>
        <w:footnoteReference w:id="3"/>
      </w:r>
    </w:p>
    <w:p w:rsidR="00D9634D" w:rsidRPr="001C367E" w:rsidRDefault="00D9634D" w:rsidP="001C367E">
      <w:pPr>
        <w:spacing w:line="360" w:lineRule="auto"/>
        <w:ind w:firstLine="709"/>
        <w:jc w:val="both"/>
        <w:rPr>
          <w:sz w:val="28"/>
          <w:szCs w:val="28"/>
        </w:rPr>
      </w:pPr>
      <w:r w:rsidRPr="001C367E">
        <w:rPr>
          <w:sz w:val="28"/>
          <w:szCs w:val="28"/>
        </w:rPr>
        <w:t xml:space="preserve">Другим важным направлением реформирования является реформа бюджетного сектора, которая предусматривает: </w:t>
      </w:r>
    </w:p>
    <w:p w:rsidR="00D9634D" w:rsidRPr="001C367E" w:rsidRDefault="00D9634D" w:rsidP="001C367E">
      <w:pPr>
        <w:spacing w:line="360" w:lineRule="auto"/>
        <w:ind w:firstLine="709"/>
        <w:jc w:val="both"/>
        <w:rPr>
          <w:sz w:val="28"/>
          <w:szCs w:val="28"/>
        </w:rPr>
      </w:pPr>
      <w:r w:rsidRPr="001C367E">
        <w:rPr>
          <w:sz w:val="28"/>
          <w:szCs w:val="28"/>
        </w:rPr>
        <w:t>1.</w:t>
      </w:r>
      <w:r w:rsidR="001C367E" w:rsidRPr="001C367E">
        <w:rPr>
          <w:sz w:val="28"/>
          <w:szCs w:val="28"/>
        </w:rPr>
        <w:t xml:space="preserve"> </w:t>
      </w:r>
      <w:r w:rsidRPr="001C367E">
        <w:rPr>
          <w:sz w:val="28"/>
          <w:szCs w:val="28"/>
        </w:rPr>
        <w:t xml:space="preserve">Оптимизацию действующей сети получателей бюджетных средств. </w:t>
      </w:r>
    </w:p>
    <w:p w:rsidR="00D9634D" w:rsidRPr="001C367E" w:rsidRDefault="00D9634D" w:rsidP="001C367E">
      <w:pPr>
        <w:spacing w:line="360" w:lineRule="auto"/>
        <w:ind w:firstLine="709"/>
        <w:jc w:val="both"/>
        <w:rPr>
          <w:sz w:val="28"/>
          <w:szCs w:val="28"/>
        </w:rPr>
      </w:pPr>
      <w:r w:rsidRPr="001C367E">
        <w:rPr>
          <w:sz w:val="28"/>
          <w:szCs w:val="28"/>
        </w:rPr>
        <w:t xml:space="preserve">2. Уточнение правового статуса и реорганизацию бюджетных учреждений. </w:t>
      </w:r>
    </w:p>
    <w:p w:rsidR="00D9634D" w:rsidRPr="001C367E" w:rsidRDefault="00D9634D" w:rsidP="001C367E">
      <w:pPr>
        <w:spacing w:line="360" w:lineRule="auto"/>
        <w:ind w:firstLine="709"/>
        <w:jc w:val="both"/>
        <w:rPr>
          <w:sz w:val="28"/>
          <w:szCs w:val="28"/>
        </w:rPr>
      </w:pPr>
      <w:r w:rsidRPr="001C367E">
        <w:rPr>
          <w:sz w:val="28"/>
          <w:szCs w:val="28"/>
        </w:rPr>
        <w:t>3.</w:t>
      </w:r>
      <w:r w:rsidR="001C367E" w:rsidRPr="001C367E">
        <w:rPr>
          <w:sz w:val="28"/>
          <w:szCs w:val="28"/>
        </w:rPr>
        <w:t xml:space="preserve"> </w:t>
      </w:r>
      <w:r w:rsidRPr="001C367E">
        <w:rPr>
          <w:sz w:val="28"/>
          <w:szCs w:val="28"/>
        </w:rPr>
        <w:t>Переход к новым формам финансового обеспечения предоставления государственных (муниципальных) услуг.</w:t>
      </w:r>
    </w:p>
    <w:p w:rsidR="00D9634D" w:rsidRPr="001C367E" w:rsidRDefault="00D9634D" w:rsidP="001C367E">
      <w:pPr>
        <w:spacing w:line="360" w:lineRule="auto"/>
        <w:ind w:firstLine="709"/>
        <w:jc w:val="both"/>
        <w:rPr>
          <w:sz w:val="28"/>
          <w:szCs w:val="28"/>
        </w:rPr>
      </w:pPr>
      <w:r w:rsidRPr="001C367E">
        <w:rPr>
          <w:sz w:val="28"/>
          <w:szCs w:val="28"/>
        </w:rPr>
        <w:t>Рассматривая реформу бюджетного сектора, можно отметить, что совершенствование управления сетью получателей бюджетных средств требует проведения тщательного структурного анализа подведомственной сети учреждений и организаций органов исполнительной власти муниципального образования.</w:t>
      </w:r>
      <w:r w:rsidR="00ED5277" w:rsidRPr="001C367E">
        <w:rPr>
          <w:rStyle w:val="a8"/>
          <w:sz w:val="28"/>
          <w:szCs w:val="28"/>
        </w:rPr>
        <w:t xml:space="preserve"> </w:t>
      </w:r>
      <w:r w:rsidR="00ED5277" w:rsidRPr="001C367E">
        <w:rPr>
          <w:rStyle w:val="a8"/>
          <w:sz w:val="28"/>
          <w:szCs w:val="28"/>
        </w:rPr>
        <w:footnoteReference w:id="4"/>
      </w:r>
    </w:p>
    <w:p w:rsidR="00D9634D" w:rsidRPr="001C367E" w:rsidRDefault="00D9634D" w:rsidP="001C367E">
      <w:pPr>
        <w:spacing w:line="360" w:lineRule="auto"/>
        <w:ind w:firstLine="709"/>
        <w:jc w:val="both"/>
        <w:rPr>
          <w:sz w:val="28"/>
          <w:szCs w:val="28"/>
        </w:rPr>
      </w:pPr>
      <w:r w:rsidRPr="001C367E">
        <w:rPr>
          <w:sz w:val="28"/>
          <w:szCs w:val="28"/>
        </w:rPr>
        <w:t xml:space="preserve">Результат такой работы — выявление и ликвидация или объединение бюджетных учреждений, деятельность которых дублируется. </w:t>
      </w:r>
    </w:p>
    <w:p w:rsidR="00E2395B" w:rsidRPr="001C367E" w:rsidRDefault="00E2395B" w:rsidP="001C367E">
      <w:pPr>
        <w:autoSpaceDE w:val="0"/>
        <w:autoSpaceDN w:val="0"/>
        <w:adjustRightInd w:val="0"/>
        <w:spacing w:line="360" w:lineRule="auto"/>
        <w:ind w:firstLine="709"/>
        <w:jc w:val="both"/>
        <w:rPr>
          <w:sz w:val="28"/>
          <w:szCs w:val="28"/>
        </w:rPr>
      </w:pPr>
      <w:r w:rsidRPr="001C367E">
        <w:rPr>
          <w:sz w:val="28"/>
          <w:szCs w:val="28"/>
        </w:rPr>
        <w:t xml:space="preserve">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 </w:t>
      </w:r>
    </w:p>
    <w:p w:rsidR="00E2395B" w:rsidRPr="001C367E" w:rsidRDefault="00E2395B" w:rsidP="001C367E">
      <w:pPr>
        <w:autoSpaceDE w:val="0"/>
        <w:autoSpaceDN w:val="0"/>
        <w:adjustRightInd w:val="0"/>
        <w:spacing w:line="360" w:lineRule="auto"/>
        <w:ind w:firstLine="709"/>
        <w:jc w:val="both"/>
        <w:rPr>
          <w:sz w:val="28"/>
          <w:szCs w:val="28"/>
        </w:rPr>
      </w:pPr>
      <w:r w:rsidRPr="001C367E">
        <w:rPr>
          <w:sz w:val="28"/>
          <w:szCs w:val="28"/>
        </w:rPr>
        <w:t xml:space="preserve">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 </w:t>
      </w:r>
    </w:p>
    <w:p w:rsidR="00E2395B" w:rsidRPr="001C367E" w:rsidRDefault="00E2395B" w:rsidP="001C367E">
      <w:pPr>
        <w:autoSpaceDE w:val="0"/>
        <w:autoSpaceDN w:val="0"/>
        <w:adjustRightInd w:val="0"/>
        <w:spacing w:line="360" w:lineRule="auto"/>
        <w:ind w:firstLine="709"/>
        <w:jc w:val="both"/>
        <w:rPr>
          <w:sz w:val="28"/>
          <w:szCs w:val="28"/>
        </w:rPr>
      </w:pPr>
      <w:r w:rsidRPr="001C367E">
        <w:rPr>
          <w:sz w:val="28"/>
          <w:szCs w:val="28"/>
        </w:rPr>
        <w:t xml:space="preserve">Процесс преобразования бюджетной системы - сложный, длительный, порой весьма болезненный. Тем не менее, начало ему уже положено. И от успешного его завершения зависит ни много, ни мало - будущее всей российской экономики. </w:t>
      </w:r>
    </w:p>
    <w:p w:rsidR="0099231C" w:rsidRPr="001C367E" w:rsidRDefault="0099231C" w:rsidP="001C367E">
      <w:pPr>
        <w:spacing w:line="360" w:lineRule="auto"/>
        <w:ind w:firstLine="709"/>
        <w:jc w:val="both"/>
        <w:rPr>
          <w:caps/>
          <w:sz w:val="28"/>
          <w:szCs w:val="28"/>
        </w:rPr>
      </w:pPr>
      <w:r w:rsidRPr="001C367E">
        <w:rPr>
          <w:caps/>
          <w:sz w:val="28"/>
          <w:szCs w:val="28"/>
        </w:rPr>
        <w:t>2. Виды ценных бумаг, их характеристика</w:t>
      </w:r>
    </w:p>
    <w:p w:rsidR="007E1FF8" w:rsidRPr="001C367E" w:rsidRDefault="007E1FF8" w:rsidP="001C367E">
      <w:pPr>
        <w:spacing w:line="360" w:lineRule="auto"/>
        <w:ind w:firstLine="709"/>
        <w:jc w:val="both"/>
        <w:rPr>
          <w:sz w:val="28"/>
          <w:szCs w:val="28"/>
        </w:rPr>
      </w:pPr>
      <w:r w:rsidRPr="001C367E">
        <w:rPr>
          <w:sz w:val="28"/>
          <w:szCs w:val="28"/>
        </w:rPr>
        <w:t xml:space="preserve">2.1 </w:t>
      </w:r>
      <w:r w:rsidR="000D1EB2" w:rsidRPr="001C367E">
        <w:rPr>
          <w:sz w:val="28"/>
          <w:szCs w:val="28"/>
        </w:rPr>
        <w:t>Понятие и сущность ценной бумаги</w:t>
      </w:r>
    </w:p>
    <w:p w:rsidR="007E1FF8" w:rsidRPr="001C367E" w:rsidRDefault="007E1FF8" w:rsidP="001C367E">
      <w:pPr>
        <w:spacing w:line="360" w:lineRule="auto"/>
        <w:ind w:firstLine="709"/>
        <w:jc w:val="both"/>
        <w:rPr>
          <w:sz w:val="28"/>
          <w:szCs w:val="28"/>
        </w:rPr>
      </w:pPr>
      <w:r w:rsidRPr="001C367E">
        <w:rPr>
          <w:sz w:val="28"/>
          <w:szCs w:val="28"/>
        </w:rPr>
        <w:t>Одним из направлений вложения капитала с целью получения доходов или осуществления расчетов являются ценные бумаги. Итак, прежде чем говорить о видах ценных бумаг, необходимо дать определение ценной бумаги, которое изложено в Гражданском Кодексе Российской Федерации (ГК РФ). В соответствии со статьей 142 ГК РФ ценная бумага,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7E1FF8" w:rsidRPr="001C367E" w:rsidRDefault="007E1FF8" w:rsidP="001C367E">
      <w:pPr>
        <w:suppressLineNumbers/>
        <w:suppressAutoHyphens/>
        <w:spacing w:line="360" w:lineRule="auto"/>
        <w:ind w:firstLine="709"/>
        <w:jc w:val="both"/>
        <w:rPr>
          <w:kern w:val="20"/>
          <w:sz w:val="28"/>
          <w:szCs w:val="28"/>
        </w:rPr>
      </w:pPr>
      <w:r w:rsidRPr="001C367E">
        <w:rPr>
          <w:kern w:val="20"/>
          <w:sz w:val="28"/>
          <w:szCs w:val="28"/>
        </w:rPr>
        <w:t>Исторически ценные бумаги возникли в торговом обороте для облегчения передачи имущественных прав. «Бумага, в которой право воплощено, не имеет ценности сама по себе. Ценность имеет только соответствующее право, для облегчения, циркуляции которого служит бумага»</w:t>
      </w:r>
      <w:r w:rsidRPr="001C367E">
        <w:rPr>
          <w:rStyle w:val="a8"/>
          <w:kern w:val="20"/>
          <w:sz w:val="28"/>
          <w:szCs w:val="28"/>
        </w:rPr>
        <w:footnoteReference w:id="5"/>
      </w:r>
      <w:r w:rsidRPr="001C367E">
        <w:rPr>
          <w:kern w:val="20"/>
          <w:sz w:val="28"/>
          <w:szCs w:val="28"/>
        </w:rPr>
        <w:t>.</w:t>
      </w:r>
    </w:p>
    <w:p w:rsidR="007E1FF8" w:rsidRPr="001C367E" w:rsidRDefault="007E1FF8"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 xml:space="preserve">Исходя из приведенного </w:t>
      </w:r>
      <w:r w:rsidR="00F815F6" w:rsidRPr="001C367E">
        <w:rPr>
          <w:kern w:val="20"/>
          <w:sz w:val="28"/>
          <w:szCs w:val="28"/>
        </w:rPr>
        <w:t xml:space="preserve">выше </w:t>
      </w:r>
      <w:r w:rsidRPr="001C367E">
        <w:rPr>
          <w:kern w:val="20"/>
          <w:sz w:val="28"/>
          <w:szCs w:val="28"/>
        </w:rPr>
        <w:t>определения, ценная бумага обладает следующими существенными юридическими признаками:</w:t>
      </w:r>
    </w:p>
    <w:p w:rsidR="007E1FF8" w:rsidRPr="001C367E" w:rsidRDefault="007E1FF8"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1. Удостоверяет совокупность имущественных прав. Она может удостоверять разнообразные имущественные и неимущественные права в зависимости от вида ценной бумаги. Права, удостоверяемые ценными бумагами, определяются законом или в установленном им порядке.</w:t>
      </w:r>
    </w:p>
    <w:p w:rsidR="007E1FF8" w:rsidRPr="001C367E" w:rsidRDefault="007E1FF8"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2. Обладает строгой формальностью - данный признак означает, что ценная бумага должна иметь строго установленную форму и реквизиты. Другими словами, имущественное право должно быть зафиксировано в документе или иным законным способом. В соответствии со ст. 114 ГК РФ требования к форме ценных бумаг и обязательные реквизиты устанавливаются законом или в установленном им порядке. Отсутствие обязательных реквизитов ценной бумаги или несоответствие ценной бумаги установленной для нее форме влечет ее ничтожность.</w:t>
      </w:r>
    </w:p>
    <w:p w:rsidR="007E1FF8" w:rsidRPr="001C367E" w:rsidRDefault="007E1FF8"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3. Предполагает необходимость ее презентации - т.е. предъявления ценной бумаги как документа для осуществления или передачи права.</w:t>
      </w:r>
    </w:p>
    <w:p w:rsidR="007E1FF8" w:rsidRPr="001C367E" w:rsidRDefault="007E1FF8" w:rsidP="001C367E">
      <w:pPr>
        <w:pStyle w:val="a9"/>
        <w:suppressLineNumbers/>
        <w:suppressAutoHyphens/>
        <w:spacing w:before="0" w:beforeAutospacing="0" w:after="0" w:afterAutospacing="0" w:line="360" w:lineRule="auto"/>
        <w:ind w:firstLine="709"/>
        <w:rPr>
          <w:kern w:val="20"/>
          <w:sz w:val="28"/>
          <w:szCs w:val="28"/>
        </w:rPr>
      </w:pPr>
      <w:bookmarkStart w:id="0" w:name="BM190"/>
      <w:bookmarkEnd w:id="0"/>
      <w:r w:rsidRPr="001C367E">
        <w:rPr>
          <w:kern w:val="20"/>
          <w:sz w:val="28"/>
          <w:szCs w:val="28"/>
        </w:rPr>
        <w:t xml:space="preserve">Приведенные признаки характеризуют ценную бумагу в ее классическом понимании. </w:t>
      </w:r>
    </w:p>
    <w:p w:rsidR="008615BF" w:rsidRPr="001C367E" w:rsidRDefault="008615BF" w:rsidP="001C367E">
      <w:pPr>
        <w:spacing w:line="360" w:lineRule="auto"/>
        <w:ind w:firstLine="709"/>
        <w:jc w:val="both"/>
        <w:rPr>
          <w:sz w:val="28"/>
          <w:szCs w:val="28"/>
        </w:rPr>
      </w:pPr>
      <w:r w:rsidRPr="001C367E">
        <w:rPr>
          <w:sz w:val="28"/>
          <w:szCs w:val="28"/>
        </w:rPr>
        <w:t>2.2 Основные ценные бумаги</w:t>
      </w:r>
    </w:p>
    <w:p w:rsidR="00FC4E99" w:rsidRPr="001C367E" w:rsidRDefault="00FC4E99" w:rsidP="001C367E">
      <w:pPr>
        <w:spacing w:line="360" w:lineRule="auto"/>
        <w:ind w:firstLine="709"/>
        <w:jc w:val="both"/>
        <w:rPr>
          <w:sz w:val="28"/>
          <w:szCs w:val="28"/>
        </w:rPr>
      </w:pPr>
      <w:r w:rsidRPr="001C367E">
        <w:rPr>
          <w:sz w:val="28"/>
          <w:szCs w:val="28"/>
        </w:rPr>
        <w:t>В статье 143 ГК РФ перечисляются основные виды ценных бумаг. К основным ценным бумагам относятся следующие виды ценных бумаг.</w:t>
      </w:r>
    </w:p>
    <w:p w:rsidR="008615BF" w:rsidRPr="001C367E" w:rsidRDefault="008615BF" w:rsidP="001C367E">
      <w:pPr>
        <w:spacing w:line="360" w:lineRule="auto"/>
        <w:ind w:firstLine="709"/>
        <w:jc w:val="both"/>
        <w:rPr>
          <w:sz w:val="28"/>
          <w:szCs w:val="28"/>
        </w:rPr>
      </w:pPr>
      <w:r w:rsidRPr="001C367E">
        <w:rPr>
          <w:sz w:val="28"/>
          <w:szCs w:val="28"/>
        </w:rPr>
        <w:t>Вексель (от нем. Wechsel) — строго установленная форма, удостоверяющая ничем не обусловленное обязательство векселедателя (простой вексель), либо предложение иному указанному в векселе плательщику (переводный вексель) уплатить по наступлении предусмотренного векселем срока определенную денежную сумму. Вексель может быть ордерным, то есть передача прав по нему осуществляется путем совершения специальной надписи — индоссамента, или именным (передача прав производится по цессии). Индоссамент может быть бланковым (без указания лица, которому должно быть произведено исполнение) или именным (с указанием лица, которому должно быть произведено исполнение). Лицо, передавшее вексель посредством индоссамента, несет ответственность перед последующими векселедержателями за возможность осуществления прав по векселю.</w:t>
      </w:r>
    </w:p>
    <w:p w:rsidR="008615BF" w:rsidRPr="001C367E" w:rsidRDefault="008615BF" w:rsidP="001C367E">
      <w:pPr>
        <w:spacing w:line="360" w:lineRule="auto"/>
        <w:ind w:firstLine="709"/>
        <w:jc w:val="both"/>
        <w:rPr>
          <w:sz w:val="28"/>
          <w:szCs w:val="28"/>
        </w:rPr>
      </w:pPr>
      <w:r w:rsidRPr="001C367E">
        <w:rPr>
          <w:sz w:val="28"/>
          <w:szCs w:val="28"/>
        </w:rPr>
        <w:t>А́кция (нем. Aktie, от лат. actio — действие, претензия)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8615BF" w:rsidRPr="001C367E" w:rsidRDefault="008615BF" w:rsidP="001C367E">
      <w:pPr>
        <w:spacing w:line="360" w:lineRule="auto"/>
        <w:ind w:firstLine="709"/>
        <w:jc w:val="both"/>
        <w:rPr>
          <w:sz w:val="28"/>
          <w:szCs w:val="28"/>
        </w:rPr>
      </w:pPr>
      <w:r w:rsidRPr="001C367E">
        <w:rPr>
          <w:sz w:val="28"/>
          <w:szCs w:val="28"/>
        </w:rPr>
        <w:t>Различают обыкновенные и привилегированные акции.</w:t>
      </w:r>
    </w:p>
    <w:p w:rsidR="008615BF" w:rsidRPr="001C367E" w:rsidRDefault="008615BF" w:rsidP="001C367E">
      <w:pPr>
        <w:spacing w:line="360" w:lineRule="auto"/>
        <w:ind w:firstLine="709"/>
        <w:jc w:val="both"/>
        <w:rPr>
          <w:sz w:val="28"/>
          <w:szCs w:val="28"/>
        </w:rPr>
      </w:pPr>
      <w:r w:rsidRPr="001C367E">
        <w:rPr>
          <w:sz w:val="28"/>
          <w:szCs w:val="28"/>
        </w:rPr>
        <w:t>Обыкновенные акции дают право на участие в управлении обществом (1 акция соответствует одному голосу на собрании акционеров, за исключением проведения кумулятивного голосования) и участвуют в распределении прибыли акционерного общества. Источником выплаты дивидендов по обыкновенным акциям является чистая прибыль общества. Размер дивидендов определяется советом директоров предприятия и рекомендуется общему собранию акционеров, которое может только уменьшить размер дивидендов относительно рекомендованного советом директоров.</w:t>
      </w:r>
    </w:p>
    <w:p w:rsidR="008615BF" w:rsidRPr="001C367E" w:rsidRDefault="008615BF" w:rsidP="001C367E">
      <w:pPr>
        <w:spacing w:line="360" w:lineRule="auto"/>
        <w:ind w:firstLine="709"/>
        <w:jc w:val="both"/>
        <w:rPr>
          <w:sz w:val="28"/>
          <w:szCs w:val="28"/>
        </w:rPr>
      </w:pPr>
      <w:r w:rsidRPr="001C367E">
        <w:rPr>
          <w:sz w:val="28"/>
          <w:szCs w:val="28"/>
        </w:rPr>
        <w:t>Привилегированные акции могут вносить ограничения на участие в управлении, а также могут давать дополнительные права в управлении (не обязательно), но приносят постоянные (часто — фиксированные в виде определенной доли от бухгалтерской чистой прибыли или в абсолютном денежном выражении) дивиденды. Как правило, в России существуют значительные ограничения на участие в управлении компаниями, что вызвано тем, что массовая приватизация предприятий согласно 2 и 3 типу предусматривала передачу Привилегированных акции трудовому коллективу, при этом лишая его права голоса на собраниях акционеров.</w:t>
      </w:r>
    </w:p>
    <w:p w:rsidR="008615BF" w:rsidRPr="001C367E" w:rsidRDefault="008615BF" w:rsidP="001C367E">
      <w:pPr>
        <w:spacing w:line="360" w:lineRule="auto"/>
        <w:ind w:firstLine="709"/>
        <w:jc w:val="both"/>
        <w:rPr>
          <w:sz w:val="28"/>
          <w:szCs w:val="28"/>
        </w:rPr>
      </w:pPr>
      <w:r w:rsidRPr="001C367E">
        <w:rPr>
          <w:sz w:val="28"/>
          <w:szCs w:val="28"/>
        </w:rPr>
        <w:t>Дивиденды по привилегированным акциям могут выплачиваться как из прибыли, так и из других источников — в соответствии с уставом общества. В настоящее время по российскому законодательству, если по привилегированным акциям не выплачены дивиденды, то они предоставляют акционерам право голоса на общем собрании акционеров (за исключением кумулятивных привилегированных акций). Привилегированные акции делятся на:</w:t>
      </w:r>
    </w:p>
    <w:p w:rsidR="008615BF" w:rsidRPr="001C367E" w:rsidRDefault="008615BF" w:rsidP="001C367E">
      <w:pPr>
        <w:spacing w:line="360" w:lineRule="auto"/>
        <w:ind w:firstLine="709"/>
        <w:jc w:val="both"/>
        <w:rPr>
          <w:sz w:val="28"/>
          <w:szCs w:val="28"/>
        </w:rPr>
      </w:pPr>
      <w:r w:rsidRPr="001C367E">
        <w:rPr>
          <w:sz w:val="28"/>
          <w:szCs w:val="28"/>
        </w:rPr>
        <w:t>а) Привилегированные имеют ряд привилегий в обмен на право голоса. У их собственника определена величина дохода в момент выпуска и размещения ценных бумаг. Определен размер ликвидационной стоимости. Приоритет при начислении этих выплат по отношению к обыкновенным.</w:t>
      </w:r>
    </w:p>
    <w:p w:rsidR="008615BF" w:rsidRPr="001C367E" w:rsidRDefault="008615BF" w:rsidP="001C367E">
      <w:pPr>
        <w:spacing w:line="360" w:lineRule="auto"/>
        <w:ind w:firstLine="709"/>
        <w:jc w:val="both"/>
        <w:rPr>
          <w:sz w:val="28"/>
          <w:szCs w:val="28"/>
        </w:rPr>
      </w:pPr>
      <w:r w:rsidRPr="001C367E">
        <w:rPr>
          <w:sz w:val="28"/>
          <w:szCs w:val="28"/>
        </w:rPr>
        <w:t>б) Кумулятивные (накапливающие). Привилегии — те же. Сохраняется и накапливается обязательство по выплате дивидендов. Фиксированный срок накопления дивидендов. При невыплате дивидендов права голоса не получают.</w:t>
      </w:r>
    </w:p>
    <w:p w:rsidR="008615BF" w:rsidRPr="001C367E" w:rsidRDefault="008615BF" w:rsidP="001C367E">
      <w:pPr>
        <w:spacing w:line="360" w:lineRule="auto"/>
        <w:ind w:firstLine="709"/>
        <w:jc w:val="both"/>
        <w:rPr>
          <w:sz w:val="28"/>
          <w:szCs w:val="28"/>
        </w:rPr>
      </w:pPr>
      <w:r w:rsidRPr="001C367E">
        <w:rPr>
          <w:sz w:val="28"/>
          <w:szCs w:val="28"/>
        </w:rPr>
        <w:t>Аналог привилегированных акций: Акция учредительская (founders share) — Акция, распространяемая среди учредителей акционерных компаний и дающая им некоторые преимущественные права. Держатели таких акций могут: иметь дополнительное количество голосов на собрании акционеров; пользоваться первоочередным правом на получение акций в случае их последующих эмиссий; играть главную роль в решении всех вопросов, связанных с деятельностью акционерных компаний.</w:t>
      </w:r>
    </w:p>
    <w:p w:rsidR="008615BF" w:rsidRPr="001C367E" w:rsidRDefault="008615BF" w:rsidP="001C367E">
      <w:pPr>
        <w:spacing w:line="360" w:lineRule="auto"/>
        <w:ind w:firstLine="709"/>
        <w:jc w:val="both"/>
        <w:rPr>
          <w:sz w:val="28"/>
          <w:szCs w:val="28"/>
        </w:rPr>
      </w:pPr>
      <w:r w:rsidRPr="001C367E">
        <w:rPr>
          <w:sz w:val="28"/>
          <w:szCs w:val="28"/>
        </w:rPr>
        <w:t>Чек (фр. chèque, англ. cheque)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имеющее денежные средства в банке, которыми он вправе распоряжаться путем выставления чеков, чекодержателем — лицо, в пользу которого выдан чек, плательщиком — банк, в котором находятся денежные средства чекодателя.</w:t>
      </w:r>
    </w:p>
    <w:p w:rsidR="008615BF" w:rsidRPr="001C367E" w:rsidRDefault="008615BF" w:rsidP="001C367E">
      <w:pPr>
        <w:spacing w:line="360" w:lineRule="auto"/>
        <w:ind w:firstLine="709"/>
        <w:jc w:val="both"/>
        <w:rPr>
          <w:sz w:val="28"/>
          <w:szCs w:val="28"/>
        </w:rPr>
      </w:pPr>
      <w:r w:rsidRPr="001C367E">
        <w:rPr>
          <w:sz w:val="28"/>
          <w:szCs w:val="28"/>
        </w:rPr>
        <w:t>Чекодатель не вправе отозвать чек до истечения установленного срока для предъявления его к оплате.</w:t>
      </w:r>
    </w:p>
    <w:p w:rsidR="008615BF" w:rsidRPr="001C367E" w:rsidRDefault="008615BF" w:rsidP="001C367E">
      <w:pPr>
        <w:spacing w:line="360" w:lineRule="auto"/>
        <w:ind w:firstLine="709"/>
        <w:jc w:val="both"/>
        <w:rPr>
          <w:sz w:val="28"/>
          <w:szCs w:val="28"/>
        </w:rPr>
      </w:pPr>
      <w:r w:rsidRPr="001C367E">
        <w:rPr>
          <w:sz w:val="28"/>
          <w:szCs w:val="28"/>
        </w:rPr>
        <w:t>Облига́ция (лат. obligatio — обязательство; англ. bond — долгосрочная, note — краткосрочная) — эмиссионная долговая ценная бумага, закрепляющая право её владельца на получение от эмитента облигации в предусмотренный в ней срок её номинальной стоимости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8615BF" w:rsidRPr="001C367E" w:rsidRDefault="008615BF" w:rsidP="001C367E">
      <w:pPr>
        <w:spacing w:line="360" w:lineRule="auto"/>
        <w:ind w:firstLine="709"/>
        <w:jc w:val="both"/>
        <w:rPr>
          <w:sz w:val="28"/>
          <w:szCs w:val="28"/>
        </w:rPr>
      </w:pPr>
      <w:r w:rsidRPr="001C367E">
        <w:rPr>
          <w:sz w:val="28"/>
          <w:szCs w:val="28"/>
        </w:rPr>
        <w:t>По типу дохода:</w:t>
      </w:r>
    </w:p>
    <w:p w:rsidR="008615BF" w:rsidRPr="001C367E" w:rsidRDefault="008615BF" w:rsidP="001C367E">
      <w:pPr>
        <w:spacing w:line="360" w:lineRule="auto"/>
        <w:ind w:firstLine="709"/>
        <w:jc w:val="both"/>
        <w:rPr>
          <w:sz w:val="28"/>
          <w:szCs w:val="28"/>
        </w:rPr>
      </w:pPr>
      <w:r w:rsidRPr="001C367E">
        <w:rPr>
          <w:sz w:val="28"/>
          <w:szCs w:val="28"/>
        </w:rPr>
        <w:t>Дисконтная облигация (англ. Zero Coupon Bond) — облигация, доходом по которой является дисконт (бескупонная облигация). Дисконтные облигации продаются по цене ниже номинала. Чем ближе дата погашения облигации, тем выше рыночная цена облигации. Примеры дисконтных облигаций — ГКО, БОБР.</w:t>
      </w:r>
    </w:p>
    <w:p w:rsidR="008615BF" w:rsidRPr="001C367E" w:rsidRDefault="008615BF" w:rsidP="001C367E">
      <w:pPr>
        <w:spacing w:line="360" w:lineRule="auto"/>
        <w:ind w:firstLine="709"/>
        <w:jc w:val="both"/>
        <w:rPr>
          <w:sz w:val="28"/>
          <w:szCs w:val="28"/>
        </w:rPr>
      </w:pPr>
      <w:r w:rsidRPr="001C367E">
        <w:rPr>
          <w:sz w:val="28"/>
          <w:szCs w:val="28"/>
        </w:rPr>
        <w:t>Облигация с фиксированной процентной ставкой (англ. Fixed Rate Bond) — купонная облигация, доход по которой выплачивается по купонам с фиксированной процентной ставкой. Информация о купонах указывается в проспекте эмиссии облигации. К этому типу облигаций относятся ОФЗ, ОВГВЗ, большинство еврооблигаций.</w:t>
      </w:r>
    </w:p>
    <w:p w:rsidR="008615BF" w:rsidRPr="001C367E" w:rsidRDefault="008615BF" w:rsidP="001C367E">
      <w:pPr>
        <w:spacing w:line="360" w:lineRule="auto"/>
        <w:ind w:firstLine="709"/>
        <w:jc w:val="both"/>
        <w:rPr>
          <w:sz w:val="28"/>
          <w:szCs w:val="28"/>
        </w:rPr>
      </w:pPr>
      <w:r w:rsidRPr="001C367E">
        <w:rPr>
          <w:sz w:val="28"/>
          <w:szCs w:val="28"/>
        </w:rPr>
        <w:t>Облигация с плавающей процентной ставкой (англ. Floating Rate Note (FRN); Floater) — купонная облигация с переменным купоном, размер которого привязывается к некоторым макроэкономическим показателям: к доходности государственных ценных бумаг, к ставкам межбанковских кредитов (LIBOR, EURIBOR) и т. п.</w:t>
      </w:r>
    </w:p>
    <w:p w:rsidR="008615BF" w:rsidRPr="001C367E" w:rsidRDefault="008615BF" w:rsidP="001C367E">
      <w:pPr>
        <w:spacing w:line="360" w:lineRule="auto"/>
        <w:ind w:firstLine="709"/>
        <w:jc w:val="both"/>
        <w:rPr>
          <w:sz w:val="28"/>
          <w:szCs w:val="28"/>
        </w:rPr>
      </w:pPr>
      <w:r w:rsidRPr="001C367E">
        <w:rPr>
          <w:sz w:val="28"/>
          <w:szCs w:val="28"/>
        </w:rPr>
        <w:t>По эмитентам:</w:t>
      </w:r>
    </w:p>
    <w:p w:rsidR="008615BF" w:rsidRPr="001C367E" w:rsidRDefault="008615BF" w:rsidP="001C367E">
      <w:pPr>
        <w:numPr>
          <w:ilvl w:val="0"/>
          <w:numId w:val="4"/>
        </w:numPr>
        <w:tabs>
          <w:tab w:val="clear" w:pos="1260"/>
        </w:tabs>
        <w:spacing w:line="360" w:lineRule="auto"/>
        <w:ind w:left="0" w:firstLine="709"/>
        <w:jc w:val="both"/>
        <w:rPr>
          <w:sz w:val="28"/>
          <w:szCs w:val="28"/>
        </w:rPr>
      </w:pPr>
      <w:r w:rsidRPr="001C367E">
        <w:rPr>
          <w:sz w:val="28"/>
          <w:szCs w:val="28"/>
        </w:rPr>
        <w:t xml:space="preserve">Государственные облигации (англ. Government bonds) — ценная бумага, эмитированная с целью покрытия бюджетного дефицита от имени правительства или местных органов власти, но обязательно гарантированная правительством; </w:t>
      </w:r>
    </w:p>
    <w:p w:rsidR="008615BF" w:rsidRPr="001C367E" w:rsidRDefault="008615BF" w:rsidP="001C367E">
      <w:pPr>
        <w:numPr>
          <w:ilvl w:val="0"/>
          <w:numId w:val="4"/>
        </w:numPr>
        <w:tabs>
          <w:tab w:val="clear" w:pos="1260"/>
        </w:tabs>
        <w:spacing w:line="360" w:lineRule="auto"/>
        <w:ind w:left="0" w:firstLine="709"/>
        <w:jc w:val="both"/>
        <w:rPr>
          <w:sz w:val="28"/>
          <w:szCs w:val="28"/>
        </w:rPr>
      </w:pPr>
      <w:r w:rsidRPr="001C367E">
        <w:rPr>
          <w:sz w:val="28"/>
          <w:szCs w:val="28"/>
        </w:rPr>
        <w:t>Суверенные облигации;</w:t>
      </w:r>
    </w:p>
    <w:p w:rsidR="008615BF" w:rsidRPr="001C367E" w:rsidRDefault="008615BF" w:rsidP="001C367E">
      <w:pPr>
        <w:numPr>
          <w:ilvl w:val="0"/>
          <w:numId w:val="4"/>
        </w:numPr>
        <w:tabs>
          <w:tab w:val="clear" w:pos="1260"/>
        </w:tabs>
        <w:spacing w:line="360" w:lineRule="auto"/>
        <w:ind w:left="0" w:firstLine="709"/>
        <w:jc w:val="both"/>
        <w:rPr>
          <w:sz w:val="28"/>
          <w:szCs w:val="28"/>
        </w:rPr>
      </w:pPr>
      <w:r w:rsidRPr="001C367E">
        <w:rPr>
          <w:sz w:val="28"/>
          <w:szCs w:val="28"/>
        </w:rPr>
        <w:t>Корпоративные облигации;</w:t>
      </w:r>
    </w:p>
    <w:p w:rsidR="008615BF" w:rsidRPr="001C367E" w:rsidRDefault="008615BF" w:rsidP="001C367E">
      <w:pPr>
        <w:numPr>
          <w:ilvl w:val="0"/>
          <w:numId w:val="4"/>
        </w:numPr>
        <w:tabs>
          <w:tab w:val="clear" w:pos="1260"/>
        </w:tabs>
        <w:spacing w:line="360" w:lineRule="auto"/>
        <w:ind w:left="0" w:firstLine="709"/>
        <w:jc w:val="both"/>
        <w:rPr>
          <w:sz w:val="28"/>
          <w:szCs w:val="28"/>
        </w:rPr>
      </w:pPr>
      <w:r w:rsidRPr="001C367E">
        <w:rPr>
          <w:sz w:val="28"/>
          <w:szCs w:val="28"/>
        </w:rPr>
        <w:t>Муниципальные облигации.</w:t>
      </w:r>
    </w:p>
    <w:p w:rsidR="008615BF" w:rsidRPr="001C367E" w:rsidRDefault="008615BF" w:rsidP="001C367E">
      <w:pPr>
        <w:spacing w:line="360" w:lineRule="auto"/>
        <w:ind w:firstLine="709"/>
        <w:jc w:val="both"/>
        <w:rPr>
          <w:sz w:val="28"/>
          <w:szCs w:val="28"/>
        </w:rPr>
      </w:pPr>
      <w:r w:rsidRPr="001C367E">
        <w:rPr>
          <w:sz w:val="28"/>
          <w:szCs w:val="28"/>
        </w:rPr>
        <w:t>Депозитный сертификат - ценная бумага, письменное свидетельство банка о вкладе денежных средств, удостоверяющая право ее владельца (только юридического лица на получение в установленный срок суммы вклада и процентов по ней. Депозитные сертификаты выпускаются только в рублях, доход по ним начисляется в виде процентов. Срок обращения депозитного сертификата ограничен годом. (Сберегательного сертификата 3 года).</w:t>
      </w:r>
    </w:p>
    <w:p w:rsidR="008615BF" w:rsidRPr="001C367E" w:rsidRDefault="008615BF" w:rsidP="001C367E">
      <w:pPr>
        <w:spacing w:line="360" w:lineRule="auto"/>
        <w:ind w:firstLine="709"/>
        <w:jc w:val="both"/>
        <w:rPr>
          <w:sz w:val="28"/>
          <w:szCs w:val="28"/>
        </w:rPr>
      </w:pPr>
      <w:r w:rsidRPr="001C367E">
        <w:rPr>
          <w:sz w:val="28"/>
          <w:szCs w:val="28"/>
        </w:rPr>
        <w:t>Депозитный сертификат можно заложить, учесть по учетной ставке, дисконтировать. Депозитный сертификат имеет большую ликвидность, чем договор вклада (депозита) и может быть перепродан.</w:t>
      </w:r>
    </w:p>
    <w:p w:rsidR="008615BF" w:rsidRPr="001C367E" w:rsidRDefault="008615BF" w:rsidP="001C367E">
      <w:pPr>
        <w:spacing w:line="360" w:lineRule="auto"/>
        <w:ind w:firstLine="709"/>
        <w:jc w:val="both"/>
        <w:rPr>
          <w:sz w:val="28"/>
          <w:szCs w:val="28"/>
        </w:rPr>
      </w:pPr>
      <w:r w:rsidRPr="001C367E">
        <w:rPr>
          <w:sz w:val="28"/>
          <w:szCs w:val="28"/>
        </w:rPr>
        <w:t>Сберегательный сертификат — ценная бумага, удостоверяющая сумму вклада, внесенного в банк физическим лицом,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банка.</w:t>
      </w:r>
    </w:p>
    <w:p w:rsidR="008615BF" w:rsidRPr="001C367E" w:rsidRDefault="008615BF" w:rsidP="001C367E">
      <w:pPr>
        <w:spacing w:line="360" w:lineRule="auto"/>
        <w:ind w:firstLine="709"/>
        <w:jc w:val="both"/>
        <w:rPr>
          <w:sz w:val="28"/>
          <w:szCs w:val="28"/>
        </w:rPr>
      </w:pPr>
      <w:r w:rsidRPr="001C367E">
        <w:rPr>
          <w:sz w:val="28"/>
          <w:szCs w:val="28"/>
        </w:rPr>
        <w:t>Сертификат выдается путем взноса наличных денег или за счет средств, хранящихся во вкладе. Определение понятия «сберегательный cертификат» содержится в главе 7 Гражданского кодекса Российской Федерации, а также в статьях 836 и 844.</w:t>
      </w:r>
    </w:p>
    <w:p w:rsidR="008615BF" w:rsidRPr="001C367E" w:rsidRDefault="008615BF" w:rsidP="001C367E">
      <w:pPr>
        <w:spacing w:line="360" w:lineRule="auto"/>
        <w:ind w:firstLine="709"/>
        <w:jc w:val="both"/>
        <w:rPr>
          <w:sz w:val="28"/>
          <w:szCs w:val="28"/>
        </w:rPr>
      </w:pPr>
      <w:r w:rsidRPr="001C367E">
        <w:rPr>
          <w:sz w:val="28"/>
          <w:szCs w:val="28"/>
        </w:rPr>
        <w:t>Право выпуска данных ценных бумаг предоставлено только кредитным организациям после регистрации условий их выпуска и обращения в Банке России. В настоящее время порядок выпуска и обращения сберегательных сертификатов регламентируется Указаниями Банка России «О внесении изменений и дополнений в письмо Центрального банка России от 10 февраля 1992 года № 14-3-20 «О депозитных и сберегательных сертификатах банков» от 31.08.1998 г. № 333-У (далее — Указание № 333-У).</w:t>
      </w:r>
    </w:p>
    <w:p w:rsidR="008615BF" w:rsidRPr="001C367E" w:rsidRDefault="008615BF" w:rsidP="001C367E">
      <w:pPr>
        <w:spacing w:line="360" w:lineRule="auto"/>
        <w:ind w:firstLine="709"/>
        <w:jc w:val="both"/>
        <w:rPr>
          <w:sz w:val="28"/>
          <w:szCs w:val="28"/>
        </w:rPr>
      </w:pPr>
      <w:r w:rsidRPr="001C367E">
        <w:rPr>
          <w:sz w:val="28"/>
          <w:szCs w:val="28"/>
        </w:rPr>
        <w:t>Сберегательные сертификаты выпускаются в валюте Российской Федерации. Сертификаты могут быть именными или на предъявителя. Выплата процентов по сертификатам осуществляется одновременно с погашением ценной бумаги. Вместе с тем, предусмотрена их досрочная оплата. При этом выплачивается номинал сертификата и проценты, установленные по вкладам до востребования, действующие на момент предъявления сертификата к оплате (или иной порядок досрочной оплаты, установленный банком при выпуске сберегательных сертификатов).</w:t>
      </w:r>
    </w:p>
    <w:p w:rsidR="000D44C1" w:rsidRPr="001C367E" w:rsidRDefault="000D44C1" w:rsidP="001C367E">
      <w:pPr>
        <w:pStyle w:val="a9"/>
        <w:suppressLineNumbers/>
        <w:suppressAutoHyphens/>
        <w:spacing w:before="0" w:beforeAutospacing="0" w:after="0" w:afterAutospacing="0" w:line="360" w:lineRule="auto"/>
        <w:ind w:firstLine="709"/>
        <w:rPr>
          <w:kern w:val="20"/>
          <w:sz w:val="28"/>
          <w:szCs w:val="28"/>
        </w:rPr>
      </w:pPr>
      <w:r w:rsidRPr="001C367E">
        <w:rPr>
          <w:rStyle w:val="aa"/>
          <w:b w:val="0"/>
          <w:bCs w:val="0"/>
          <w:kern w:val="20"/>
          <w:sz w:val="28"/>
          <w:szCs w:val="28"/>
        </w:rPr>
        <w:t>Двойное и простое складские свидетельства -</w:t>
      </w:r>
      <w:r w:rsidRPr="001C367E">
        <w:rPr>
          <w:kern w:val="20"/>
          <w:sz w:val="28"/>
          <w:szCs w:val="28"/>
        </w:rPr>
        <w:t xml:space="preserve"> ценные бумаги, подтверждающие принятие товара на хранение товарным складом и предоставляющие право их владельцу распоряжаться товаром. Двойное и простое складские свидетельства относятся к товарораспорядительным ценным бумагам.</w:t>
      </w:r>
    </w:p>
    <w:p w:rsidR="000D44C1" w:rsidRPr="001C367E" w:rsidRDefault="000D44C1"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Согласно ст. 912 ГК РФ двойное складское свидетельство состоит их двух частей - складского свидетельства и залогового свидетельства (варранта), которые являются ценными бумагами. Складское и залоговое свидетельства могут передаваться вместе или порознь по передаточным надписям. Простое складское свидетельство содержит те же реквизиты, что и двойное складское свидетельство, но является бумагой на предъявителя</w:t>
      </w:r>
      <w:r w:rsidRPr="001C367E">
        <w:rPr>
          <w:rStyle w:val="a8"/>
          <w:kern w:val="20"/>
          <w:sz w:val="28"/>
          <w:szCs w:val="28"/>
        </w:rPr>
        <w:footnoteReference w:id="6"/>
      </w:r>
      <w:r w:rsidRPr="001C367E">
        <w:rPr>
          <w:kern w:val="20"/>
          <w:sz w:val="28"/>
          <w:szCs w:val="28"/>
        </w:rPr>
        <w:t>.</w:t>
      </w:r>
    </w:p>
    <w:p w:rsidR="000D44C1" w:rsidRPr="001C367E" w:rsidRDefault="000D44C1"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Держатель двойного складского свидетельства имеет право распоряжения хранящимся на складе товаром (может забрать товар, передать его путем передачи свидетельства другому лицу и т.д.). Держатель залогового свидетельства (варранта) имеет право залога на товар в размере выданного кредита и процентов по нему. Товарный склад выдает товар в обмен на оба свидетельства (простое и залоговое) с приложением квитанции об уплате суммы долга по залоговому свидетельству.</w:t>
      </w:r>
    </w:p>
    <w:p w:rsidR="000D44C1" w:rsidRPr="001C367E" w:rsidRDefault="000D44C1" w:rsidP="001C367E">
      <w:pPr>
        <w:spacing w:line="360" w:lineRule="auto"/>
        <w:ind w:firstLine="709"/>
        <w:jc w:val="both"/>
        <w:rPr>
          <w:sz w:val="28"/>
          <w:szCs w:val="28"/>
        </w:rPr>
      </w:pPr>
      <w:r w:rsidRPr="001C367E">
        <w:rPr>
          <w:kern w:val="20"/>
          <w:sz w:val="28"/>
          <w:szCs w:val="28"/>
        </w:rPr>
        <w:t>Коносамент - это транспортный документ, являющийся ценной бумагой, который содержит условия договора морской перевозки и выражает право собственности на конкретный указанный в нем товар. Коносамент представляет собой документ, держатель которого получает право распоряжаться грузом. Основные правила обращения коносамента, и его реквизиты закреплены ст. 123 - 126 Кодекса торгового мореплавания.</w:t>
      </w:r>
    </w:p>
    <w:p w:rsidR="008615BF" w:rsidRPr="001C367E" w:rsidRDefault="008615BF" w:rsidP="001C367E">
      <w:pPr>
        <w:spacing w:line="360" w:lineRule="auto"/>
        <w:ind w:firstLine="709"/>
        <w:jc w:val="both"/>
        <w:rPr>
          <w:sz w:val="28"/>
          <w:szCs w:val="28"/>
        </w:rPr>
      </w:pPr>
      <w:r w:rsidRPr="001C367E">
        <w:rPr>
          <w:sz w:val="28"/>
          <w:szCs w:val="28"/>
        </w:rPr>
        <w:t>2.</w:t>
      </w:r>
      <w:r w:rsidR="00AA41BA" w:rsidRPr="001C367E">
        <w:rPr>
          <w:sz w:val="28"/>
          <w:szCs w:val="28"/>
        </w:rPr>
        <w:t>3</w:t>
      </w:r>
      <w:r w:rsidRPr="001C367E">
        <w:rPr>
          <w:sz w:val="28"/>
          <w:szCs w:val="28"/>
        </w:rPr>
        <w:t xml:space="preserve"> Производные ценные бумаги</w:t>
      </w:r>
    </w:p>
    <w:p w:rsidR="000D44C1" w:rsidRPr="001C367E" w:rsidRDefault="000D44C1"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 xml:space="preserve">По своему содержанию ценные бумаги подразделяются на </w:t>
      </w:r>
      <w:r w:rsidRPr="001C367E">
        <w:rPr>
          <w:sz w:val="28"/>
          <w:szCs w:val="28"/>
        </w:rPr>
        <w:t>базисные (основные) и производные.</w:t>
      </w:r>
      <w:r w:rsidRPr="001C367E">
        <w:rPr>
          <w:kern w:val="20"/>
          <w:sz w:val="28"/>
          <w:szCs w:val="28"/>
        </w:rPr>
        <w:t xml:space="preserve"> К производным относятся ценные бумаги, базисным активом которых являются другие ценные бумаги. Следовательно, осуществление прав владельца производной ценной бумаги предполагает передачу (поставку) ему в установленный срок базисных ценных бумаг (акций, облигаций и др.).</w:t>
      </w:r>
    </w:p>
    <w:p w:rsidR="008615BF" w:rsidRPr="001C367E" w:rsidRDefault="008615BF" w:rsidP="001C367E">
      <w:pPr>
        <w:spacing w:line="360" w:lineRule="auto"/>
        <w:ind w:firstLine="709"/>
        <w:jc w:val="both"/>
        <w:rPr>
          <w:sz w:val="28"/>
          <w:szCs w:val="28"/>
        </w:rPr>
      </w:pPr>
      <w:r w:rsidRPr="001C367E">
        <w:rPr>
          <w:sz w:val="28"/>
          <w:szCs w:val="28"/>
        </w:rPr>
        <w:t>Варрант (англ. warrant — полномочие, доверенность) — это: сертификат, дающий держателю право покупать ценные бумаги по оговорённой цене в течение определённого промежутка времени;</w:t>
      </w:r>
      <w:r w:rsidR="00FC4E99" w:rsidRPr="001C367E">
        <w:rPr>
          <w:sz w:val="28"/>
          <w:szCs w:val="28"/>
        </w:rPr>
        <w:t xml:space="preserve"> </w:t>
      </w:r>
      <w:r w:rsidRPr="001C367E">
        <w:rPr>
          <w:sz w:val="28"/>
          <w:szCs w:val="28"/>
        </w:rPr>
        <w:t>свидетельство товарного склада о приёме на хранение определённого товара, то есть варрант — это товарораспределительный документ, который используется при продаже и залоге товара.</w:t>
      </w:r>
    </w:p>
    <w:p w:rsidR="008615BF" w:rsidRPr="001C367E" w:rsidRDefault="008615BF" w:rsidP="001C367E">
      <w:pPr>
        <w:spacing w:line="360" w:lineRule="auto"/>
        <w:ind w:firstLine="709"/>
        <w:jc w:val="both"/>
        <w:rPr>
          <w:sz w:val="28"/>
          <w:szCs w:val="28"/>
        </w:rPr>
      </w:pPr>
      <w:r w:rsidRPr="001C367E">
        <w:rPr>
          <w:sz w:val="28"/>
          <w:szCs w:val="28"/>
        </w:rPr>
        <w:t>Варрант - ценная бумага, дающая ее владельцу право на покупку некоторого количества акций на определенную будущую дату по определенной цене. Обычно варранты используются при новой эмиссии ценных бумаг. Варрант торгуется как ценная бумага, цена которой отражает стоимость лежащих в его основе ценных бумаг.</w:t>
      </w:r>
    </w:p>
    <w:p w:rsidR="008615BF" w:rsidRPr="001C367E" w:rsidRDefault="008615BF" w:rsidP="001C367E">
      <w:pPr>
        <w:spacing w:line="360" w:lineRule="auto"/>
        <w:ind w:firstLine="709"/>
        <w:jc w:val="both"/>
        <w:rPr>
          <w:sz w:val="28"/>
          <w:szCs w:val="28"/>
        </w:rPr>
      </w:pPr>
      <w:r w:rsidRPr="001C367E">
        <w:rPr>
          <w:sz w:val="28"/>
          <w:szCs w:val="28"/>
        </w:rPr>
        <w:t>Варранты приобрели популярность среди биржевых спекулянтов, потому что курс варранта на покупку акции, по которому он котируется на бирже, существенно ниже курса самой акции, поэтому для сохранения заданной позиции нужно меньше денег.</w:t>
      </w:r>
    </w:p>
    <w:p w:rsidR="008615BF" w:rsidRPr="001C367E" w:rsidRDefault="008615BF" w:rsidP="001C367E">
      <w:pPr>
        <w:spacing w:line="360" w:lineRule="auto"/>
        <w:ind w:firstLine="709"/>
        <w:jc w:val="both"/>
        <w:rPr>
          <w:sz w:val="28"/>
          <w:szCs w:val="28"/>
        </w:rPr>
      </w:pPr>
      <w:r w:rsidRPr="001C367E">
        <w:rPr>
          <w:sz w:val="28"/>
          <w:szCs w:val="28"/>
        </w:rPr>
        <w:t>Срок действия варрантов достаточно велик, возможен выпуск бессрочного варранта.</w:t>
      </w:r>
    </w:p>
    <w:p w:rsidR="008615BF" w:rsidRPr="001C367E" w:rsidRDefault="008615BF" w:rsidP="001C367E">
      <w:pPr>
        <w:spacing w:line="360" w:lineRule="auto"/>
        <w:ind w:firstLine="709"/>
        <w:jc w:val="both"/>
        <w:rPr>
          <w:sz w:val="28"/>
          <w:szCs w:val="28"/>
        </w:rPr>
      </w:pPr>
      <w:r w:rsidRPr="001C367E">
        <w:rPr>
          <w:sz w:val="28"/>
          <w:szCs w:val="28"/>
        </w:rPr>
        <w:t xml:space="preserve">Депозитарная расписка (англ. </w:t>
      </w:r>
      <w:r w:rsidRPr="001C367E">
        <w:rPr>
          <w:sz w:val="28"/>
          <w:szCs w:val="28"/>
          <w:lang w:val="en-US"/>
        </w:rPr>
        <w:t>Depositary</w:t>
      </w:r>
      <w:r w:rsidRPr="001C367E">
        <w:rPr>
          <w:sz w:val="28"/>
          <w:szCs w:val="28"/>
        </w:rPr>
        <w:t xml:space="preserve"> </w:t>
      </w:r>
      <w:r w:rsidRPr="001C367E">
        <w:rPr>
          <w:sz w:val="28"/>
          <w:szCs w:val="28"/>
          <w:lang w:val="en-US"/>
        </w:rPr>
        <w:t>Receipt</w:t>
      </w:r>
      <w:r w:rsidRPr="001C367E">
        <w:rPr>
          <w:sz w:val="28"/>
          <w:szCs w:val="28"/>
        </w:rPr>
        <w:t>) — документ, удостоверяющий, что ценные бумаги помещены на хранение в банке-кастодиане в стране эмитента акций на имя банка-депозитария, и дающий право его владельцу пользоваться выгодами от этих ценных бумаг. За исключением разницы из-за изменения курса валюты цена на эти расписки меняется пункт в пункт с изменением цены на базовые ценные бумаги, кроме тех случаев, когда на местном рынке ограничено участие зарубежных инвесторов.</w:t>
      </w:r>
    </w:p>
    <w:p w:rsidR="008615BF" w:rsidRPr="001C367E" w:rsidRDefault="008615BF" w:rsidP="001C367E">
      <w:pPr>
        <w:spacing w:line="360" w:lineRule="auto"/>
        <w:ind w:firstLine="709"/>
        <w:jc w:val="both"/>
        <w:rPr>
          <w:sz w:val="28"/>
          <w:szCs w:val="28"/>
        </w:rPr>
      </w:pPr>
      <w:r w:rsidRPr="001C367E">
        <w:rPr>
          <w:sz w:val="28"/>
          <w:szCs w:val="28"/>
        </w:rPr>
        <w:t>Наиболее известные виды депозитарных расписок — американские депозитарные расписки (</w:t>
      </w:r>
      <w:r w:rsidRPr="001C367E">
        <w:rPr>
          <w:sz w:val="28"/>
          <w:szCs w:val="28"/>
          <w:lang w:val="en-US"/>
        </w:rPr>
        <w:t>ADR</w:t>
      </w:r>
      <w:r w:rsidRPr="001C367E">
        <w:rPr>
          <w:sz w:val="28"/>
          <w:szCs w:val="28"/>
        </w:rPr>
        <w:t xml:space="preserve"> — </w:t>
      </w:r>
      <w:r w:rsidRPr="001C367E">
        <w:rPr>
          <w:sz w:val="28"/>
          <w:szCs w:val="28"/>
          <w:lang w:val="en-US"/>
        </w:rPr>
        <w:t>American</w:t>
      </w:r>
      <w:r w:rsidRPr="001C367E">
        <w:rPr>
          <w:sz w:val="28"/>
          <w:szCs w:val="28"/>
        </w:rPr>
        <w:t xml:space="preserve"> </w:t>
      </w:r>
      <w:r w:rsidRPr="001C367E">
        <w:rPr>
          <w:sz w:val="28"/>
          <w:szCs w:val="28"/>
          <w:lang w:val="en-US"/>
        </w:rPr>
        <w:t>Depositary</w:t>
      </w:r>
      <w:r w:rsidRPr="001C367E">
        <w:rPr>
          <w:sz w:val="28"/>
          <w:szCs w:val="28"/>
        </w:rPr>
        <w:t xml:space="preserve"> </w:t>
      </w:r>
      <w:r w:rsidRPr="001C367E">
        <w:rPr>
          <w:sz w:val="28"/>
          <w:szCs w:val="28"/>
          <w:lang w:val="en-US"/>
        </w:rPr>
        <w:t>Receipt</w:t>
      </w:r>
      <w:r w:rsidRPr="001C367E">
        <w:rPr>
          <w:sz w:val="28"/>
          <w:szCs w:val="28"/>
        </w:rPr>
        <w:t>) и глобальные депозитарные расписки (</w:t>
      </w:r>
      <w:r w:rsidRPr="001C367E">
        <w:rPr>
          <w:sz w:val="28"/>
          <w:szCs w:val="28"/>
          <w:lang w:val="en-US"/>
        </w:rPr>
        <w:t>GDR</w:t>
      </w:r>
      <w:r w:rsidRPr="001C367E">
        <w:rPr>
          <w:sz w:val="28"/>
          <w:szCs w:val="28"/>
        </w:rPr>
        <w:t xml:space="preserve"> — </w:t>
      </w:r>
      <w:r w:rsidRPr="001C367E">
        <w:rPr>
          <w:sz w:val="28"/>
          <w:szCs w:val="28"/>
          <w:lang w:val="en-US"/>
        </w:rPr>
        <w:t>Global</w:t>
      </w:r>
      <w:r w:rsidRPr="001C367E">
        <w:rPr>
          <w:sz w:val="28"/>
          <w:szCs w:val="28"/>
        </w:rPr>
        <w:t xml:space="preserve"> </w:t>
      </w:r>
      <w:r w:rsidRPr="001C367E">
        <w:rPr>
          <w:sz w:val="28"/>
          <w:szCs w:val="28"/>
          <w:lang w:val="en-US"/>
        </w:rPr>
        <w:t>Depositary</w:t>
      </w:r>
      <w:r w:rsidRPr="001C367E">
        <w:rPr>
          <w:sz w:val="28"/>
          <w:szCs w:val="28"/>
        </w:rPr>
        <w:t xml:space="preserve"> </w:t>
      </w:r>
      <w:r w:rsidRPr="001C367E">
        <w:rPr>
          <w:sz w:val="28"/>
          <w:szCs w:val="28"/>
          <w:lang w:val="en-US"/>
        </w:rPr>
        <w:t>Receipt</w:t>
      </w:r>
      <w:r w:rsidRPr="001C367E">
        <w:rPr>
          <w:sz w:val="28"/>
          <w:szCs w:val="28"/>
        </w:rPr>
        <w:t xml:space="preserve">). </w:t>
      </w:r>
      <w:r w:rsidRPr="001C367E">
        <w:rPr>
          <w:sz w:val="28"/>
          <w:szCs w:val="28"/>
          <w:lang w:val="en-US"/>
        </w:rPr>
        <w:t>ADR</w:t>
      </w:r>
      <w:r w:rsidRPr="001C367E">
        <w:rPr>
          <w:sz w:val="28"/>
          <w:szCs w:val="28"/>
        </w:rPr>
        <w:t xml:space="preserve"> выпускаются для обращения на рынках США, </w:t>
      </w:r>
      <w:r w:rsidRPr="001C367E">
        <w:rPr>
          <w:sz w:val="28"/>
          <w:szCs w:val="28"/>
          <w:lang w:val="en-US"/>
        </w:rPr>
        <w:t>GDR</w:t>
      </w:r>
      <w:r w:rsidRPr="001C367E">
        <w:rPr>
          <w:sz w:val="28"/>
          <w:szCs w:val="28"/>
        </w:rPr>
        <w:t xml:space="preserve"> — для обращения на европейских рынках.</w:t>
      </w:r>
    </w:p>
    <w:p w:rsidR="008615BF" w:rsidRPr="001C367E" w:rsidRDefault="008615BF" w:rsidP="001C367E">
      <w:pPr>
        <w:spacing w:line="360" w:lineRule="auto"/>
        <w:ind w:firstLine="709"/>
        <w:jc w:val="both"/>
        <w:rPr>
          <w:sz w:val="28"/>
          <w:szCs w:val="28"/>
        </w:rPr>
      </w:pPr>
      <w:r w:rsidRPr="001C367E">
        <w:rPr>
          <w:sz w:val="28"/>
          <w:szCs w:val="28"/>
        </w:rPr>
        <w:t>В текущем гражданском законодательстве РФ депозитарные расписки прямо не признаются ценными бумагами, однако на основании некоторых инструкций ФСФР, предписывающих вести обособленный учет депозитарных расписок по принципам депозитарного учета, а также экономического смысла данных инструментов, можно отнести депозитарные расписки к эмиссионным ценным бумагам.</w:t>
      </w:r>
    </w:p>
    <w:p w:rsidR="008615BF" w:rsidRPr="001C367E" w:rsidRDefault="008615BF" w:rsidP="001C367E">
      <w:pPr>
        <w:spacing w:line="360" w:lineRule="auto"/>
        <w:ind w:firstLine="709"/>
        <w:jc w:val="both"/>
        <w:rPr>
          <w:sz w:val="28"/>
          <w:szCs w:val="28"/>
        </w:rPr>
      </w:pPr>
      <w:r w:rsidRPr="001C367E">
        <w:rPr>
          <w:sz w:val="28"/>
          <w:szCs w:val="28"/>
        </w:rPr>
        <w:t>В соответствии с ФЗ «О рынке ценных бумаг»: Российская депозитарная расписка - именная эмиссионная ценная бумага, не имеющая номинальной стоимости.</w:t>
      </w:r>
    </w:p>
    <w:p w:rsidR="008615BF" w:rsidRPr="001C367E" w:rsidRDefault="008615BF" w:rsidP="001C367E">
      <w:pPr>
        <w:spacing w:line="360" w:lineRule="auto"/>
        <w:ind w:firstLine="709"/>
        <w:jc w:val="both"/>
        <w:rPr>
          <w:sz w:val="28"/>
          <w:szCs w:val="28"/>
        </w:rPr>
      </w:pPr>
      <w:r w:rsidRPr="001C367E">
        <w:rPr>
          <w:sz w:val="28"/>
          <w:szCs w:val="28"/>
        </w:rPr>
        <w:t xml:space="preserve">Фью́черс (фьючерсный контракт) (от англ. </w:t>
      </w:r>
      <w:r w:rsidRPr="001C367E">
        <w:rPr>
          <w:sz w:val="28"/>
          <w:szCs w:val="28"/>
          <w:lang w:val="en-US"/>
        </w:rPr>
        <w:t>futures</w:t>
      </w:r>
      <w:r w:rsidRPr="001C367E">
        <w:rPr>
          <w:sz w:val="28"/>
          <w:szCs w:val="28"/>
        </w:rPr>
        <w:t>) — производный финансовый инструмент — стандартный срочный биржевой контракт купли-продажи базового актива, при заключении которого стороны (продавец и покупатель) договариваются только об уровне цены и сроке поставки актива, оговаривая заранее все параметры актива и несут обязательства перед биржей вплоть до его исполнения.</w:t>
      </w:r>
    </w:p>
    <w:p w:rsidR="008615BF" w:rsidRPr="001C367E" w:rsidRDefault="008615BF" w:rsidP="001C367E">
      <w:pPr>
        <w:spacing w:line="360" w:lineRule="auto"/>
        <w:ind w:firstLine="709"/>
        <w:jc w:val="both"/>
        <w:rPr>
          <w:sz w:val="28"/>
          <w:szCs w:val="28"/>
        </w:rPr>
      </w:pPr>
      <w:r w:rsidRPr="001C367E">
        <w:rPr>
          <w:sz w:val="28"/>
          <w:szCs w:val="28"/>
        </w:rPr>
        <w:t>Фьючерс можно рассматривать как стандартизированную разновидность форварда, который обращается на организованном рынке и взаимными расчётами, централизованными внутри биржи.</w:t>
      </w:r>
    </w:p>
    <w:p w:rsidR="008615BF" w:rsidRPr="001C367E" w:rsidRDefault="008615BF" w:rsidP="001C367E">
      <w:pPr>
        <w:spacing w:line="360" w:lineRule="auto"/>
        <w:ind w:firstLine="709"/>
        <w:jc w:val="both"/>
        <w:rPr>
          <w:sz w:val="28"/>
          <w:szCs w:val="28"/>
        </w:rPr>
      </w:pPr>
      <w:r w:rsidRPr="001C367E">
        <w:rPr>
          <w:sz w:val="28"/>
          <w:szCs w:val="28"/>
        </w:rPr>
        <w:t>Поставочный фьючерс предполагает, что на дату исполнения контракта покупатель должен приобрести, а продавец продать установленное в спецификации количество базового актива. Поставка осуществляется по расчётной цене, зафиксированной на последнюю дату торгов.</w:t>
      </w:r>
    </w:p>
    <w:p w:rsidR="008615BF" w:rsidRPr="001C367E" w:rsidRDefault="008615BF" w:rsidP="001C367E">
      <w:pPr>
        <w:spacing w:line="360" w:lineRule="auto"/>
        <w:ind w:firstLine="709"/>
        <w:jc w:val="both"/>
        <w:rPr>
          <w:sz w:val="28"/>
          <w:szCs w:val="28"/>
        </w:rPr>
      </w:pPr>
      <w:r w:rsidRPr="001C367E">
        <w:rPr>
          <w:sz w:val="28"/>
          <w:szCs w:val="28"/>
        </w:rPr>
        <w:t>Расчётный (беспоставочный) фьючерс предполагает, что между участниками производятся только денежные расчёты в сумме разницы между ценой контракта и фактической ценой актива на дату исполнения контракта без физической поставки базового актива. Обычно применяется для целей хеджирования рисков изменения цены базового актива или в спекулятивных целях.</w:t>
      </w:r>
    </w:p>
    <w:p w:rsidR="008615BF" w:rsidRPr="001C367E" w:rsidRDefault="008615BF" w:rsidP="001C367E">
      <w:pPr>
        <w:spacing w:line="360" w:lineRule="auto"/>
        <w:ind w:firstLine="709"/>
        <w:jc w:val="both"/>
        <w:rPr>
          <w:sz w:val="28"/>
          <w:szCs w:val="28"/>
        </w:rPr>
      </w:pPr>
      <w:r w:rsidRPr="001C367E">
        <w:rPr>
          <w:sz w:val="28"/>
          <w:szCs w:val="28"/>
        </w:rPr>
        <w:t>Исполнение фьючерсного контракта осуществляется по окончании срока действия контракта либо путем выполнения процедуры поставки, либо путем уплаты разницы в ценах (вариационной маржи).</w:t>
      </w:r>
    </w:p>
    <w:p w:rsidR="008615BF" w:rsidRPr="001C367E" w:rsidRDefault="008615BF" w:rsidP="001C367E">
      <w:pPr>
        <w:spacing w:line="360" w:lineRule="auto"/>
        <w:ind w:firstLine="709"/>
        <w:jc w:val="both"/>
        <w:rPr>
          <w:sz w:val="28"/>
          <w:szCs w:val="28"/>
        </w:rPr>
      </w:pPr>
      <w:r w:rsidRPr="001C367E">
        <w:rPr>
          <w:sz w:val="28"/>
          <w:szCs w:val="28"/>
        </w:rPr>
        <w:t>Исполнение фьючерсного контракта выполняется по расчетной цене, зафиксированной в день Исполнения данного контракта. Поставка базового актива часто проводится через ту же биржу (а иногда и через ту же секцию), на которой торгуется данный фьючерсный контракт.</w:t>
      </w:r>
    </w:p>
    <w:p w:rsidR="008615BF" w:rsidRPr="001C367E" w:rsidRDefault="008615BF" w:rsidP="001C367E">
      <w:pPr>
        <w:spacing w:line="360" w:lineRule="auto"/>
        <w:ind w:firstLine="709"/>
        <w:jc w:val="both"/>
        <w:rPr>
          <w:sz w:val="28"/>
          <w:szCs w:val="28"/>
        </w:rPr>
      </w:pPr>
      <w:r w:rsidRPr="001C367E">
        <w:rPr>
          <w:sz w:val="28"/>
          <w:szCs w:val="28"/>
        </w:rPr>
        <w:t xml:space="preserve">Опцион (англ. </w:t>
      </w:r>
      <w:r w:rsidRPr="001C367E">
        <w:rPr>
          <w:sz w:val="28"/>
          <w:szCs w:val="28"/>
          <w:lang w:val="en-US"/>
        </w:rPr>
        <w:t>option</w:t>
      </w:r>
      <w:r w:rsidRPr="001C367E">
        <w:rPr>
          <w:sz w:val="28"/>
          <w:szCs w:val="28"/>
        </w:rPr>
        <w:t xml:space="preserve"> ) — договор, по которому покупатель получает право (но не обязанность) совершить покупку или продажу актива по заранее оговорённой цене.</w:t>
      </w:r>
    </w:p>
    <w:p w:rsidR="008615BF" w:rsidRPr="001C367E" w:rsidRDefault="008615BF" w:rsidP="001C367E">
      <w:pPr>
        <w:spacing w:line="360" w:lineRule="auto"/>
        <w:ind w:firstLine="709"/>
        <w:jc w:val="both"/>
        <w:rPr>
          <w:sz w:val="28"/>
          <w:szCs w:val="28"/>
        </w:rPr>
      </w:pPr>
      <w:r w:rsidRPr="001C367E">
        <w:rPr>
          <w:sz w:val="28"/>
          <w:szCs w:val="28"/>
        </w:rPr>
        <w:t>Биржевые опционы являются стандартными биржевыми контрактами, и их обращение аналогично фьючерсам (фьючерсным контрактам). Для таких опционов биржей устанавливается спецификация контракта. При заключении сделок участниками торгов оговаривается только величина премии по опциону, все остальные параметры стандартны и установлены биржей. Публикуемой биржей котировкой по опциону является средняя величина премии по данному опциону за день. С точки зрения биржевой торговли опционы с разными ценами исполнения или датами исполнения считаются разными контрактами. По биржевым опционам клиринговой палатой ведется учет позиций участников по каждому опционному контракту. То есть участник торгов может купить один контракт, и если он продает аналогичный контракт, то его позиция закрывается. Расчетная палата биржи является противоположной стороной сделки для каждой стороны опционного контракта. По биржевым опционам существует также механизм взимания маржевых сборов (обычно уплачивается только продавцом опциона).</w:t>
      </w:r>
    </w:p>
    <w:p w:rsidR="008615BF" w:rsidRPr="001C367E" w:rsidRDefault="008615BF" w:rsidP="001C367E">
      <w:pPr>
        <w:spacing w:line="360" w:lineRule="auto"/>
        <w:ind w:firstLine="709"/>
        <w:jc w:val="both"/>
        <w:rPr>
          <w:sz w:val="28"/>
          <w:szCs w:val="28"/>
        </w:rPr>
      </w:pPr>
      <w:r w:rsidRPr="001C367E">
        <w:rPr>
          <w:sz w:val="28"/>
          <w:szCs w:val="28"/>
        </w:rPr>
        <w:t>Внебиржевые опционы в отличие от биржевых заключаются на произвольных условиях, которые оговаривают участники при заключении сделки. Технология заключения аналогична форвардным контрактам.</w:t>
      </w:r>
    </w:p>
    <w:p w:rsidR="003C4036" w:rsidRPr="001C367E" w:rsidRDefault="0049178A"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 xml:space="preserve"> </w:t>
      </w:r>
      <w:bookmarkStart w:id="1" w:name="BM199"/>
      <w:bookmarkEnd w:id="1"/>
      <w:r w:rsidR="003C4036" w:rsidRPr="001C367E">
        <w:rPr>
          <w:kern w:val="20"/>
          <w:sz w:val="28"/>
          <w:szCs w:val="28"/>
        </w:rPr>
        <w:t>Итак, ценной бумагой является документ, удостоверяющий с соблюдением установленной формы и реквизитов имущественные права, осуществление и передача которых возможны только при его предъявлении (ст. 142 ГК РФ).</w:t>
      </w:r>
    </w:p>
    <w:p w:rsidR="00365CD1" w:rsidRPr="001C367E" w:rsidRDefault="003C4036"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 xml:space="preserve">Классификация ценных бумаг по содержанию представляет собой деление ценных бумаг на виды. Виды ценных бумаг, как и виды закрепленных ими прав, не могут произвольно определяться самими субъектами отношений. Согласно ст.ст. 143 и 144 ГК РФ они определяются законом или в установленном им порядке. Другими словами, необходимо нормативное признание того или иного документа ценной бумагой. </w:t>
      </w:r>
    </w:p>
    <w:p w:rsidR="003C4036" w:rsidRPr="001C367E" w:rsidRDefault="003C4036" w:rsidP="001C367E">
      <w:pPr>
        <w:pStyle w:val="a9"/>
        <w:suppressLineNumbers/>
        <w:suppressAutoHyphens/>
        <w:spacing w:before="0" w:beforeAutospacing="0" w:after="0" w:afterAutospacing="0" w:line="360" w:lineRule="auto"/>
        <w:ind w:firstLine="709"/>
        <w:rPr>
          <w:kern w:val="20"/>
          <w:sz w:val="28"/>
          <w:szCs w:val="28"/>
        </w:rPr>
      </w:pPr>
      <w:r w:rsidRPr="001C367E">
        <w:rPr>
          <w:kern w:val="20"/>
          <w:sz w:val="28"/>
          <w:szCs w:val="28"/>
        </w:rPr>
        <w:t>Перечень ценных бумаг, предусмотренный гражданским законодательством, не является закрытым. Согласно ст. 143 ГК РФ любые иные документы могут быть отнесены к числу ценных бумаг законами или в установленном ими порядке.</w:t>
      </w:r>
    </w:p>
    <w:p w:rsidR="0099231C" w:rsidRPr="001C367E" w:rsidRDefault="003C4036" w:rsidP="001C367E">
      <w:pPr>
        <w:spacing w:line="360" w:lineRule="auto"/>
        <w:ind w:firstLine="709"/>
        <w:jc w:val="both"/>
        <w:rPr>
          <w:caps/>
          <w:sz w:val="28"/>
          <w:szCs w:val="28"/>
        </w:rPr>
      </w:pPr>
      <w:r w:rsidRPr="001C367E">
        <w:rPr>
          <w:bCs/>
          <w:sz w:val="28"/>
          <w:szCs w:val="28"/>
        </w:rPr>
        <w:br w:type="page"/>
      </w:r>
      <w:r w:rsidR="0099231C" w:rsidRPr="001C367E">
        <w:rPr>
          <w:caps/>
          <w:sz w:val="28"/>
          <w:szCs w:val="28"/>
        </w:rPr>
        <w:t>Список использованной литературы</w:t>
      </w:r>
    </w:p>
    <w:p w:rsidR="00F8113F" w:rsidRPr="001C367E" w:rsidRDefault="00F8113F" w:rsidP="001C367E">
      <w:pPr>
        <w:pStyle w:val="a6"/>
        <w:numPr>
          <w:ilvl w:val="0"/>
          <w:numId w:val="3"/>
        </w:numPr>
        <w:spacing w:line="360" w:lineRule="auto"/>
        <w:ind w:left="0" w:firstLine="709"/>
        <w:jc w:val="both"/>
        <w:rPr>
          <w:sz w:val="28"/>
          <w:szCs w:val="28"/>
        </w:rPr>
      </w:pPr>
      <w:r w:rsidRPr="001C367E">
        <w:rPr>
          <w:sz w:val="28"/>
          <w:szCs w:val="28"/>
        </w:rPr>
        <w:t xml:space="preserve">Агарков М.М. Учение о ценных бумагах. - М.: Финансовое издательство НКФ СССР, 1927. </w:t>
      </w:r>
    </w:p>
    <w:p w:rsidR="00D95536" w:rsidRPr="001C367E" w:rsidRDefault="00D95536" w:rsidP="001C367E">
      <w:pPr>
        <w:numPr>
          <w:ilvl w:val="0"/>
          <w:numId w:val="3"/>
        </w:numPr>
        <w:spacing w:line="360" w:lineRule="auto"/>
        <w:ind w:left="0" w:firstLine="709"/>
        <w:jc w:val="both"/>
        <w:rPr>
          <w:sz w:val="28"/>
          <w:szCs w:val="28"/>
        </w:rPr>
      </w:pPr>
      <w:r w:rsidRPr="001C367E">
        <w:rPr>
          <w:sz w:val="28"/>
          <w:szCs w:val="28"/>
        </w:rPr>
        <w:t>Александров И.М. Бюджетная система Российской Федерации - М.: Дашков и К, 2007.</w:t>
      </w:r>
    </w:p>
    <w:p w:rsidR="00D95536" w:rsidRPr="001C367E" w:rsidRDefault="00D95536" w:rsidP="001C367E">
      <w:pPr>
        <w:numPr>
          <w:ilvl w:val="0"/>
          <w:numId w:val="3"/>
        </w:numPr>
        <w:autoSpaceDE w:val="0"/>
        <w:autoSpaceDN w:val="0"/>
        <w:adjustRightInd w:val="0"/>
        <w:spacing w:line="360" w:lineRule="auto"/>
        <w:ind w:left="0" w:firstLine="709"/>
        <w:jc w:val="both"/>
        <w:rPr>
          <w:sz w:val="28"/>
          <w:szCs w:val="28"/>
        </w:rPr>
      </w:pPr>
      <w:r w:rsidRPr="001C367E">
        <w:rPr>
          <w:sz w:val="28"/>
          <w:szCs w:val="28"/>
        </w:rPr>
        <w:t xml:space="preserve">Бюджетная система Российской Федерации: Учебник/ под ред. М.В. Романовского, О.В. Врублевской – М.: Юрайт, 2005. </w:t>
      </w:r>
    </w:p>
    <w:p w:rsidR="00D95536" w:rsidRPr="001C367E" w:rsidRDefault="00D95536" w:rsidP="001C367E">
      <w:pPr>
        <w:numPr>
          <w:ilvl w:val="0"/>
          <w:numId w:val="3"/>
        </w:numPr>
        <w:spacing w:line="360" w:lineRule="auto"/>
        <w:ind w:left="0" w:firstLine="709"/>
        <w:jc w:val="both"/>
        <w:rPr>
          <w:sz w:val="28"/>
          <w:szCs w:val="28"/>
        </w:rPr>
      </w:pPr>
      <w:r w:rsidRPr="001C367E">
        <w:rPr>
          <w:sz w:val="28"/>
          <w:szCs w:val="28"/>
        </w:rPr>
        <w:t>Галанов В.А. Рынок ценных бумаг. – М.: Инфра-М, 2007.</w:t>
      </w:r>
    </w:p>
    <w:p w:rsidR="00D95536" w:rsidRPr="001C367E" w:rsidRDefault="00D95536" w:rsidP="001C367E">
      <w:pPr>
        <w:numPr>
          <w:ilvl w:val="0"/>
          <w:numId w:val="3"/>
        </w:numPr>
        <w:autoSpaceDE w:val="0"/>
        <w:autoSpaceDN w:val="0"/>
        <w:adjustRightInd w:val="0"/>
        <w:spacing w:line="360" w:lineRule="auto"/>
        <w:ind w:left="0" w:firstLine="709"/>
        <w:jc w:val="both"/>
        <w:rPr>
          <w:sz w:val="28"/>
          <w:szCs w:val="28"/>
        </w:rPr>
      </w:pPr>
      <w:r w:rsidRPr="001C367E">
        <w:rPr>
          <w:sz w:val="28"/>
          <w:szCs w:val="28"/>
        </w:rPr>
        <w:t xml:space="preserve">Концепция реформирования бюджетного процесса в Российской Федерации в 2004-2006 годах// Российская газета, № 113 (3490) от 1 июня </w:t>
      </w:r>
      <w:smartTag w:uri="urn:schemas-microsoft-com:office:smarttags" w:element="metricconverter">
        <w:smartTagPr>
          <w:attr w:name="ProductID" w:val="2004 г"/>
        </w:smartTagPr>
        <w:r w:rsidRPr="001C367E">
          <w:rPr>
            <w:sz w:val="28"/>
            <w:szCs w:val="28"/>
          </w:rPr>
          <w:t>2004 г</w:t>
        </w:r>
      </w:smartTag>
      <w:r w:rsidRPr="001C367E">
        <w:rPr>
          <w:sz w:val="28"/>
          <w:szCs w:val="28"/>
        </w:rPr>
        <w:t>.</w:t>
      </w:r>
    </w:p>
    <w:p w:rsidR="00B039B3" w:rsidRPr="001C367E" w:rsidRDefault="00B039B3" w:rsidP="001C367E">
      <w:pPr>
        <w:numPr>
          <w:ilvl w:val="0"/>
          <w:numId w:val="3"/>
        </w:numPr>
        <w:spacing w:line="360" w:lineRule="auto"/>
        <w:ind w:left="0" w:firstLine="709"/>
        <w:jc w:val="both"/>
        <w:rPr>
          <w:sz w:val="28"/>
          <w:szCs w:val="28"/>
        </w:rPr>
      </w:pPr>
      <w:r w:rsidRPr="001C367E">
        <w:rPr>
          <w:sz w:val="28"/>
          <w:szCs w:val="28"/>
        </w:rPr>
        <w:t xml:space="preserve">Крашенинников Е.А. Ценные бумаги на предъявителя. - Ярославль: Ярославский государственный университет им. П.Г. Демидова, 1995. </w:t>
      </w:r>
    </w:p>
    <w:p w:rsidR="0060627A" w:rsidRPr="001C367E" w:rsidRDefault="0060627A" w:rsidP="001C367E">
      <w:pPr>
        <w:numPr>
          <w:ilvl w:val="0"/>
          <w:numId w:val="3"/>
        </w:numPr>
        <w:spacing w:line="360" w:lineRule="auto"/>
        <w:ind w:left="0" w:firstLine="709"/>
        <w:jc w:val="both"/>
        <w:rPr>
          <w:sz w:val="28"/>
          <w:szCs w:val="28"/>
        </w:rPr>
      </w:pPr>
      <w:r w:rsidRPr="001C367E">
        <w:rPr>
          <w:sz w:val="28"/>
          <w:szCs w:val="28"/>
        </w:rPr>
        <w:t>Нестеренко Т. Г. Реформирование бюджетного учета Российской Федерации.</w:t>
      </w:r>
      <w:r w:rsidR="00253E92" w:rsidRPr="001C367E">
        <w:rPr>
          <w:sz w:val="28"/>
          <w:szCs w:val="28"/>
        </w:rPr>
        <w:t>//</w:t>
      </w:r>
      <w:r w:rsidRPr="001C367E">
        <w:rPr>
          <w:sz w:val="28"/>
          <w:szCs w:val="28"/>
        </w:rPr>
        <w:t xml:space="preserve"> Бюджет, </w:t>
      </w:r>
      <w:r w:rsidR="00253E92" w:rsidRPr="001C367E">
        <w:rPr>
          <w:sz w:val="28"/>
          <w:szCs w:val="28"/>
        </w:rPr>
        <w:t>2</w:t>
      </w:r>
      <w:r w:rsidRPr="001C367E">
        <w:rPr>
          <w:sz w:val="28"/>
          <w:szCs w:val="28"/>
        </w:rPr>
        <w:t>004</w:t>
      </w:r>
      <w:r w:rsidR="00253E92" w:rsidRPr="001C367E">
        <w:rPr>
          <w:sz w:val="28"/>
          <w:szCs w:val="28"/>
        </w:rPr>
        <w:t>.</w:t>
      </w:r>
      <w:r w:rsidRPr="001C367E">
        <w:rPr>
          <w:sz w:val="28"/>
          <w:szCs w:val="28"/>
        </w:rPr>
        <w:t xml:space="preserve"> № 11.</w:t>
      </w:r>
    </w:p>
    <w:p w:rsidR="00D95536" w:rsidRPr="001C367E" w:rsidRDefault="00D95536" w:rsidP="001C367E">
      <w:pPr>
        <w:numPr>
          <w:ilvl w:val="0"/>
          <w:numId w:val="3"/>
        </w:numPr>
        <w:spacing w:line="360" w:lineRule="auto"/>
        <w:ind w:left="0" w:firstLine="709"/>
        <w:jc w:val="both"/>
        <w:rPr>
          <w:sz w:val="28"/>
          <w:szCs w:val="28"/>
        </w:rPr>
      </w:pPr>
      <w:r w:rsidRPr="001C367E">
        <w:rPr>
          <w:sz w:val="28"/>
          <w:szCs w:val="28"/>
        </w:rPr>
        <w:t>Николаева Т.П. Бюджетная система Российской Федерации. - М.: ММИЭИФП, 2003.</w:t>
      </w:r>
    </w:p>
    <w:p w:rsidR="00512679" w:rsidRPr="001C367E" w:rsidRDefault="00512679" w:rsidP="001C367E">
      <w:pPr>
        <w:numPr>
          <w:ilvl w:val="0"/>
          <w:numId w:val="3"/>
        </w:numPr>
        <w:spacing w:line="360" w:lineRule="auto"/>
        <w:ind w:left="0" w:firstLine="709"/>
        <w:jc w:val="both"/>
        <w:rPr>
          <w:sz w:val="28"/>
          <w:szCs w:val="28"/>
        </w:rPr>
      </w:pPr>
      <w:r w:rsidRPr="001C367E">
        <w:rPr>
          <w:sz w:val="28"/>
          <w:szCs w:val="28"/>
        </w:rPr>
        <w:t>Обзор процессов реформирования.</w:t>
      </w:r>
      <w:r w:rsidR="00253E92" w:rsidRPr="001C367E">
        <w:rPr>
          <w:sz w:val="28"/>
          <w:szCs w:val="28"/>
        </w:rPr>
        <w:t xml:space="preserve">// </w:t>
      </w:r>
      <w:r w:rsidRPr="001C367E">
        <w:rPr>
          <w:sz w:val="28"/>
          <w:szCs w:val="28"/>
        </w:rPr>
        <w:t>Экономика мегаполисов и регионов, 2004</w:t>
      </w:r>
      <w:r w:rsidR="00253E92" w:rsidRPr="001C367E">
        <w:rPr>
          <w:sz w:val="28"/>
          <w:szCs w:val="28"/>
        </w:rPr>
        <w:t>. № 3.</w:t>
      </w:r>
    </w:p>
    <w:p w:rsidR="00D95536" w:rsidRPr="001C367E" w:rsidRDefault="00D95536" w:rsidP="001C367E">
      <w:pPr>
        <w:numPr>
          <w:ilvl w:val="0"/>
          <w:numId w:val="3"/>
        </w:numPr>
        <w:spacing w:line="360" w:lineRule="auto"/>
        <w:ind w:left="0" w:firstLine="709"/>
        <w:jc w:val="both"/>
        <w:rPr>
          <w:sz w:val="28"/>
          <w:szCs w:val="28"/>
        </w:rPr>
      </w:pPr>
      <w:r w:rsidRPr="001C367E">
        <w:rPr>
          <w:sz w:val="28"/>
          <w:szCs w:val="28"/>
        </w:rPr>
        <w:t>Сабитова Н.М. К вопросу о реформировании бюджетного процесса в РФ// Бюджет, 2006. № 6.</w:t>
      </w:r>
    </w:p>
    <w:p w:rsidR="00A432F0" w:rsidRPr="001C367E" w:rsidRDefault="00206AFD" w:rsidP="001C367E">
      <w:pPr>
        <w:numPr>
          <w:ilvl w:val="0"/>
          <w:numId w:val="3"/>
        </w:numPr>
        <w:spacing w:line="360" w:lineRule="auto"/>
        <w:ind w:left="0" w:firstLine="709"/>
        <w:jc w:val="both"/>
        <w:rPr>
          <w:sz w:val="28"/>
          <w:szCs w:val="28"/>
        </w:rPr>
      </w:pPr>
      <w:r w:rsidRPr="001C367E">
        <w:rPr>
          <w:sz w:val="28"/>
          <w:szCs w:val="28"/>
        </w:rPr>
        <w:t xml:space="preserve"> </w:t>
      </w:r>
      <w:r w:rsidR="00A432F0" w:rsidRPr="001C367E">
        <w:rPr>
          <w:sz w:val="28"/>
          <w:szCs w:val="28"/>
        </w:rPr>
        <w:t>Сборник законодательства РФ – М., 2008.</w:t>
      </w:r>
    </w:p>
    <w:p w:rsidR="00A07CD2" w:rsidRPr="001C367E" w:rsidRDefault="00512679" w:rsidP="001C367E">
      <w:pPr>
        <w:numPr>
          <w:ilvl w:val="0"/>
          <w:numId w:val="3"/>
        </w:numPr>
        <w:spacing w:line="360" w:lineRule="auto"/>
        <w:ind w:left="0" w:firstLine="709"/>
        <w:jc w:val="both"/>
        <w:rPr>
          <w:sz w:val="28"/>
          <w:szCs w:val="28"/>
        </w:rPr>
      </w:pPr>
      <w:r w:rsidRPr="001C367E">
        <w:rPr>
          <w:sz w:val="28"/>
          <w:szCs w:val="28"/>
        </w:rPr>
        <w:t xml:space="preserve">Финансы: Учебник/ </w:t>
      </w:r>
      <w:r w:rsidR="00D95536" w:rsidRPr="001C367E">
        <w:rPr>
          <w:sz w:val="28"/>
          <w:szCs w:val="28"/>
        </w:rPr>
        <w:t>п</w:t>
      </w:r>
      <w:r w:rsidRPr="001C367E">
        <w:rPr>
          <w:sz w:val="28"/>
          <w:szCs w:val="28"/>
        </w:rPr>
        <w:t xml:space="preserve">од ред. А.Г. Грязновой, Е.В. Маркиной. </w:t>
      </w:r>
      <w:r w:rsidR="00253E92" w:rsidRPr="001C367E">
        <w:rPr>
          <w:sz w:val="28"/>
          <w:szCs w:val="28"/>
        </w:rPr>
        <w:t xml:space="preserve">- </w:t>
      </w:r>
      <w:r w:rsidRPr="001C367E">
        <w:rPr>
          <w:sz w:val="28"/>
          <w:szCs w:val="28"/>
        </w:rPr>
        <w:t xml:space="preserve">М.: Финансы и статистика, 2004. </w:t>
      </w:r>
    </w:p>
    <w:p w:rsidR="001A1F5A" w:rsidRPr="001C367E" w:rsidRDefault="001A1F5A" w:rsidP="001C367E">
      <w:pPr>
        <w:spacing w:line="360" w:lineRule="auto"/>
        <w:ind w:firstLine="709"/>
        <w:jc w:val="both"/>
        <w:rPr>
          <w:sz w:val="28"/>
          <w:szCs w:val="28"/>
          <w:lang w:val="en-US"/>
        </w:rPr>
      </w:pPr>
    </w:p>
    <w:p w:rsidR="001A1F5A" w:rsidRPr="001C367E" w:rsidRDefault="001A1F5A" w:rsidP="001C367E">
      <w:pPr>
        <w:spacing w:line="360" w:lineRule="auto"/>
        <w:ind w:firstLine="709"/>
        <w:jc w:val="both"/>
        <w:rPr>
          <w:sz w:val="28"/>
          <w:szCs w:val="28"/>
          <w:lang w:val="en-US"/>
        </w:rPr>
      </w:pPr>
    </w:p>
    <w:p w:rsidR="001A1F5A" w:rsidRPr="001C367E" w:rsidRDefault="00EE6FB0" w:rsidP="001C367E">
      <w:pPr>
        <w:spacing w:line="360" w:lineRule="auto"/>
        <w:ind w:firstLine="709"/>
        <w:jc w:val="both"/>
        <w:rPr>
          <w:sz w:val="28"/>
          <w:szCs w:val="28"/>
        </w:rPr>
      </w:pPr>
      <w:r w:rsidRPr="001C367E">
        <w:rPr>
          <w:sz w:val="28"/>
          <w:szCs w:val="28"/>
        </w:rPr>
        <w:t>«</w:t>
      </w:r>
      <w:r w:rsidR="001A1F5A" w:rsidRPr="001C367E">
        <w:rPr>
          <w:sz w:val="28"/>
          <w:szCs w:val="28"/>
        </w:rPr>
        <w:t>02</w:t>
      </w:r>
      <w:r w:rsidRPr="001C367E">
        <w:rPr>
          <w:sz w:val="28"/>
          <w:szCs w:val="28"/>
        </w:rPr>
        <w:t>»</w:t>
      </w:r>
      <w:r w:rsidR="001A1F5A" w:rsidRPr="001C367E">
        <w:rPr>
          <w:sz w:val="28"/>
          <w:szCs w:val="28"/>
        </w:rPr>
        <w:t xml:space="preserve"> марта 2009 г.</w:t>
      </w:r>
      <w:r w:rsidR="001C367E" w:rsidRPr="001C367E">
        <w:rPr>
          <w:sz w:val="28"/>
          <w:szCs w:val="28"/>
        </w:rPr>
        <w:t xml:space="preserve"> </w:t>
      </w:r>
      <w:r w:rsidR="001A1F5A" w:rsidRPr="001C367E">
        <w:rPr>
          <w:sz w:val="28"/>
          <w:szCs w:val="28"/>
        </w:rPr>
        <w:tab/>
      </w:r>
      <w:r w:rsidR="001A1F5A" w:rsidRPr="001C367E">
        <w:rPr>
          <w:sz w:val="28"/>
          <w:szCs w:val="28"/>
        </w:rPr>
        <w:tab/>
      </w:r>
      <w:r w:rsidR="001A1F5A" w:rsidRPr="001C367E">
        <w:rPr>
          <w:sz w:val="28"/>
          <w:szCs w:val="28"/>
        </w:rPr>
        <w:tab/>
      </w:r>
      <w:r w:rsidR="001A1F5A" w:rsidRPr="001C367E">
        <w:rPr>
          <w:sz w:val="28"/>
          <w:szCs w:val="28"/>
        </w:rPr>
        <w:tab/>
      </w:r>
      <w:r w:rsidR="001A1F5A" w:rsidRPr="001C367E">
        <w:rPr>
          <w:sz w:val="28"/>
          <w:szCs w:val="28"/>
        </w:rPr>
        <w:tab/>
      </w:r>
      <w:r w:rsidR="001A1F5A" w:rsidRPr="001C367E">
        <w:rPr>
          <w:sz w:val="28"/>
          <w:szCs w:val="28"/>
        </w:rPr>
        <w:tab/>
      </w:r>
      <w:r w:rsidRPr="001C367E">
        <w:rPr>
          <w:sz w:val="28"/>
          <w:szCs w:val="28"/>
        </w:rPr>
        <w:t>___________</w:t>
      </w:r>
      <w:bookmarkStart w:id="2" w:name="_GoBack"/>
      <w:bookmarkEnd w:id="2"/>
    </w:p>
    <w:sectPr w:rsidR="001A1F5A" w:rsidRPr="001C367E" w:rsidSect="001C367E">
      <w:footerReference w:type="even" r:id="rId7"/>
      <w:footerReference w:type="default"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AD" w:rsidRDefault="00502DAD">
      <w:r>
        <w:separator/>
      </w:r>
    </w:p>
  </w:endnote>
  <w:endnote w:type="continuationSeparator" w:id="0">
    <w:p w:rsidR="00502DAD" w:rsidRDefault="0050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1A" w:rsidRDefault="00F9781A" w:rsidP="0099231C">
    <w:pPr>
      <w:pStyle w:val="a3"/>
      <w:framePr w:wrap="around" w:vAnchor="text" w:hAnchor="margin" w:xAlign="right" w:y="1"/>
      <w:rPr>
        <w:rStyle w:val="a5"/>
      </w:rPr>
    </w:pPr>
  </w:p>
  <w:p w:rsidR="00F9781A" w:rsidRDefault="00F9781A" w:rsidP="009923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1A" w:rsidRDefault="00A6037B" w:rsidP="0099231C">
    <w:pPr>
      <w:pStyle w:val="a3"/>
      <w:framePr w:wrap="around" w:vAnchor="text" w:hAnchor="margin" w:xAlign="right" w:y="1"/>
      <w:rPr>
        <w:rStyle w:val="a5"/>
      </w:rPr>
    </w:pPr>
    <w:r>
      <w:rPr>
        <w:rStyle w:val="a5"/>
        <w:noProof/>
      </w:rPr>
      <w:t>1</w:t>
    </w:r>
  </w:p>
  <w:p w:rsidR="00F9781A" w:rsidRDefault="00F9781A" w:rsidP="009923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AD" w:rsidRDefault="00502DAD">
      <w:r>
        <w:separator/>
      </w:r>
    </w:p>
  </w:footnote>
  <w:footnote w:type="continuationSeparator" w:id="0">
    <w:p w:rsidR="00502DAD" w:rsidRDefault="00502DAD">
      <w:r>
        <w:continuationSeparator/>
      </w:r>
    </w:p>
  </w:footnote>
  <w:footnote w:id="1">
    <w:p w:rsidR="00F9781A" w:rsidRPr="00435A45" w:rsidRDefault="00F9781A" w:rsidP="00DB7D16">
      <w:pPr>
        <w:rPr>
          <w:sz w:val="22"/>
          <w:szCs w:val="22"/>
        </w:rPr>
      </w:pPr>
      <w:r w:rsidRPr="00435A45">
        <w:rPr>
          <w:rStyle w:val="a8"/>
          <w:sz w:val="22"/>
          <w:szCs w:val="22"/>
        </w:rPr>
        <w:footnoteRef/>
      </w:r>
      <w:r w:rsidRPr="00435A45">
        <w:rPr>
          <w:sz w:val="22"/>
          <w:szCs w:val="22"/>
        </w:rPr>
        <w:t xml:space="preserve"> Александров И.М. Бюджетная система Российской Федерации - М.: Дашков и К, 2007. с. 42</w:t>
      </w:r>
    </w:p>
    <w:p w:rsidR="00502DAD" w:rsidRDefault="00502DAD" w:rsidP="00DB7D16"/>
  </w:footnote>
  <w:footnote w:id="2">
    <w:p w:rsidR="00F9781A" w:rsidRPr="00923A32" w:rsidRDefault="00F9781A" w:rsidP="00472DBE">
      <w:pPr>
        <w:jc w:val="both"/>
        <w:rPr>
          <w:sz w:val="22"/>
          <w:szCs w:val="22"/>
        </w:rPr>
      </w:pPr>
      <w:r w:rsidRPr="00923A32">
        <w:rPr>
          <w:rStyle w:val="a8"/>
          <w:sz w:val="22"/>
          <w:szCs w:val="22"/>
        </w:rPr>
        <w:footnoteRef/>
      </w:r>
      <w:r w:rsidRPr="00923A32">
        <w:rPr>
          <w:sz w:val="22"/>
          <w:szCs w:val="22"/>
        </w:rPr>
        <w:t xml:space="preserve"> Концепция реформирования бюджетного процесса в Российской Федерации в 2004-2006 годах// Российская газета, № 113 (3490) от 1 июня </w:t>
      </w:r>
      <w:smartTag w:uri="urn:schemas-microsoft-com:office:smarttags" w:element="metricconverter">
        <w:smartTagPr>
          <w:attr w:name="ProductID" w:val="2004 г"/>
        </w:smartTagPr>
        <w:r w:rsidRPr="00923A32">
          <w:rPr>
            <w:sz w:val="22"/>
            <w:szCs w:val="22"/>
          </w:rPr>
          <w:t>2004 г</w:t>
        </w:r>
      </w:smartTag>
      <w:r w:rsidRPr="00923A32">
        <w:rPr>
          <w:sz w:val="22"/>
          <w:szCs w:val="22"/>
        </w:rPr>
        <w:t>.</w:t>
      </w:r>
    </w:p>
    <w:p w:rsidR="00502DAD" w:rsidRDefault="00502DAD" w:rsidP="00472DBE">
      <w:pPr>
        <w:jc w:val="both"/>
      </w:pPr>
    </w:p>
  </w:footnote>
  <w:footnote w:id="3">
    <w:p w:rsidR="00502DAD" w:rsidRDefault="00F9781A" w:rsidP="00C04824">
      <w:pPr>
        <w:tabs>
          <w:tab w:val="left" w:pos="180"/>
        </w:tabs>
        <w:ind w:right="-185"/>
        <w:jc w:val="both"/>
      </w:pPr>
      <w:r w:rsidRPr="00923A32">
        <w:rPr>
          <w:rStyle w:val="a8"/>
          <w:sz w:val="22"/>
          <w:szCs w:val="22"/>
        </w:rPr>
        <w:footnoteRef/>
      </w:r>
      <w:r w:rsidRPr="00923A32">
        <w:rPr>
          <w:sz w:val="22"/>
          <w:szCs w:val="22"/>
        </w:rPr>
        <w:t xml:space="preserve"> Сабитова Н.М. К вопросу о реформировании бюджетного процесса в РФ// Бюджет, 2006. №6. с. 32.</w:t>
      </w:r>
    </w:p>
  </w:footnote>
  <w:footnote w:id="4">
    <w:p w:rsidR="00F9781A" w:rsidRPr="00472DBE" w:rsidRDefault="00F9781A" w:rsidP="00C04824">
      <w:pPr>
        <w:jc w:val="both"/>
        <w:rPr>
          <w:sz w:val="22"/>
          <w:szCs w:val="22"/>
        </w:rPr>
      </w:pPr>
      <w:r w:rsidRPr="00472DBE">
        <w:rPr>
          <w:rStyle w:val="a8"/>
          <w:sz w:val="22"/>
          <w:szCs w:val="22"/>
        </w:rPr>
        <w:footnoteRef/>
      </w:r>
      <w:r w:rsidRPr="00472DBE">
        <w:rPr>
          <w:sz w:val="22"/>
          <w:szCs w:val="22"/>
        </w:rPr>
        <w:t xml:space="preserve"> Обзор процессов реформирования.// Экономика мегаполисов и регионов, № 3. 2004. с. 15</w:t>
      </w:r>
    </w:p>
    <w:p w:rsidR="00502DAD" w:rsidRDefault="00502DAD" w:rsidP="00C04824">
      <w:pPr>
        <w:jc w:val="both"/>
      </w:pPr>
    </w:p>
  </w:footnote>
  <w:footnote w:id="5">
    <w:p w:rsidR="00502DAD" w:rsidRDefault="00F9781A" w:rsidP="00F815F6">
      <w:pPr>
        <w:pStyle w:val="a6"/>
        <w:spacing w:line="360" w:lineRule="auto"/>
        <w:jc w:val="both"/>
      </w:pPr>
      <w:r>
        <w:rPr>
          <w:rStyle w:val="a8"/>
        </w:rPr>
        <w:footnoteRef/>
      </w:r>
      <w:r>
        <w:t xml:space="preserve"> </w:t>
      </w:r>
      <w:r w:rsidRPr="00D41000">
        <w:rPr>
          <w:sz w:val="22"/>
          <w:szCs w:val="22"/>
        </w:rPr>
        <w:t xml:space="preserve">Агарков М.М. Учение о ценных бумагах. - М.: Финансовое издательство НКФ СССР, 1927. </w:t>
      </w:r>
      <w:r>
        <w:rPr>
          <w:sz w:val="22"/>
          <w:szCs w:val="22"/>
        </w:rPr>
        <w:t>с</w:t>
      </w:r>
      <w:r w:rsidRPr="00D41000">
        <w:rPr>
          <w:sz w:val="22"/>
          <w:szCs w:val="22"/>
        </w:rPr>
        <w:t>. 86.</w:t>
      </w:r>
    </w:p>
  </w:footnote>
  <w:footnote w:id="6">
    <w:p w:rsidR="00502DAD" w:rsidRDefault="00F9781A" w:rsidP="00B039B3">
      <w:pPr>
        <w:pStyle w:val="a6"/>
        <w:jc w:val="both"/>
      </w:pPr>
      <w:r>
        <w:rPr>
          <w:rStyle w:val="a8"/>
        </w:rPr>
        <w:footnoteRef/>
      </w:r>
      <w:r>
        <w:t xml:space="preserve"> </w:t>
      </w:r>
      <w:r w:rsidRPr="00AC241F">
        <w:t>Крашенинников Е.А. Ценные бумаги на предъявителя. - Ярославль: Ярославский государственный университет</w:t>
      </w:r>
      <w:r>
        <w:t xml:space="preserve"> им. П.Г. Демидова, 1995. С.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D8C"/>
    <w:multiLevelType w:val="hybridMultilevel"/>
    <w:tmpl w:val="912E02A4"/>
    <w:lvl w:ilvl="0" w:tplc="18E675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9A1376"/>
    <w:multiLevelType w:val="hybridMultilevel"/>
    <w:tmpl w:val="8D547A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6359C0"/>
    <w:multiLevelType w:val="hybridMultilevel"/>
    <w:tmpl w:val="B3EC0628"/>
    <w:lvl w:ilvl="0" w:tplc="18E675D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522C16E6"/>
    <w:multiLevelType w:val="hybridMultilevel"/>
    <w:tmpl w:val="7A94F2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BE0034E"/>
    <w:multiLevelType w:val="hybridMultilevel"/>
    <w:tmpl w:val="FCF83B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02D"/>
    <w:rsid w:val="000879F2"/>
    <w:rsid w:val="000D0E26"/>
    <w:rsid w:val="000D1EB2"/>
    <w:rsid w:val="000D44C1"/>
    <w:rsid w:val="000E2E30"/>
    <w:rsid w:val="000F5030"/>
    <w:rsid w:val="001327DC"/>
    <w:rsid w:val="00133309"/>
    <w:rsid w:val="00193BF8"/>
    <w:rsid w:val="001A1F5A"/>
    <w:rsid w:val="001A58CE"/>
    <w:rsid w:val="001B159B"/>
    <w:rsid w:val="001C367E"/>
    <w:rsid w:val="001E68CA"/>
    <w:rsid w:val="001E71E7"/>
    <w:rsid w:val="00206AFD"/>
    <w:rsid w:val="002349E0"/>
    <w:rsid w:val="00244370"/>
    <w:rsid w:val="00253E92"/>
    <w:rsid w:val="00261540"/>
    <w:rsid w:val="00281087"/>
    <w:rsid w:val="002D6655"/>
    <w:rsid w:val="00345EFF"/>
    <w:rsid w:val="00365CD1"/>
    <w:rsid w:val="003826AD"/>
    <w:rsid w:val="003A6C83"/>
    <w:rsid w:val="003A7CAB"/>
    <w:rsid w:val="003B7F65"/>
    <w:rsid w:val="003C4036"/>
    <w:rsid w:val="003C5C2A"/>
    <w:rsid w:val="00435A45"/>
    <w:rsid w:val="00455519"/>
    <w:rsid w:val="00456668"/>
    <w:rsid w:val="00472DBE"/>
    <w:rsid w:val="00475D06"/>
    <w:rsid w:val="00483493"/>
    <w:rsid w:val="0049178A"/>
    <w:rsid w:val="00502DAD"/>
    <w:rsid w:val="00512679"/>
    <w:rsid w:val="0051660E"/>
    <w:rsid w:val="005362DC"/>
    <w:rsid w:val="00540091"/>
    <w:rsid w:val="00551A7A"/>
    <w:rsid w:val="005A602D"/>
    <w:rsid w:val="005C4943"/>
    <w:rsid w:val="005C736B"/>
    <w:rsid w:val="0060627A"/>
    <w:rsid w:val="006438D9"/>
    <w:rsid w:val="006B5BBF"/>
    <w:rsid w:val="006D2868"/>
    <w:rsid w:val="00726314"/>
    <w:rsid w:val="00775596"/>
    <w:rsid w:val="007A7176"/>
    <w:rsid w:val="007E1A6E"/>
    <w:rsid w:val="007E1FF8"/>
    <w:rsid w:val="0081032D"/>
    <w:rsid w:val="008615BF"/>
    <w:rsid w:val="00874E8F"/>
    <w:rsid w:val="0091138F"/>
    <w:rsid w:val="00923A32"/>
    <w:rsid w:val="00982C22"/>
    <w:rsid w:val="00986225"/>
    <w:rsid w:val="0099231C"/>
    <w:rsid w:val="00993BE9"/>
    <w:rsid w:val="009977B6"/>
    <w:rsid w:val="009E48BF"/>
    <w:rsid w:val="00A07CD2"/>
    <w:rsid w:val="00A432F0"/>
    <w:rsid w:val="00A6037B"/>
    <w:rsid w:val="00A94D6A"/>
    <w:rsid w:val="00AA41BA"/>
    <w:rsid w:val="00AB2500"/>
    <w:rsid w:val="00AC241F"/>
    <w:rsid w:val="00B0238C"/>
    <w:rsid w:val="00B039B3"/>
    <w:rsid w:val="00B1729A"/>
    <w:rsid w:val="00B35DCC"/>
    <w:rsid w:val="00BA453C"/>
    <w:rsid w:val="00BE3C60"/>
    <w:rsid w:val="00BE3CB6"/>
    <w:rsid w:val="00C04824"/>
    <w:rsid w:val="00C065B4"/>
    <w:rsid w:val="00C227A3"/>
    <w:rsid w:val="00D06373"/>
    <w:rsid w:val="00D33C6D"/>
    <w:rsid w:val="00D34DB6"/>
    <w:rsid w:val="00D36305"/>
    <w:rsid w:val="00D41000"/>
    <w:rsid w:val="00D91DF0"/>
    <w:rsid w:val="00D95536"/>
    <w:rsid w:val="00D9634D"/>
    <w:rsid w:val="00DB7D16"/>
    <w:rsid w:val="00DC126D"/>
    <w:rsid w:val="00E2395B"/>
    <w:rsid w:val="00E36CC1"/>
    <w:rsid w:val="00E62022"/>
    <w:rsid w:val="00E972E0"/>
    <w:rsid w:val="00EC6CB4"/>
    <w:rsid w:val="00ED06D3"/>
    <w:rsid w:val="00ED5277"/>
    <w:rsid w:val="00EE6FB0"/>
    <w:rsid w:val="00F03AE1"/>
    <w:rsid w:val="00F060F0"/>
    <w:rsid w:val="00F12B8A"/>
    <w:rsid w:val="00F3024A"/>
    <w:rsid w:val="00F52EF6"/>
    <w:rsid w:val="00F55AD7"/>
    <w:rsid w:val="00F8113F"/>
    <w:rsid w:val="00F815F6"/>
    <w:rsid w:val="00F9781A"/>
    <w:rsid w:val="00FB2701"/>
    <w:rsid w:val="00FC4E99"/>
    <w:rsid w:val="00FD2C7F"/>
    <w:rsid w:val="00FF2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4673F1-CDF7-40A8-B024-3FE980BB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C22"/>
    <w:rPr>
      <w:sz w:val="24"/>
      <w:szCs w:val="24"/>
    </w:rPr>
  </w:style>
  <w:style w:type="paragraph" w:styleId="2">
    <w:name w:val="heading 2"/>
    <w:basedOn w:val="a"/>
    <w:next w:val="a"/>
    <w:link w:val="20"/>
    <w:uiPriority w:val="99"/>
    <w:qFormat/>
    <w:rsid w:val="00E36CC1"/>
    <w:pPr>
      <w:keepNext/>
      <w:keepLines/>
      <w:suppressLineNumbers/>
      <w:suppressAutoHyphens/>
      <w:spacing w:before="240" w:after="240"/>
      <w:ind w:firstLine="709"/>
      <w:outlineLvl w:val="1"/>
    </w:pPr>
    <w:rPr>
      <w:rFonts w:ascii="Arial" w:hAnsi="Arial" w:cs="Arial"/>
      <w:b/>
      <w:bCs/>
      <w:i/>
      <w:iCs/>
      <w:kern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9231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9231C"/>
    <w:rPr>
      <w:rFonts w:cs="Times New Roman"/>
    </w:rPr>
  </w:style>
  <w:style w:type="paragraph" w:styleId="a6">
    <w:name w:val="footnote text"/>
    <w:basedOn w:val="a"/>
    <w:link w:val="a7"/>
    <w:uiPriority w:val="99"/>
    <w:semiHidden/>
    <w:rsid w:val="00BE3CB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E3CB6"/>
    <w:rPr>
      <w:rFonts w:cs="Times New Roman"/>
      <w:vertAlign w:val="superscript"/>
    </w:rPr>
  </w:style>
  <w:style w:type="paragraph" w:styleId="a9">
    <w:name w:val="Normal (Web)"/>
    <w:basedOn w:val="a"/>
    <w:uiPriority w:val="99"/>
    <w:rsid w:val="007E1FF8"/>
    <w:pPr>
      <w:spacing w:before="100" w:beforeAutospacing="1" w:after="100" w:afterAutospacing="1"/>
      <w:ind w:firstLine="360"/>
      <w:jc w:val="both"/>
    </w:pPr>
  </w:style>
  <w:style w:type="character" w:styleId="aa">
    <w:name w:val="Strong"/>
    <w:uiPriority w:val="99"/>
    <w:qFormat/>
    <w:rsid w:val="007E1FF8"/>
    <w:rPr>
      <w:rFonts w:cs="Times New Roman"/>
      <w:b/>
      <w:bCs/>
    </w:rPr>
  </w:style>
  <w:style w:type="character" w:styleId="ab">
    <w:name w:val="Emphasis"/>
    <w:uiPriority w:val="99"/>
    <w:qFormat/>
    <w:rsid w:val="007E1FF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1</Company>
  <LinksUpToDate>false</LinksUpToDate>
  <CharactersWithSpaces>28112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admin</cp:lastModifiedBy>
  <cp:revision>2</cp:revision>
  <cp:lastPrinted>2009-03-01T12:56:00Z</cp:lastPrinted>
  <dcterms:created xsi:type="dcterms:W3CDTF">2014-02-23T03:05:00Z</dcterms:created>
  <dcterms:modified xsi:type="dcterms:W3CDTF">2014-02-23T03:05:00Z</dcterms:modified>
</cp:coreProperties>
</file>