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A06" w:rsidRPr="004F1060" w:rsidRDefault="005F0A4A" w:rsidP="005F0A4A">
      <w:pPr>
        <w:shd w:val="clear" w:color="000000" w:fill="auto"/>
        <w:suppressAutoHyphens/>
        <w:spacing w:after="0" w:line="360" w:lineRule="auto"/>
        <w:ind w:firstLine="709"/>
        <w:jc w:val="center"/>
        <w:rPr>
          <w:rFonts w:ascii="Times New Roman" w:hAnsi="Times New Roman"/>
          <w:b/>
          <w:snapToGrid w:val="0"/>
          <w:color w:val="000000"/>
          <w:sz w:val="28"/>
          <w:szCs w:val="28"/>
        </w:rPr>
      </w:pPr>
      <w:r w:rsidRPr="004F1060">
        <w:rPr>
          <w:rFonts w:ascii="Times New Roman" w:hAnsi="Times New Roman"/>
          <w:b/>
          <w:snapToGrid w:val="0"/>
          <w:color w:val="000000"/>
          <w:sz w:val="28"/>
          <w:szCs w:val="28"/>
        </w:rPr>
        <w:t>Оглавление</w:t>
      </w:r>
    </w:p>
    <w:p w:rsidR="006A2A06" w:rsidRPr="004F1060" w:rsidRDefault="006A2A06" w:rsidP="005F0A4A">
      <w:pPr>
        <w:shd w:val="clear" w:color="000000" w:fill="auto"/>
        <w:suppressAutoHyphens/>
        <w:spacing w:after="0" w:line="360" w:lineRule="auto"/>
        <w:ind w:firstLine="709"/>
        <w:jc w:val="center"/>
        <w:rPr>
          <w:rFonts w:ascii="Times New Roman" w:hAnsi="Times New Roman"/>
          <w:b/>
          <w:snapToGrid w:val="0"/>
          <w:color w:val="000000"/>
          <w:sz w:val="28"/>
          <w:szCs w:val="28"/>
        </w:rPr>
      </w:pPr>
    </w:p>
    <w:p w:rsidR="005F0A4A" w:rsidRPr="005F0A4A" w:rsidRDefault="005F0A4A" w:rsidP="005F0A4A">
      <w:pPr>
        <w:pStyle w:val="11"/>
        <w:tabs>
          <w:tab w:val="right" w:leader="dot" w:pos="9345"/>
        </w:tabs>
        <w:suppressAutoHyphens/>
        <w:spacing w:after="0" w:line="360" w:lineRule="auto"/>
        <w:rPr>
          <w:rFonts w:ascii="Times New Roman" w:hAnsi="Times New Roman"/>
          <w:noProof/>
          <w:sz w:val="28"/>
        </w:rPr>
      </w:pPr>
      <w:r w:rsidRPr="004F1060">
        <w:rPr>
          <w:rStyle w:val="a8"/>
          <w:rFonts w:ascii="Times New Roman" w:hAnsi="Times New Roman"/>
          <w:noProof/>
          <w:snapToGrid w:val="0"/>
          <w:sz w:val="28"/>
          <w:u w:val="none"/>
        </w:rPr>
        <w:t>Введение</w:t>
      </w:r>
    </w:p>
    <w:p w:rsidR="005F0A4A" w:rsidRPr="005F0A4A" w:rsidRDefault="005F0A4A" w:rsidP="005F0A4A">
      <w:pPr>
        <w:pStyle w:val="21"/>
        <w:tabs>
          <w:tab w:val="right" w:leader="dot" w:pos="9345"/>
        </w:tabs>
        <w:suppressAutoHyphens/>
        <w:spacing w:after="0" w:line="360" w:lineRule="auto"/>
        <w:ind w:left="0"/>
        <w:rPr>
          <w:rFonts w:ascii="Times New Roman" w:hAnsi="Times New Roman"/>
          <w:noProof/>
          <w:sz w:val="28"/>
        </w:rPr>
      </w:pPr>
      <w:r w:rsidRPr="004F1060">
        <w:rPr>
          <w:rStyle w:val="a8"/>
          <w:rFonts w:ascii="Times New Roman" w:hAnsi="Times New Roman"/>
          <w:noProof/>
          <w:snapToGrid w:val="0"/>
          <w:sz w:val="28"/>
          <w:u w:val="none"/>
        </w:rPr>
        <w:t>Вопрос 1: Понятие ценных бумаг</w:t>
      </w:r>
    </w:p>
    <w:p w:rsidR="005F0A4A" w:rsidRPr="005F0A4A" w:rsidRDefault="005F0A4A" w:rsidP="005F0A4A">
      <w:pPr>
        <w:pStyle w:val="21"/>
        <w:tabs>
          <w:tab w:val="right" w:leader="dot" w:pos="9345"/>
        </w:tabs>
        <w:suppressAutoHyphens/>
        <w:spacing w:after="0" w:line="360" w:lineRule="auto"/>
        <w:ind w:left="0"/>
        <w:rPr>
          <w:rFonts w:ascii="Times New Roman" w:hAnsi="Times New Roman"/>
          <w:noProof/>
          <w:sz w:val="28"/>
        </w:rPr>
      </w:pPr>
      <w:r w:rsidRPr="004F1060">
        <w:rPr>
          <w:rStyle w:val="a8"/>
          <w:rFonts w:ascii="Times New Roman" w:hAnsi="Times New Roman"/>
          <w:noProof/>
          <w:sz w:val="28"/>
          <w:u w:val="none"/>
        </w:rPr>
        <w:t>Вопрос 2: Классификация ценных бумаг</w:t>
      </w:r>
    </w:p>
    <w:p w:rsidR="005F0A4A" w:rsidRPr="005F0A4A" w:rsidRDefault="005F0A4A" w:rsidP="005F0A4A">
      <w:pPr>
        <w:pStyle w:val="31"/>
        <w:tabs>
          <w:tab w:val="right" w:leader="dot" w:pos="9345"/>
        </w:tabs>
        <w:suppressAutoHyphens/>
        <w:spacing w:after="0" w:line="360" w:lineRule="auto"/>
        <w:ind w:left="0"/>
        <w:rPr>
          <w:rFonts w:ascii="Times New Roman" w:hAnsi="Times New Roman"/>
          <w:noProof/>
          <w:sz w:val="28"/>
        </w:rPr>
      </w:pPr>
      <w:r w:rsidRPr="004F1060">
        <w:rPr>
          <w:rStyle w:val="a8"/>
          <w:rFonts w:ascii="Times New Roman" w:hAnsi="Times New Roman"/>
          <w:noProof/>
          <w:snapToGrid w:val="0"/>
          <w:sz w:val="28"/>
          <w:u w:val="none"/>
        </w:rPr>
        <w:t>Заключение</w:t>
      </w:r>
    </w:p>
    <w:p w:rsidR="005F0A4A" w:rsidRPr="005F0A4A" w:rsidRDefault="005F0A4A" w:rsidP="005F0A4A">
      <w:pPr>
        <w:pStyle w:val="11"/>
        <w:tabs>
          <w:tab w:val="right" w:leader="dot" w:pos="9345"/>
        </w:tabs>
        <w:suppressAutoHyphens/>
        <w:spacing w:after="0" w:line="360" w:lineRule="auto"/>
        <w:rPr>
          <w:rFonts w:ascii="Times New Roman" w:hAnsi="Times New Roman"/>
          <w:noProof/>
          <w:sz w:val="28"/>
        </w:rPr>
      </w:pPr>
      <w:r w:rsidRPr="004F1060">
        <w:rPr>
          <w:rStyle w:val="a8"/>
          <w:rFonts w:ascii="Times New Roman" w:hAnsi="Times New Roman"/>
          <w:noProof/>
          <w:snapToGrid w:val="0"/>
          <w:sz w:val="28"/>
          <w:u w:val="none"/>
        </w:rPr>
        <w:t>Список используемой литературы</w:t>
      </w:r>
    </w:p>
    <w:p w:rsidR="006A2A06" w:rsidRPr="004F1060" w:rsidRDefault="006A2A06" w:rsidP="005F0A4A">
      <w:pPr>
        <w:shd w:val="clear" w:color="000000" w:fill="auto"/>
        <w:suppressAutoHyphens/>
        <w:spacing w:after="0" w:line="360" w:lineRule="auto"/>
        <w:rPr>
          <w:rFonts w:ascii="Times New Roman" w:hAnsi="Times New Roman"/>
          <w:b/>
          <w:snapToGrid w:val="0"/>
          <w:color w:val="000000"/>
          <w:sz w:val="28"/>
          <w:szCs w:val="28"/>
        </w:rPr>
      </w:pPr>
    </w:p>
    <w:p w:rsidR="004E5B62" w:rsidRPr="004F1060" w:rsidRDefault="005F0A4A" w:rsidP="005F0A4A">
      <w:pPr>
        <w:suppressAutoHyphens/>
        <w:spacing w:after="0" w:line="360" w:lineRule="auto"/>
        <w:jc w:val="center"/>
        <w:rPr>
          <w:rFonts w:ascii="Times New Roman" w:hAnsi="Times New Roman"/>
          <w:b/>
          <w:snapToGrid w:val="0"/>
          <w:color w:val="000000"/>
          <w:sz w:val="28"/>
        </w:rPr>
      </w:pPr>
      <w:r w:rsidRPr="004F1060">
        <w:rPr>
          <w:rFonts w:ascii="Times New Roman" w:hAnsi="Times New Roman"/>
          <w:b/>
          <w:snapToGrid w:val="0"/>
          <w:color w:val="000000"/>
          <w:sz w:val="28"/>
          <w:szCs w:val="28"/>
        </w:rPr>
        <w:br w:type="page"/>
      </w:r>
      <w:bookmarkStart w:id="0" w:name="_Toc280896586"/>
      <w:bookmarkStart w:id="1" w:name="_Toc281333475"/>
      <w:r w:rsidR="004E5B62" w:rsidRPr="004F1060">
        <w:rPr>
          <w:rFonts w:ascii="Times New Roman" w:hAnsi="Times New Roman"/>
          <w:b/>
          <w:snapToGrid w:val="0"/>
          <w:color w:val="000000"/>
          <w:sz w:val="28"/>
        </w:rPr>
        <w:t>В</w:t>
      </w:r>
      <w:r w:rsidR="00A1169A" w:rsidRPr="004F1060">
        <w:rPr>
          <w:rFonts w:ascii="Times New Roman" w:hAnsi="Times New Roman"/>
          <w:b/>
          <w:snapToGrid w:val="0"/>
          <w:color w:val="000000"/>
          <w:sz w:val="28"/>
        </w:rPr>
        <w:t>в</w:t>
      </w:r>
      <w:r w:rsidR="004E5B62" w:rsidRPr="004F1060">
        <w:rPr>
          <w:rFonts w:ascii="Times New Roman" w:hAnsi="Times New Roman"/>
          <w:b/>
          <w:snapToGrid w:val="0"/>
          <w:color w:val="000000"/>
          <w:sz w:val="28"/>
        </w:rPr>
        <w:t>едение</w:t>
      </w:r>
      <w:bookmarkEnd w:id="0"/>
      <w:bookmarkEnd w:id="1"/>
    </w:p>
    <w:p w:rsidR="005F0A4A" w:rsidRPr="005F0A4A" w:rsidRDefault="005F0A4A" w:rsidP="005F0A4A"/>
    <w:p w:rsidR="005F0A4A" w:rsidRPr="004F1060" w:rsidRDefault="00816161"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Задачей настоящей работы является рассмотрение основных понятий, фундаментальных свойств, классификации и особенностей, а также проблем юридической теории ценных бумаг. Теория ценных бумаг не в меньшей, а может быть в большей степени, чем другие области цивилистики, представляет собой почву, на которой вырастали многочисленные и, порой, причудливые конструкции, оторванные от той практической цели, которая поставлена в этой области юридической науке и законодательству.</w:t>
      </w:r>
    </w:p>
    <w:p w:rsidR="00816161" w:rsidRPr="004F1060" w:rsidRDefault="00816161"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Не секрет, что данная теория ценных бумаг с точки зрения ее применения в хозяйственном обороте является молодой, и недостаточно отработанной в различных ее областях практического применения. Это делает необходимым продолжение работы по совершенствованию теоретических знаний, законодательной доработки теории ценных бумаг. Опыт показал, что развитые индустриальные государства значительно упорядочили свой институт ценных бумаг и значительно выдвинулись вперед в практическом их применении. Необходимо отметить и одну важную особенность, что на сегодняшний день в государствах России и Украины нет единого законодательного подхода к институту ценных бумаг. Следует заключить, что для ряда молодых самостоятельных государств, в том числе России и Украины представляется фундаментальная база и возможность для доработки собственных институтов и теорий ценных бумаг, с целью практического его применения в хозяйственном обороте, самостоятельного выхода во внешний рынок. Учитывая при этом как собственный опыт, опыт соседних государств, а также колоссальный западный опыт. В данной работе проведена попытка провести анализ институтов ценных бумаг учитывая практику их применения в России и Украине.</w:t>
      </w:r>
    </w:p>
    <w:p w:rsidR="00816161" w:rsidRPr="004F1060" w:rsidRDefault="00816161"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В настоящей работе излагаются основные понятия и законы функционирования ценных бумаг фондового рынка, с учетом не только регулирующей его законодательной базы, но и сложившихся реалий, а также специфики их функционирования. На основе современного российского законодательства рассматривается широкий круг правовых вопросов, регулирующих функционирование рынка ценных бумаг. Особое внимание уделено обращению ценных бумаг и их классификации. Поэтому данная работа будет полезна для глубокого изучения рынка ценных бумаг.</w:t>
      </w:r>
    </w:p>
    <w:p w:rsidR="00816161" w:rsidRPr="004F1060" w:rsidRDefault="00816161"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xml:space="preserve">В данной работе рассмотрены вопросы, связанные с нормативной базой российского рынка ценных бумаг. При этом использованы как основополагающие законодательные акты (Гражданский кодекс РФ) и федеральные законы ("О рынке ценных бумаг"; "Об акционерных обществах"), так и подзаконные </w:t>
      </w:r>
      <w:r w:rsidR="00B25F50" w:rsidRPr="004F1060">
        <w:rPr>
          <w:rFonts w:ascii="Times New Roman" w:hAnsi="Times New Roman"/>
          <w:snapToGrid w:val="0"/>
          <w:color w:val="000000"/>
          <w:sz w:val="28"/>
          <w:szCs w:val="28"/>
        </w:rPr>
        <w:t>акты,</w:t>
      </w:r>
      <w:r w:rsidRPr="004F1060">
        <w:rPr>
          <w:rFonts w:ascii="Times New Roman" w:hAnsi="Times New Roman"/>
          <w:snapToGrid w:val="0"/>
          <w:color w:val="000000"/>
          <w:sz w:val="28"/>
          <w:szCs w:val="28"/>
        </w:rPr>
        <w:t xml:space="preserve"> и ведомственные документы.</w:t>
      </w:r>
    </w:p>
    <w:p w:rsidR="005F0A4A" w:rsidRPr="004F1060" w:rsidRDefault="005F0A4A" w:rsidP="005F0A4A">
      <w:pPr>
        <w:pStyle w:val="2"/>
        <w:keepNext w:val="0"/>
        <w:keepLines w:val="0"/>
        <w:shd w:val="clear" w:color="000000" w:fill="auto"/>
        <w:suppressAutoHyphens/>
        <w:spacing w:before="0" w:line="360" w:lineRule="auto"/>
        <w:ind w:firstLine="709"/>
        <w:jc w:val="center"/>
        <w:rPr>
          <w:rFonts w:ascii="Times New Roman" w:hAnsi="Times New Roman"/>
          <w:snapToGrid w:val="0"/>
          <w:color w:val="000000"/>
          <w:sz w:val="28"/>
          <w:szCs w:val="28"/>
        </w:rPr>
      </w:pPr>
      <w:bookmarkStart w:id="2" w:name="_Toc280896587"/>
      <w:bookmarkStart w:id="3" w:name="_Toc281333476"/>
    </w:p>
    <w:p w:rsidR="00B83AC2" w:rsidRPr="004F1060" w:rsidRDefault="005F0A4A" w:rsidP="005F0A4A">
      <w:pPr>
        <w:suppressAutoHyphens/>
        <w:spacing w:after="0" w:line="360" w:lineRule="auto"/>
        <w:jc w:val="center"/>
        <w:rPr>
          <w:rFonts w:ascii="Times New Roman" w:hAnsi="Times New Roman"/>
          <w:b/>
          <w:snapToGrid w:val="0"/>
          <w:color w:val="000000"/>
          <w:sz w:val="28"/>
          <w:szCs w:val="28"/>
        </w:rPr>
      </w:pPr>
      <w:r w:rsidRPr="004F1060">
        <w:rPr>
          <w:rFonts w:ascii="Times New Roman" w:hAnsi="Times New Roman"/>
          <w:snapToGrid w:val="0"/>
          <w:color w:val="000000"/>
          <w:sz w:val="28"/>
          <w:szCs w:val="28"/>
        </w:rPr>
        <w:br w:type="page"/>
      </w:r>
      <w:r w:rsidR="00972271" w:rsidRPr="004F1060">
        <w:rPr>
          <w:rFonts w:ascii="Times New Roman" w:hAnsi="Times New Roman"/>
          <w:b/>
          <w:snapToGrid w:val="0"/>
          <w:color w:val="000000"/>
          <w:sz w:val="28"/>
          <w:szCs w:val="28"/>
        </w:rPr>
        <w:t xml:space="preserve">Вопрос 1: </w:t>
      </w:r>
      <w:r w:rsidR="004E5B62" w:rsidRPr="004F1060">
        <w:rPr>
          <w:rFonts w:ascii="Times New Roman" w:hAnsi="Times New Roman"/>
          <w:b/>
          <w:snapToGrid w:val="0"/>
          <w:color w:val="000000"/>
          <w:sz w:val="28"/>
          <w:szCs w:val="28"/>
        </w:rPr>
        <w:t>Понятие ценных бумаг</w:t>
      </w:r>
      <w:bookmarkEnd w:id="2"/>
      <w:bookmarkEnd w:id="3"/>
    </w:p>
    <w:p w:rsidR="005F0A4A" w:rsidRPr="004F1060" w:rsidRDefault="005F0A4A" w:rsidP="005F0A4A">
      <w:pPr>
        <w:suppressAutoHyphens/>
        <w:spacing w:after="0" w:line="360" w:lineRule="auto"/>
        <w:jc w:val="center"/>
        <w:rPr>
          <w:rFonts w:ascii="Times New Roman" w:hAnsi="Times New Roman"/>
          <w:b/>
          <w:snapToGrid w:val="0"/>
          <w:color w:val="000000"/>
          <w:sz w:val="28"/>
          <w:szCs w:val="28"/>
        </w:rPr>
      </w:pPr>
    </w:p>
    <w:p w:rsidR="005F0A4A"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Ценной бумагой признается документ, удостоверяющий имущественное право, которое может быть осуществлено только при предъявлении подлинника этого документа. Право, удостоверенное ценной бумагой, может быть переуступлено другому лицу лишь путем передачи ценной бумаги.</w:t>
      </w:r>
    </w:p>
    <w:p w:rsidR="005F0A4A"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xml:space="preserve">К ценным бумагам относятся облигации, векселя, чеки и иные документы указанного характера, обычно удостоверяющие право на получение той или иной денежной суммы. В развитом товарном обороте они могут служить как средством кредита, так и средством платежа, эффективно заменяя наличные деньги.В зависимости от экономической </w:t>
      </w:r>
      <w:r w:rsidR="00B25F50" w:rsidRPr="004F1060">
        <w:rPr>
          <w:rFonts w:ascii="Times New Roman" w:hAnsi="Times New Roman"/>
          <w:snapToGrid w:val="0"/>
          <w:color w:val="000000"/>
          <w:sz w:val="28"/>
          <w:szCs w:val="28"/>
        </w:rPr>
        <w:t>конъектуры</w:t>
      </w:r>
      <w:r w:rsidRPr="004F1060">
        <w:rPr>
          <w:rFonts w:ascii="Times New Roman" w:hAnsi="Times New Roman"/>
          <w:snapToGrid w:val="0"/>
          <w:color w:val="000000"/>
          <w:sz w:val="28"/>
          <w:szCs w:val="28"/>
        </w:rPr>
        <w:t xml:space="preserve"> стоимость некоторых ценных бумаг может колебаться по сравнению с номиналом, по которому они выпущены и приобретены, а </w:t>
      </w:r>
      <w:r w:rsidR="00B25F50" w:rsidRPr="004F1060">
        <w:rPr>
          <w:rFonts w:ascii="Times New Roman" w:hAnsi="Times New Roman"/>
          <w:snapToGrid w:val="0"/>
          <w:color w:val="000000"/>
          <w:sz w:val="28"/>
          <w:szCs w:val="28"/>
        </w:rPr>
        <w:t>обороноспособность</w:t>
      </w:r>
      <w:r w:rsidRPr="004F1060">
        <w:rPr>
          <w:rFonts w:ascii="Times New Roman" w:hAnsi="Times New Roman"/>
          <w:snapToGrid w:val="0"/>
          <w:color w:val="000000"/>
          <w:sz w:val="28"/>
          <w:szCs w:val="28"/>
        </w:rPr>
        <w:t xml:space="preserve"> у многих из них может быть практически такая же, как у денег. Следовательно, ценные бумаги могут выполнять и антиинфляционные функции, будучи средством мобилизации свободных денежных ресурсов и замещая собой на соответствующий срок определенное количества наличных денег, не обеспеченных товарами и услугами. Все это привело к их большему распространению в имущественном обороте. Ценные бумаги могут быть именными и на предъявителя.</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Именные ценные бумаги, если иное не предусмотрено Законом или в них специально не указано, что они подлежат передаче, передаются путем полного индоссамента.</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Ценные бумаги на предъявителя обращаются свободно. Восстановление утерянных именных ценных бумаг производится государственными органами, предприятиями, учреждениями и организациями, выпустившими эти бумаги. Наследование ценных бумаг осуществляется в соответствии с гражданским законодательством.</w:t>
      </w:r>
    </w:p>
    <w:p w:rsidR="005F0A4A" w:rsidRPr="004F1060" w:rsidRDefault="00B83AC2" w:rsidP="005F0A4A">
      <w:pPr>
        <w:shd w:val="clear" w:color="000000" w:fill="auto"/>
        <w:suppressAutoHyphens/>
        <w:spacing w:after="0" w:line="360" w:lineRule="auto"/>
        <w:ind w:firstLine="709"/>
        <w:jc w:val="both"/>
        <w:rPr>
          <w:rFonts w:ascii="Times New Roman" w:hAnsi="Times New Roman"/>
          <w:bCs/>
          <w:snapToGrid w:val="0"/>
          <w:color w:val="000000"/>
          <w:sz w:val="28"/>
          <w:szCs w:val="28"/>
        </w:rPr>
      </w:pPr>
      <w:r w:rsidRPr="004F1060">
        <w:rPr>
          <w:rFonts w:ascii="Times New Roman" w:hAnsi="Times New Roman"/>
          <w:bCs/>
          <w:snapToGrid w:val="0"/>
          <w:color w:val="000000"/>
          <w:sz w:val="28"/>
          <w:szCs w:val="28"/>
        </w:rPr>
        <w:t>Фундаментальные свойства ценных бумаг.</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Итак, ценные бумаги - это права на ресурсы, обособившиеся от своей основы и даже имеющие собственную материальную форму. Однако, нет основания считать ценными бумагами контракт на покупку-продажу дома, поставку партии сырья, договор аренды оборудования и т.п., если условия этих сделок носят индивидуальный и разовый характер, если передача прав, возникающих из них, может быть обеспечена только составлением нового договора, а не продажей уже заключенного контракта.</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Иначе говоря, в качестве ценных бумаг признаются только такие права на ресурсы, которые отвечают следующим фундаментальным требованиям:</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обращаемость;</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доступность для гражданского оборота;</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стандартность и серийность;</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документальность;</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регулируемость и признание государством;</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рыночность;</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ликвидность;</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риск.</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Обращаемость - способность ценной бумаги покупаться и продаваться на рынке, а также во многих случаях, выступать в качестве самостоятельного платежного инструмента, облегчающего обращение других товаров.</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Доступность для гражданского оборота - способность ценной бумаги не только покупаться и продаваться, но и быть объектом других гражданских отношений, включая все виды сделок (займа, дарения, хранения, комиссии, поручения и т.п.).</w:t>
      </w:r>
    </w:p>
    <w:p w:rsidR="005F0A4A"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Стандартность - ценная бумага должна иметь стандартное содержание (стандартность прав, которые предоставляет ценная бумага, стандартность участников, сроков, мест торговли, правил учета и других условий доступа к указанным правам, стандартность сделок, связанных с передачей ценной бумаги из рук в руки, стандартность формы ценной бумаги и т.п.). Именно стандартность делает ценную бумагу товаром, способным обращаться. Индивидуальный нестандартный контракт становится ограниченным рамками той сделки, в которой он совершен. Он не может обращаться. Для передачи прав по этому контракту необходимо заключение нового договора на индивидуальных условиях. И, напротив, только стандартный контракт становится способен к самостоятельному обращению, к тому, чтобы переходить из рук в руки, в качестве особого товара, превращаясь в ценную бумагу.</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Серийность, с ней связана стандартность, т.е. возможность выпуска ценных бумаг однородными сериями, классами. В этой связи очень часто в качестве ценной бумаги признаются сменно-стандартные, серийные документы, которые могут выпускаться и обращаться однородными группами. Соответственно, может быть не признан ценной бумагой документ, за которым стоит разовое, с индивидуальными условиями имущественное отношение - документ, имеющий уникальные реквизиты и выражающий сугубо индивидуальную, неповторяющуюся сделку.</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Документальность, - ценная бумага - это всегда документ, независимо от того, существует ли она в форме бумажного сертификата или в безналичной форме записи по счетам. Документальность придает окончательный "материальный" облик товару, называемому ценной бумагой. Только документ может зафиксировать стандартные условия ее обращения и использования, обеспечить многократный переход ценной бумаги из рук в руки, как одного и того же товара, стать доказательством правомочности доступа инвестора к правам, предоставляемым ценной бумагой.</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Согласно установившейся правовой практике, ценная бумага, как документ, должна содержать все предусмотренные законодательством обязательные реквизиты. Отсутствие хотя бы одного из них влечет недействительность ценной бумаги, или переводит данный документ из ряда ценных бумаг в разряд иных обязательственных документов. Например, отсутствие хотя бы одного обязательного реквизита может сделать вексель недействительным или перевести его в разряд долговой расписки, отношения по которой регулируются вместо вексельного - общегражданским законодательством.</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Регулируемость и признание государством. - Фондовые инструменты, претендующие на статус ценных бумаг, должны быть признаны государством в качестве таковых, что должно обеспечить их хорошую регулируемость и, соответственно, доверие публики к ним. Соответственно, плохо регулируемые фондовые инструменты, не признанные государством в качестве ценных бумаг, не могут претендовать на статус последних. Выполнение данного требования важно для поддержания общественного доверия к индустрии ценных бумаг, что является важнейшим компонентом благоприятного экономического климата в стране.</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Рыночность. - Обращаемость указывает на то, что ценная бумага существует только как особый товар, который следовательно, должен иметь свой рынок с присущей ему организацией, правилами работы на нем и т.д. Должны в основной массе принадлежать рынку, быть товарами и те ресурсы, правами на которые являются ценные бумаги.</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Ликвидность - способность ценной бумаги быть быстро проданной и превращенной в денежные средства (в наличной и безналичной форме) без существенных потерь для держателя, при небольших колебаниях рыночной стоимости и издержках на реализацию. Если рынок отказывается признать ее ликвидность, реальность выраженных ею прав, то ценная бумага превращается в нечего не стоящий бумажный клочок.</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Риск - возможность потерять, связанные с инвестициями в ценные бумаги и неизбежно им присущие. Финансовая, денежная сфера, как вторая, производная от реального производства, еще в большей мере, чем производственный сектор, чувствительна к вероятным воздействиям неблагоприятных факторов.</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Обязательность исполнения. По российскому законодательству, не допускается отказ от исполнения обязательства, выраженного ценной бумагой, если только не будет доказано, что ценная бумага попала к держателю неправомерным путем.</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На сегодняшний день нет одной точки зрения, что такое ценная бумага. Ряд зарубежных специалистов дают сходное с отечественным определение понятия "ценных бумаг". Но есть и существенно отличающиеся взгляды. Такие как:</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"Ценные бумаги - инвестиции принимающие форму акции или облигации."</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"Простые и переводные векселя, страховые полисы, коносаменты, обращающиеся в качестве свидетельства."</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Как видно из вышесказанного, различны перечни ценных бумаг, включаемых в это понятие; различны подходы к содержанию тех экономических отношений и к тем объектам, которые выражают ценные бумаги; в различной степени подчеркивается необходимость их документальной формы и т.п.</w:t>
      </w:r>
    </w:p>
    <w:p w:rsidR="00F47A94" w:rsidRPr="004F1060" w:rsidRDefault="00F47A94"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В конечном итоге, это не очень отличается от того, что писал еще Карл Маркс, опираясь на бытовавшие в прошлом веке представления: "Ценные бумаги ... мы можем ... разделить на две части: торговые бумаги, то есть текущие векселя ... и публичные ценные бумаги, как, например, государственные облигации, казначейские свидетельства, всякого рода акции, - короче, бумаги, приносящие проценты и существенно отличающиеся от векселей. Сюда могут быть причислены также ипотеки."</w:t>
      </w:r>
    </w:p>
    <w:p w:rsidR="0040767D" w:rsidRPr="004F1060" w:rsidRDefault="0040767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Согласно Положению о выпуске и обращении ценных бумаг в Российской Федерацииценная бумага - это денежный документ, удостоверяющий имущественное право или отношение займа владельца документа по отношению к лицу, выпустившему такой документ. Данное определение очень широко и может охватывать разнообразные классы документов, традиционно не считающихся ценными бумагами. Последние, например, трудно отличить от платежных документов, например аккредитивов.</w:t>
      </w:r>
    </w:p>
    <w:p w:rsidR="0040767D" w:rsidRPr="004F1060" w:rsidRDefault="0040767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Согласно Гражданскому кодексу РФ, ценная бумага - документ с соблюдением установленной формы и обязательных реквизитов, удостоверяющий имущественные права, осуществление или передача которых возможны только при его предъявлении.</w:t>
      </w:r>
    </w:p>
    <w:p w:rsidR="005F0A4A" w:rsidRPr="004F1060" w:rsidRDefault="0040767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Проанализировав два данных определения можно вывести совпадения: в определениях ценной бумаги:</w:t>
      </w:r>
    </w:p>
    <w:p w:rsidR="005F0A4A" w:rsidRPr="004F1060" w:rsidRDefault="0040767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а) ценная бумага - это документ;</w:t>
      </w:r>
    </w:p>
    <w:p w:rsidR="005F0A4A" w:rsidRPr="004F1060" w:rsidRDefault="0040767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б) она удостоверяет только имущественные права;</w:t>
      </w:r>
    </w:p>
    <w:p w:rsidR="005F0A4A" w:rsidRPr="004F1060" w:rsidRDefault="0040767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и различия:</w:t>
      </w:r>
    </w:p>
    <w:p w:rsidR="005F0A4A" w:rsidRPr="004F1060" w:rsidRDefault="0040767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а) требования установленной формы и наличие обязательных реквизитов по Гражданскому кодексу;</w:t>
      </w:r>
    </w:p>
    <w:p w:rsidR="0040767D" w:rsidRPr="004F1060" w:rsidRDefault="0040767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б) вводится критерий, по которому ценной бумагой считается только тот документ, имущественное право по которому осуществляется при предъявлении подлинника документа. Этот критерий заимствован из более ранней практики "Именная ценная бумага отличается от расписки, которая имеет значение лишь доказательства конкретного правоотношения. Должник может погасить долг и без предъявления ему кредитором расписки. Без предъявления ценной бумаги должник не осуществит исполнения по ней."</w:t>
      </w:r>
    </w:p>
    <w:p w:rsidR="005F0A4A" w:rsidRPr="004F1060" w:rsidRDefault="0040767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Поскольку обращаемость, рыночность не могли в условиях директивной экономики быть критериями, определяющими принадлежность фондового инструмента к миру ценных бумаг, поскольку в число последних включались аккредитивы, сберегательные книжки, лотерейные билеты и другие документы, требующие предъявления для реализации имущественного права, овеществленного в них.</w:t>
      </w:r>
    </w:p>
    <w:p w:rsidR="0040767D" w:rsidRPr="004F1060" w:rsidRDefault="0040767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В Российской практике известны многие случаи, попытки выпуска суррогатов указанных ценных бумаг, под другими именами, но с их свойствами, с целью избежать того или иного варианта государственного регулирования, не попасть под действие тех или иных правовых норм. Например "чековая книжка-карта", "расчетный сертификат", "домовой сертификат", "депозитный договор", "кредитный опцион", "коммерческий сертификат", "лиал" и т.д. Возникновение все новых видов финансовых инструментов - неизбежно, именно из них будет выполняться и пополняться мир ценных бумаг. Фантазия специалистов, как показывает международная практика, поистине беспредельна.</w:t>
      </w:r>
    </w:p>
    <w:p w:rsidR="0040767D" w:rsidRPr="004F1060" w:rsidRDefault="0040767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Однако, суррогаты - это плохо регулируемые бумаги, и риски, которые по ним будут нести инвесторы и эмитенты, значительно выше, чем по ценным бумагам, тщательно регламентируемым законом.</w:t>
      </w:r>
    </w:p>
    <w:p w:rsidR="0040767D" w:rsidRPr="004F1060" w:rsidRDefault="0040767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Необходимо отметить еще одну деталь. Предстоит понятийно и в правовом отношении отрегулировать взаимоотношения с миром ценных бумаг долговых инструментов, вырастающих из товарных сделок. Например, по Гражданскому кодексу РФ коносамент - товарораспорядительный документ, удостоверяющий право его держателя распоряжаться указанным в коносаменте грузом и получать груз после завершения перевозки.</w:t>
      </w:r>
    </w:p>
    <w:p w:rsidR="005F0A4A" w:rsidRPr="004F1060" w:rsidRDefault="005F0A4A" w:rsidP="005F0A4A">
      <w:pPr>
        <w:pStyle w:val="2"/>
        <w:keepNext w:val="0"/>
        <w:keepLines w:val="0"/>
        <w:shd w:val="clear" w:color="000000" w:fill="auto"/>
        <w:suppressAutoHyphens/>
        <w:spacing w:before="0" w:line="360" w:lineRule="auto"/>
        <w:ind w:firstLine="709"/>
        <w:jc w:val="center"/>
        <w:rPr>
          <w:rFonts w:ascii="Times New Roman" w:hAnsi="Times New Roman"/>
          <w:color w:val="000000"/>
          <w:sz w:val="28"/>
          <w:szCs w:val="28"/>
        </w:rPr>
      </w:pPr>
      <w:bookmarkStart w:id="4" w:name="_Toc280896588"/>
      <w:bookmarkStart w:id="5" w:name="_Toc281333477"/>
    </w:p>
    <w:p w:rsidR="00972271" w:rsidRPr="004F1060" w:rsidRDefault="00972271" w:rsidP="005F0A4A">
      <w:pPr>
        <w:pStyle w:val="2"/>
        <w:keepNext w:val="0"/>
        <w:keepLines w:val="0"/>
        <w:shd w:val="clear" w:color="000000" w:fill="auto"/>
        <w:suppressAutoHyphens/>
        <w:spacing w:before="0" w:line="360" w:lineRule="auto"/>
        <w:ind w:firstLine="709"/>
        <w:jc w:val="center"/>
        <w:rPr>
          <w:rFonts w:ascii="Times New Roman" w:hAnsi="Times New Roman"/>
          <w:color w:val="000000"/>
          <w:sz w:val="28"/>
          <w:szCs w:val="28"/>
        </w:rPr>
      </w:pPr>
      <w:r w:rsidRPr="004F1060">
        <w:rPr>
          <w:rFonts w:ascii="Times New Roman" w:hAnsi="Times New Roman"/>
          <w:color w:val="000000"/>
          <w:sz w:val="28"/>
          <w:szCs w:val="28"/>
        </w:rPr>
        <w:t>Вопрос 2:</w:t>
      </w:r>
      <w:r w:rsidR="005F0A4A" w:rsidRPr="004F1060">
        <w:rPr>
          <w:rFonts w:ascii="Times New Roman" w:hAnsi="Times New Roman"/>
          <w:color w:val="000000"/>
          <w:sz w:val="28"/>
          <w:szCs w:val="28"/>
        </w:rPr>
        <w:t xml:space="preserve"> </w:t>
      </w:r>
      <w:r w:rsidRPr="004F1060">
        <w:rPr>
          <w:rFonts w:ascii="Times New Roman" w:hAnsi="Times New Roman"/>
          <w:color w:val="000000"/>
          <w:sz w:val="28"/>
          <w:szCs w:val="28"/>
        </w:rPr>
        <w:t>Классификация ценных бумаг</w:t>
      </w:r>
      <w:bookmarkEnd w:id="4"/>
      <w:bookmarkEnd w:id="5"/>
    </w:p>
    <w:p w:rsidR="005F0A4A" w:rsidRPr="004F1060" w:rsidRDefault="005F0A4A"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p>
    <w:p w:rsidR="001C76F0" w:rsidRPr="004F1060" w:rsidRDefault="001C76F0" w:rsidP="005F0A4A">
      <w:pPr>
        <w:shd w:val="clear" w:color="000000" w:fill="auto"/>
        <w:suppressAutoHyphens/>
        <w:spacing w:after="0" w:line="360" w:lineRule="auto"/>
        <w:ind w:firstLine="709"/>
        <w:jc w:val="both"/>
        <w:rPr>
          <w:rFonts w:ascii="Times New Roman" w:hAnsi="Times New Roman"/>
          <w:b/>
          <w:bCs/>
          <w:snapToGrid w:val="0"/>
          <w:color w:val="000000"/>
          <w:sz w:val="28"/>
          <w:szCs w:val="28"/>
        </w:rPr>
      </w:pPr>
      <w:r w:rsidRPr="004F1060">
        <w:rPr>
          <w:rFonts w:ascii="Times New Roman" w:hAnsi="Times New Roman"/>
          <w:snapToGrid w:val="0"/>
          <w:color w:val="000000"/>
          <w:sz w:val="28"/>
          <w:szCs w:val="28"/>
        </w:rPr>
        <w:t>Ценные бумаги можно разделить на первичные и производные. В качестве первичных ценных бумаг, выступают акции, облигации, ноты, вексель, депозитные сертификаты и другие инструменты, являющиеся правами на имущество, денежные средства, продукцию, землю и другие первичные ресурсы.</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Производные ценные бумаги - любые ценные бумаги, удовлетворяющие право владельца на покупку или продажу первичных ценных бумаг. К числу таких бумаг можно отнести опционы, финансовые фьючерсы, подписные права.</w:t>
      </w:r>
    </w:p>
    <w:p w:rsidR="005F0A4A"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Ценные бумаги могут быть в форме обособленных документов и в виде записей по счетам.</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Ценные бумаги в форме обособленных документов - имеют материальную форму в виде бумажных сертификатов.</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О ценных бумагах - записях по счетам - говорят, что они имеют безналичную форму. В этом случае ценная бумага существует в виде записи на счете бухгалтерского учета и аналитических реестрах к нему. При купле-продаже ценной бумаги, дарении, передаче, погашении и т.п. она перемещается не путем передачи бумажного сертификата (его не существует), а путем совершения бухгалтерских проводок по счетам и записям в реестрах бухгалтерского учета.</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1) Долговые и Титулы собственности:</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Долговые ценные бумаги - являются долговыми обязательствами (облигация, нота, вексель и т.п.).</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Ценные бумаги - титулы собственности, которые удостоверяют право собственности владельца на активы (простые и привилегированные акции, конвертируемые ценные бумаги, варранты, подписные права и т.п.).</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2) Краткосрочные, среднесрочные, долгосрочные и бессрочные:</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По общепринятой практике, краткосрочные ценные бумаги - сроком погашения до 1 года; среднесрочные - от 1 до 5 лет; долгосрочные - свыше 5 лет; к бессрочным ценным бумагам относятся фондовые инструменты, не имеющие конечного срока погашения - акции, бессрочные облигации, выпускаемые государством.</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3) Государственные и негосударственные:</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К государственным относятся ценные бумаги Правительства, правительственных министерств и ведомств. Государственные ценные бумаги обычно охватывают фондовые инструменты, выпущенные или гарантированные правительством от имени государства, муниципальными органами власти.</w:t>
      </w:r>
    </w:p>
    <w:p w:rsidR="005F0A4A"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Корпоративные ценные бумаги - фондовые инструменты, выпускаемые предприятиями и организациями. К ним относятся частные ценные бумаги - т.е. выпуск ценных бумаг физическими лицами (вексель).</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4) Ценные бумаги, выпускаемые только банком, и выпускаемые как банком, так и другими эмитентами:</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К первым относятся депозитные и сберегательные сертификаты, валютные фьючерсы и опционы. Банки не могут эмитировать коносаменты и акции трудового коллектива, товарные, фьючерсные и опционные контракты.</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5) Обращающиеся, не обращающиеся, с ограниченным кругом обращения:</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Обращающиеся ценные бумаги - могут свободно покупаться-продаваться и в т.ч. на основе совершения передаточной надписи или без таковой без ограничения - по условиям эмиссии - видов рынков, на которых они могут обращаться.</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Не обращающиеся ценные бумаги - не могут покупаться-продаваться на различных видах рынков. Например, если эмитент при выпуске ценной бумаги ставит условие, что она не может быть перепродана и может выкупаться обратно только самим эмитентом, то это - не обращающаяся ценная бумага.</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Ценные бумаги с ограниченным кругом обращения - сделки купли-продажи, по таким бумагам могут совершаться с ограничениями по виду рынков.</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6) Именные, предъявительские, ордерные:</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Именная ценная бумага - имя держателя регистрируется в специальном реестре, который ведется эмитентов.</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Ценная бумага на предъявителя - не регистрируется у эмитента на имя держателя и передается другому лицу путем вручения.</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Ордерная ценная бумага - составляется на имя первого держателя с оговоркой "его приказу". Соответственно, ордерная ценная бумага передается другому лицу путем совершения передаточной надписи. Ордерными бумагами могут быть чек, вексель, коносамент.</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7) Срочные и сроком по предъявлению:</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Срочные ценные бумаги имеют конкретные сроки погашения.</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Ценные бумаги сроком по предъявлению не содержат конкретного срока погашения, обязательства по ним выполняются при предъявлении ценной бумаги.</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8) С фиксированным доходом и с колеблющимся доходом:</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С фиксированным доходом - в момент выпуска ценной бумаги жестко фиксируется уровень ее доходности к номиналу: при колебании средней процентной ставки на рынке уровень доходности не изменяется.</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С колеблющимся доходом - доходность ценной бумаги к номиналу изменяется в соответствии с колебаниями средней процентной ставки на рынке: она может индексироваться, например, по валютному курсу.</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9) Отзывные и безотзывные:</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Отзывные ценные бумаги могут быть отозваны эмитентом досрочно, до наступления срока погашения. Могут также отзываться обычные ценные бумаги, если это предусмотрено условиями выпуска (например привилегированные акции). Инвестор обязан вернуть эмитенту указанные ценные бумаги на условиях обратной продажи, по ценам и т.п., установленным при эмиссии ценных бумаг.</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Безотзывные ценные бумаги не могут быть отозваны и погашены эмитентом досрочно, что должно быть предусмотрено условиями их эмиссии.</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10) Инвестиционные и рыночные:</w:t>
      </w:r>
    </w:p>
    <w:p w:rsidR="001C76F0"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Инвестиционные - ценные бумаги, в которые средства инвестируются на относительно постоянной, долгосрочной основе. Целью инвестиций является получение прибыли от процента по ценным бумагам и прироста их курсовой стоимости, а также создание резерва ликвидных активов для поддержания требований к ликвидности эмитентов.</w:t>
      </w:r>
    </w:p>
    <w:p w:rsidR="00FF0648" w:rsidRPr="004F1060" w:rsidRDefault="001C76F0"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Рыночные - ценные бумаги, в которые средства инвестируются для совершения спекулятивных краткосрочных операций по купле-продаже ценных бумаг.</w:t>
      </w:r>
    </w:p>
    <w:p w:rsidR="000412EB" w:rsidRPr="004F1060" w:rsidRDefault="000412EB" w:rsidP="005F0A4A">
      <w:pPr>
        <w:pStyle w:val="3"/>
        <w:keepNext w:val="0"/>
        <w:keepLines w:val="0"/>
        <w:shd w:val="clear" w:color="000000" w:fill="auto"/>
        <w:suppressAutoHyphens/>
        <w:spacing w:before="0" w:line="360" w:lineRule="auto"/>
        <w:ind w:firstLine="709"/>
        <w:jc w:val="both"/>
        <w:rPr>
          <w:rFonts w:ascii="Times New Roman" w:hAnsi="Times New Roman"/>
          <w:snapToGrid w:val="0"/>
          <w:color w:val="000000"/>
          <w:sz w:val="28"/>
          <w:szCs w:val="28"/>
        </w:rPr>
      </w:pPr>
      <w:bookmarkStart w:id="6" w:name="_Toc280896589"/>
      <w:bookmarkStart w:id="7" w:name="_Toc281333478"/>
      <w:r w:rsidRPr="004F1060">
        <w:rPr>
          <w:rFonts w:ascii="Times New Roman" w:hAnsi="Times New Roman"/>
          <w:snapToGrid w:val="0"/>
          <w:color w:val="000000"/>
          <w:sz w:val="28"/>
          <w:szCs w:val="28"/>
        </w:rPr>
        <w:t>А</w:t>
      </w:r>
      <w:r w:rsidR="006B4A77" w:rsidRPr="004F1060">
        <w:rPr>
          <w:rFonts w:ascii="Times New Roman" w:hAnsi="Times New Roman"/>
          <w:snapToGrid w:val="0"/>
          <w:color w:val="000000"/>
          <w:sz w:val="28"/>
          <w:szCs w:val="28"/>
        </w:rPr>
        <w:t>кции</w:t>
      </w:r>
      <w:bookmarkEnd w:id="6"/>
      <w:bookmarkEnd w:id="7"/>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Одной из форм привлечения денежных средств для финансирования деятельности предприятия является выпуск в обращение ценных бумаг, например акций. Акционерное общество в праве выпускать данный вид ценной бумаги в установленном законом порядке.</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Акция - это ценная бумага без установленного срока обращения, являющаяся свидетельством о внесении пая и дающий право ее владельцу на получение части прибыли в виде дивиденда.</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Из данного определения можно выделить следующие фундаментальные свойства акций:</w:t>
      </w:r>
    </w:p>
    <w:p w:rsidR="000412EB" w:rsidRPr="004F1060" w:rsidRDefault="000412EB" w:rsidP="005F0A4A">
      <w:pPr>
        <w:numPr>
          <w:ilvl w:val="0"/>
          <w:numId w:val="1"/>
        </w:numPr>
        <w:shd w:val="clear" w:color="000000" w:fill="auto"/>
        <w:tabs>
          <w:tab w:val="left" w:pos="757"/>
        </w:tabs>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акции - это титулы собственности на имущество акционерного общества, выпуск акций - это не займ (в отличии от облигаций, депозитных и сберегательных сертификатов и т.д.);</w:t>
      </w:r>
    </w:p>
    <w:p w:rsidR="000412EB" w:rsidRPr="004F1060" w:rsidRDefault="000412EB" w:rsidP="005F0A4A">
      <w:pPr>
        <w:numPr>
          <w:ilvl w:val="0"/>
          <w:numId w:val="1"/>
        </w:numPr>
        <w:shd w:val="clear" w:color="000000" w:fill="auto"/>
        <w:tabs>
          <w:tab w:val="left" w:pos="757"/>
        </w:tabs>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у акции нет конечного срока погашения, акция (в классическом случае) - это негасимая ценная бумага;</w:t>
      </w:r>
    </w:p>
    <w:p w:rsidR="000412EB" w:rsidRPr="004F1060" w:rsidRDefault="000412EB" w:rsidP="005F0A4A">
      <w:pPr>
        <w:numPr>
          <w:ilvl w:val="0"/>
          <w:numId w:val="1"/>
        </w:numPr>
        <w:shd w:val="clear" w:color="000000" w:fill="auto"/>
        <w:tabs>
          <w:tab w:val="left" w:pos="757"/>
        </w:tabs>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ограниченная ответственность. Инвестор не может потерять больше, нежели он вложил в акцию. Инвестор не отвечает по обязательствам общества в целом;</w:t>
      </w:r>
    </w:p>
    <w:p w:rsidR="000412EB" w:rsidRPr="004F1060" w:rsidRDefault="000412EB" w:rsidP="005F0A4A">
      <w:pPr>
        <w:numPr>
          <w:ilvl w:val="0"/>
          <w:numId w:val="1"/>
        </w:numPr>
        <w:shd w:val="clear" w:color="000000" w:fill="auto"/>
        <w:tabs>
          <w:tab w:val="left" w:pos="757"/>
        </w:tabs>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неделимость акции, (неделимость прав которые она предъявляет). Два лица (например, супруги), совместно владеющие одноголосой акцией, всегда, в любом случае будут представлять только один голос на собрании акционеров. Иначе говоря, если акция принадлежит нескольким лицам, то все они признаются единым держателем акции.</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Акции бывают именные и на предъявителя, простые и привилегированные "золотые акции".</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Именные принадлежат определенному юридическому или физическому лицу, регистрируются в книге собственников и, выпускаются в крупных купюрах. В уставе АО должно быть отмечено, что именно семейные акции продаются только с согласия большинства других акционеров.</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Предъявительские - акции без указания имени владельца. Выпускаются в мелких купюрах для привлечения средств широких масс населения.</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Простые - большая часть акций АО. Владельцы имеют право на получение дивидендов, на участие в общих собраниях и управлении АО. При ликвидации имеют право на получение средств, вложенных в акции по их номинальной стоимости, но только после удовлетворения прав владельцев облигаций и привилегированных акций.</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Привилегированные - акции, дающие право получения дивидендов независимо от прибыли предприятия.</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Владельцем "Золотой акции" является государство. Акция не передается в залог или траст. "Золотая акция" дает все права, предусмотренные для владельцев обыкновенных акций, и право "вето" для принятия собранием акционеров решения по вопросам коммерциализации государственных предприятий.</w:t>
      </w:r>
    </w:p>
    <w:p w:rsidR="000412EB" w:rsidRPr="004F1060" w:rsidRDefault="006B4A77" w:rsidP="005F0A4A">
      <w:pPr>
        <w:pStyle w:val="3"/>
        <w:keepNext w:val="0"/>
        <w:keepLines w:val="0"/>
        <w:shd w:val="clear" w:color="000000" w:fill="auto"/>
        <w:suppressAutoHyphens/>
        <w:spacing w:before="0" w:line="360" w:lineRule="auto"/>
        <w:ind w:firstLine="709"/>
        <w:jc w:val="both"/>
        <w:rPr>
          <w:rFonts w:ascii="Times New Roman" w:hAnsi="Times New Roman"/>
          <w:snapToGrid w:val="0"/>
          <w:color w:val="000000"/>
          <w:sz w:val="28"/>
          <w:szCs w:val="28"/>
        </w:rPr>
      </w:pPr>
      <w:bookmarkStart w:id="8" w:name="_Toc280896590"/>
      <w:bookmarkStart w:id="9" w:name="_Toc281333479"/>
      <w:r w:rsidRPr="004F1060">
        <w:rPr>
          <w:rFonts w:ascii="Times New Roman" w:hAnsi="Times New Roman"/>
          <w:snapToGrid w:val="0"/>
          <w:color w:val="000000"/>
          <w:sz w:val="28"/>
          <w:szCs w:val="28"/>
        </w:rPr>
        <w:t>Обязательные реквизиты акций</w:t>
      </w:r>
      <w:bookmarkEnd w:id="8"/>
      <w:bookmarkEnd w:id="9"/>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Обязательные реквизиты акций установлены письмом Минфина РФ и включают:</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наименование ценной бумаги "акция";</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порядковый номер;</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номинальная стоимость;</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фирменное наименование и местонахождение эмитента;</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вид акции (простая или привилегированная);</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дата выпуска;</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размер уставного фонда АО на день выпуска акций;</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количество выпускаемых акций;</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срок выплаты дивидендов;</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имя держателя;</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ставка дивиденда (для привилегированных акций);</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подпись председателя Правления АО;</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печать общества;</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наименование и местонахождение регистратора;</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 наименование банка-агента.</w:t>
      </w:r>
    </w:p>
    <w:p w:rsidR="000412EB" w:rsidRPr="004F1060" w:rsidRDefault="000412EB"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Из данного перечня видно, что российское законодательство не дает полного, скрупулезного определения реквизитов.</w:t>
      </w:r>
    </w:p>
    <w:p w:rsidR="00E019ED" w:rsidRPr="004F1060" w:rsidRDefault="006B4A77" w:rsidP="005F0A4A">
      <w:pPr>
        <w:pStyle w:val="3"/>
        <w:keepNext w:val="0"/>
        <w:keepLines w:val="0"/>
        <w:shd w:val="clear" w:color="000000" w:fill="auto"/>
        <w:suppressAutoHyphens/>
        <w:spacing w:before="0" w:line="360" w:lineRule="auto"/>
        <w:ind w:firstLine="709"/>
        <w:jc w:val="both"/>
        <w:rPr>
          <w:rFonts w:ascii="Times New Roman" w:hAnsi="Times New Roman"/>
          <w:snapToGrid w:val="0"/>
          <w:color w:val="000000"/>
          <w:sz w:val="28"/>
          <w:szCs w:val="28"/>
        </w:rPr>
      </w:pPr>
      <w:bookmarkStart w:id="10" w:name="_Toc280896591"/>
      <w:bookmarkStart w:id="11" w:name="_Toc281333480"/>
      <w:r w:rsidRPr="004F1060">
        <w:rPr>
          <w:rFonts w:ascii="Times New Roman" w:hAnsi="Times New Roman"/>
          <w:snapToGrid w:val="0"/>
          <w:color w:val="000000"/>
          <w:sz w:val="28"/>
          <w:szCs w:val="28"/>
        </w:rPr>
        <w:t>Режим выплаты дивидендов</w:t>
      </w:r>
      <w:bookmarkEnd w:id="10"/>
      <w:bookmarkEnd w:id="11"/>
    </w:p>
    <w:p w:rsidR="00E019ED" w:rsidRPr="004F1060" w:rsidRDefault="00E019E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В международной практике используются простые акции, приближенные к привилегированным по характеру выплат дивидендов. Это значит, что инвестор получает регулярные фиксированные дивиденды плюс экстра-дивиденд в конце года по итогам работы АО.</w:t>
      </w:r>
    </w:p>
    <w:p w:rsidR="00E019ED" w:rsidRPr="004F1060" w:rsidRDefault="00E019E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Таким образом, фиксация части дивиденда понижает финансовые риски инвестора. С другой стороны, сохраняется возможность получения более высоких дивидендов, чем по привилегированным акциям.</w:t>
      </w:r>
    </w:p>
    <w:p w:rsidR="00E019ED" w:rsidRPr="004F1060" w:rsidRDefault="00E019E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Однако, за снижение финансового риска инвестор должен заплатить понижением общего уровня (финансового риска) доходности в сравнении с простыми акциями без выплаты фиксированных дивидендов.</w:t>
      </w:r>
    </w:p>
    <w:p w:rsidR="00E019ED" w:rsidRPr="004F1060" w:rsidRDefault="00E019E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Простые акции с отсроченными платежами. Имеют полное право голоса, право на имущество при ликвидации АО. Однако, дивиденды не выплачиваются до наступления определенной даты или пока прибыли общества не достигнут заданной величины. Правовых препятствий для выпуска подобных акций в российском законодательстве нет.</w:t>
      </w:r>
    </w:p>
    <w:p w:rsidR="00E019ED" w:rsidRPr="004F1060" w:rsidRDefault="006A2A06" w:rsidP="005F0A4A">
      <w:pPr>
        <w:pStyle w:val="3"/>
        <w:keepNext w:val="0"/>
        <w:keepLines w:val="0"/>
        <w:shd w:val="clear" w:color="000000" w:fill="auto"/>
        <w:suppressAutoHyphens/>
        <w:spacing w:before="0" w:line="360" w:lineRule="auto"/>
        <w:ind w:firstLine="709"/>
        <w:jc w:val="both"/>
        <w:rPr>
          <w:rFonts w:ascii="Times New Roman" w:hAnsi="Times New Roman"/>
          <w:snapToGrid w:val="0"/>
          <w:color w:val="000000"/>
          <w:sz w:val="28"/>
          <w:szCs w:val="28"/>
        </w:rPr>
      </w:pPr>
      <w:bookmarkStart w:id="12" w:name="_Toc280896592"/>
      <w:bookmarkStart w:id="13" w:name="_Toc281333481"/>
      <w:r w:rsidRPr="004F1060">
        <w:rPr>
          <w:rFonts w:ascii="Times New Roman" w:hAnsi="Times New Roman"/>
          <w:snapToGrid w:val="0"/>
          <w:color w:val="000000"/>
          <w:sz w:val="28"/>
          <w:szCs w:val="28"/>
        </w:rPr>
        <w:t>Разновидности акций по инвестиционным качествам и видам эмитентов</w:t>
      </w:r>
      <w:bookmarkEnd w:id="12"/>
      <w:bookmarkEnd w:id="13"/>
    </w:p>
    <w:p w:rsidR="005F0A4A" w:rsidRPr="004F1060" w:rsidRDefault="00E019E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В основе данной классификации - не отраслевая принадлежность и не региональное размещение эмитента. Речь идет о том, на какой стадии своего жизненного цикла находится предприятие-эмитент, каковы его позиции и перспективы на рынке и, соответственно, какие риски несут и какой доходностью обладают выпущенные им обыкновенные акции.</w:t>
      </w:r>
    </w:p>
    <w:p w:rsidR="00E019ED" w:rsidRPr="004F1060" w:rsidRDefault="00E019E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С этих позиций различают:</w:t>
      </w:r>
    </w:p>
    <w:p w:rsidR="00E019ED" w:rsidRPr="004F1060" w:rsidRDefault="00E019E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а) грошовые акции (предприятие находится в стадии подготовки к выходу на рынок, либо предприятия - банкроты, стремящиеся вернуться в бизнес);</w:t>
      </w:r>
    </w:p>
    <w:p w:rsidR="00E019ED" w:rsidRPr="004F1060" w:rsidRDefault="00E019E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б) акции предприятия возникающего роста (уже внедрили свою продукцию на рынок, но находятся в стартовой стадии, ориентированны на быстрое расширение);</w:t>
      </w:r>
    </w:p>
    <w:p w:rsidR="00E019ED" w:rsidRPr="004F1060" w:rsidRDefault="00E019E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в) акции предприятия установившегося роста (постоянно растущие объемы продукции, принятой рынком);</w:t>
      </w:r>
    </w:p>
    <w:p w:rsidR="00E019ED" w:rsidRPr="004F1060" w:rsidRDefault="00E019E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г) акции крупных признанных предприятий, находящихся в зрелой стадии развития (стабилизация объемов продаж, завоеванный долгосрочный рынок, постоянные прибыли);</w:t>
      </w:r>
    </w:p>
    <w:p w:rsidR="00E019ED" w:rsidRPr="004F1060" w:rsidRDefault="00E019E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д) акции предприятий угасающего роста (постепенная утрата объемов рынка);</w:t>
      </w:r>
    </w:p>
    <w:p w:rsidR="00E019ED" w:rsidRPr="004F1060" w:rsidRDefault="00E019E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е) акции монополий (регулируемых и нерегулируемых)".</w:t>
      </w:r>
    </w:p>
    <w:p w:rsidR="009B2EAA" w:rsidRPr="004F1060" w:rsidRDefault="00E019ED"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Особенность российского рынка является то, что чрезмерно велики доли акций предприятий угасающего роста, грошовых акций и акций предприятий, которые только выходят на рынок; чрезмерно низка доля акций предприятий установившегося роста или находящихся на зрелой стадии развития. Особенностью является - незначительность производств, располагающих современной техникой и технологией и являющихся экспортноспособными.</w:t>
      </w:r>
    </w:p>
    <w:p w:rsidR="005F0A4A" w:rsidRPr="004F1060" w:rsidRDefault="005F0A4A" w:rsidP="005F0A4A">
      <w:pPr>
        <w:pStyle w:val="1"/>
        <w:keepNext w:val="0"/>
        <w:keepLines w:val="0"/>
        <w:shd w:val="clear" w:color="000000" w:fill="auto"/>
        <w:suppressAutoHyphens/>
        <w:spacing w:before="0" w:line="360" w:lineRule="auto"/>
        <w:ind w:firstLine="709"/>
        <w:jc w:val="both"/>
        <w:rPr>
          <w:rFonts w:ascii="Times New Roman" w:hAnsi="Times New Roman"/>
          <w:snapToGrid w:val="0"/>
          <w:color w:val="000000"/>
        </w:rPr>
      </w:pPr>
    </w:p>
    <w:p w:rsidR="00FF6F9F" w:rsidRPr="004F1060" w:rsidRDefault="00FF6F9F" w:rsidP="005F0A4A">
      <w:pPr>
        <w:pStyle w:val="1"/>
        <w:keepNext w:val="0"/>
        <w:keepLines w:val="0"/>
        <w:shd w:val="clear" w:color="000000" w:fill="auto"/>
        <w:suppressAutoHyphens/>
        <w:spacing w:before="0" w:line="360" w:lineRule="auto"/>
        <w:jc w:val="center"/>
        <w:rPr>
          <w:rFonts w:ascii="Times New Roman" w:hAnsi="Times New Roman"/>
          <w:b w:val="0"/>
          <w:snapToGrid w:val="0"/>
          <w:color w:val="000000"/>
        </w:rPr>
      </w:pPr>
      <w:r w:rsidRPr="004F1060">
        <w:rPr>
          <w:rFonts w:ascii="Times New Roman" w:hAnsi="Times New Roman"/>
          <w:snapToGrid w:val="0"/>
          <w:color w:val="000000"/>
        </w:rPr>
        <w:br w:type="page"/>
      </w:r>
      <w:bookmarkStart w:id="14" w:name="_Toc280896593"/>
      <w:bookmarkStart w:id="15" w:name="_Toc281333482"/>
      <w:r w:rsidR="006A2A06" w:rsidRPr="004F1060">
        <w:rPr>
          <w:rFonts w:ascii="Times New Roman" w:hAnsi="Times New Roman"/>
          <w:snapToGrid w:val="0"/>
          <w:color w:val="000000"/>
        </w:rPr>
        <w:t>Заключение</w:t>
      </w:r>
      <w:bookmarkEnd w:id="14"/>
      <w:bookmarkEnd w:id="15"/>
    </w:p>
    <w:p w:rsidR="005F0A4A" w:rsidRPr="004F1060" w:rsidRDefault="005F0A4A"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p>
    <w:p w:rsidR="00FF6F9F" w:rsidRPr="004F1060" w:rsidRDefault="00FF6F9F"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Таким образом, специфические отличие ценных бумаг от других юридических документов заключается в необходимости их предъявления для осуществления выраженного в них права.</w:t>
      </w:r>
    </w:p>
    <w:p w:rsidR="00FF6F9F" w:rsidRPr="004F1060" w:rsidRDefault="00FF6F9F"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Институт ценных бумаг создает иной порядок осуществления прав, чем тот, который существует на основании общих положений гражданского права. Хозяйственная жизнь требует весьма значительной мобилизации обязательственных отношений, которые являются необходимым условием современного развития торгового оборота и кредита. Кроме того, характерное для настоящего времени массовое совершение однородных типовых сделок требует упрощенных способов удостоверения принадлежности права определенному субъекту.</w:t>
      </w:r>
    </w:p>
    <w:p w:rsidR="00FF6F9F" w:rsidRPr="004F1060" w:rsidRDefault="00FF6F9F"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Институт ценных бумаг служит для достижения этих целей. Он превращает юридический документ в средство легитимации субъекта соответствующего права. Благодаря тому, что предъявление документа является необходимым условием осуществления выраженного в нем права, должнику облегчается процесс определения того, кому он может чинить исполнение и, с другой стороны, кредитору облегчается обоснование его притязаний. Кроме того, нахождение документа у кредитора является для него гарантией того, что должник не исполнит обязательства другому лицу, а если и исполнит, то это исполнение не прекратит обязательства.</w:t>
      </w:r>
    </w:p>
    <w:p w:rsidR="00FF6F9F" w:rsidRPr="004F1060" w:rsidRDefault="00FF6F9F"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Эти результаты полностью достигаются в случае ценных бумаг на предъявителя, ордерных и именных. Что же касается обыкновенных именных бумаг, то они служат только для обеспечения кредитору, получившему документ от своего право предшественника, того, что обязательство не будет исполнено должником последнему, хотя бы должник и не получил извещения о передаче требования.</w:t>
      </w:r>
    </w:p>
    <w:p w:rsidR="00FF6F9F" w:rsidRPr="004F1060" w:rsidRDefault="00FF6F9F"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Было бы ошибкой считать, что институт ценных бумаг в целом имеет целью дать обороту облегченные, по сравнению с общими правилами гражданского права, способы передачи права. Исторически данное утверждение имеет основание. Но в настоящее время оно является правильным только для бумаг на предъявителя и, отчасти, для ордерных. Что же касается именных и обыкновенных именных ценных бумаг, то дело обстоит иначе.</w:t>
      </w:r>
    </w:p>
    <w:p w:rsidR="00FF6F9F" w:rsidRPr="004F1060" w:rsidRDefault="00FF6F9F"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Современная хозяйственная жизнь требует мобилизации не только обязательственных, но и других правоотношений. Право участия в акционерном обществе, некоторые вещные права, будучи выражены в ценных бумагах, делаются более оборотоспособными. Большая простота удостоверения принадлежности права определенному субъекту способствует твердости правоотношений, необходимой деловому обороту.</w:t>
      </w:r>
    </w:p>
    <w:p w:rsidR="00FF6F9F" w:rsidRPr="004F1060" w:rsidRDefault="00FF6F9F"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Неудобства, присущие общим положениям гражданского права, заключаются в тех рисках которые создаются для участников правоотношений, а также способах их распространения между ними. Ценные бумаги, благодаря своему основному свойству - необходимости предъявления документа для осуществления выраженного в нем права, которое предполагает тесную зависимость между правом на бумагу и правом из бумаги - создают в этом отношении иную картину. Правоотношениям, выраженным в ценных бумагах, свойственны иные риски и иное их распределение, более целесообразное с точки зрения делового оборота.</w:t>
      </w:r>
    </w:p>
    <w:p w:rsidR="00FF6F9F" w:rsidRPr="004F1060" w:rsidRDefault="00FF6F9F"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Вместе с тем, каждая ценная бумага является уникальным товаром, рассчитанным на определенную категорию потребителей и обладающим такими индивидуальными свойствами, которые специально сконструированы эмитентом для определенной группы инвесторов (с тем, чтобы "продать" ценную бумагу на рынке, сделать ее "интересной" для конкретных инвесторов).</w:t>
      </w:r>
    </w:p>
    <w:p w:rsidR="006A2A06" w:rsidRPr="004F1060" w:rsidRDefault="00FF6F9F"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r w:rsidRPr="004F1060">
        <w:rPr>
          <w:rFonts w:ascii="Times New Roman" w:hAnsi="Times New Roman"/>
          <w:snapToGrid w:val="0"/>
          <w:color w:val="000000"/>
          <w:sz w:val="28"/>
          <w:szCs w:val="28"/>
        </w:rPr>
        <w:t>Таким образом, развитие рынка ценных бумаг бюджет способствовать экономическому и социальному развитию.</w:t>
      </w:r>
      <w:bookmarkStart w:id="16" w:name="_Toc280896594"/>
    </w:p>
    <w:p w:rsidR="006A2A06" w:rsidRPr="004F1060" w:rsidRDefault="006A2A06" w:rsidP="005F0A4A">
      <w:pPr>
        <w:shd w:val="clear" w:color="000000" w:fill="auto"/>
        <w:suppressAutoHyphens/>
        <w:spacing w:after="0" w:line="360" w:lineRule="auto"/>
        <w:ind w:firstLine="709"/>
        <w:jc w:val="both"/>
        <w:rPr>
          <w:rFonts w:ascii="Times New Roman" w:hAnsi="Times New Roman"/>
          <w:snapToGrid w:val="0"/>
          <w:color w:val="000000"/>
          <w:sz w:val="28"/>
          <w:szCs w:val="28"/>
        </w:rPr>
      </w:pPr>
    </w:p>
    <w:p w:rsidR="009B2EAA" w:rsidRPr="004F1060" w:rsidRDefault="005F0A4A" w:rsidP="005F0A4A">
      <w:pPr>
        <w:suppressAutoHyphens/>
        <w:spacing w:after="0" w:line="360" w:lineRule="auto"/>
        <w:jc w:val="center"/>
        <w:rPr>
          <w:rFonts w:ascii="Times New Roman" w:hAnsi="Times New Roman"/>
          <w:b/>
          <w:snapToGrid w:val="0"/>
          <w:color w:val="000000"/>
          <w:sz w:val="28"/>
        </w:rPr>
      </w:pPr>
      <w:bookmarkStart w:id="17" w:name="_Toc281333483"/>
      <w:r w:rsidRPr="004F1060">
        <w:rPr>
          <w:rFonts w:ascii="Times New Roman" w:hAnsi="Times New Roman"/>
          <w:b/>
          <w:bCs/>
          <w:snapToGrid w:val="0"/>
          <w:color w:val="000000"/>
        </w:rPr>
        <w:br w:type="page"/>
      </w:r>
      <w:r w:rsidR="009B2EAA" w:rsidRPr="004F1060">
        <w:rPr>
          <w:rFonts w:ascii="Times New Roman" w:hAnsi="Times New Roman"/>
          <w:b/>
          <w:snapToGrid w:val="0"/>
          <w:color w:val="000000"/>
          <w:sz w:val="28"/>
        </w:rPr>
        <w:t>Список используемой литературы</w:t>
      </w:r>
      <w:bookmarkEnd w:id="16"/>
      <w:bookmarkEnd w:id="17"/>
    </w:p>
    <w:p w:rsidR="005F0A4A" w:rsidRPr="004F1060" w:rsidRDefault="005F0A4A" w:rsidP="005F0A4A">
      <w:pPr>
        <w:suppressAutoHyphens/>
        <w:spacing w:after="0" w:line="360" w:lineRule="auto"/>
        <w:rPr>
          <w:rFonts w:ascii="Times New Roman" w:hAnsi="Times New Roman"/>
          <w:b/>
          <w:snapToGrid w:val="0"/>
          <w:color w:val="000000"/>
          <w:sz w:val="28"/>
        </w:rPr>
      </w:pPr>
    </w:p>
    <w:p w:rsidR="00FF6F9F" w:rsidRPr="004F1060" w:rsidRDefault="009B2EAA" w:rsidP="005F0A4A">
      <w:pPr>
        <w:shd w:val="clear" w:color="000000" w:fill="auto"/>
        <w:tabs>
          <w:tab w:val="left" w:pos="360"/>
        </w:tabs>
        <w:suppressAutoHyphens/>
        <w:spacing w:after="0" w:line="360" w:lineRule="auto"/>
        <w:rPr>
          <w:rFonts w:ascii="Times New Roman" w:hAnsi="Times New Roman"/>
          <w:snapToGrid w:val="0"/>
          <w:color w:val="000000"/>
          <w:sz w:val="28"/>
          <w:szCs w:val="28"/>
        </w:rPr>
      </w:pPr>
      <w:r w:rsidRPr="004F1060">
        <w:rPr>
          <w:rFonts w:ascii="Times New Roman" w:hAnsi="Times New Roman"/>
          <w:snapToGrid w:val="0"/>
          <w:color w:val="000000"/>
          <w:sz w:val="28"/>
          <w:szCs w:val="28"/>
        </w:rPr>
        <w:t xml:space="preserve">1. </w:t>
      </w:r>
      <w:r w:rsidR="00FF6F9F" w:rsidRPr="004F1060">
        <w:rPr>
          <w:rFonts w:ascii="Times New Roman" w:hAnsi="Times New Roman"/>
          <w:snapToGrid w:val="0"/>
          <w:color w:val="000000"/>
          <w:sz w:val="28"/>
          <w:szCs w:val="28"/>
        </w:rPr>
        <w:t>Т.Б. Бердникова "Региональный рынок ценных бумаг". Москва, Ринетатинформ, 1996 г.</w:t>
      </w:r>
    </w:p>
    <w:p w:rsidR="00FF6F9F" w:rsidRPr="004F1060" w:rsidRDefault="009B2EAA" w:rsidP="005F0A4A">
      <w:pPr>
        <w:shd w:val="clear" w:color="000000" w:fill="auto"/>
        <w:tabs>
          <w:tab w:val="left" w:pos="360"/>
        </w:tabs>
        <w:suppressAutoHyphens/>
        <w:spacing w:after="0" w:line="360" w:lineRule="auto"/>
        <w:rPr>
          <w:rFonts w:ascii="Times New Roman" w:hAnsi="Times New Roman"/>
          <w:snapToGrid w:val="0"/>
          <w:color w:val="000000"/>
          <w:sz w:val="28"/>
          <w:szCs w:val="28"/>
        </w:rPr>
      </w:pPr>
      <w:r w:rsidRPr="004F1060">
        <w:rPr>
          <w:rFonts w:ascii="Times New Roman" w:hAnsi="Times New Roman"/>
          <w:snapToGrid w:val="0"/>
          <w:color w:val="000000"/>
          <w:sz w:val="28"/>
          <w:szCs w:val="28"/>
        </w:rPr>
        <w:t xml:space="preserve">2. </w:t>
      </w:r>
      <w:r w:rsidR="00FF6F9F" w:rsidRPr="004F1060">
        <w:rPr>
          <w:rFonts w:ascii="Times New Roman" w:hAnsi="Times New Roman"/>
          <w:snapToGrid w:val="0"/>
          <w:color w:val="000000"/>
          <w:sz w:val="28"/>
          <w:szCs w:val="28"/>
        </w:rPr>
        <w:t>Я.М. Миркин "Ценные бумаги и фондовый рынок". Москва, из-во "Перспектива", 1995 г.</w:t>
      </w:r>
    </w:p>
    <w:p w:rsidR="00FF6F9F" w:rsidRPr="004F1060" w:rsidRDefault="009B2EAA" w:rsidP="005F0A4A">
      <w:pPr>
        <w:shd w:val="clear" w:color="000000" w:fill="auto"/>
        <w:tabs>
          <w:tab w:val="left" w:pos="360"/>
        </w:tabs>
        <w:suppressAutoHyphens/>
        <w:spacing w:after="0" w:line="360" w:lineRule="auto"/>
        <w:rPr>
          <w:rFonts w:ascii="Times New Roman" w:hAnsi="Times New Roman"/>
          <w:snapToGrid w:val="0"/>
          <w:color w:val="000000"/>
          <w:sz w:val="28"/>
          <w:szCs w:val="28"/>
        </w:rPr>
      </w:pPr>
      <w:r w:rsidRPr="004F1060">
        <w:rPr>
          <w:rFonts w:ascii="Times New Roman" w:hAnsi="Times New Roman"/>
          <w:snapToGrid w:val="0"/>
          <w:color w:val="000000"/>
          <w:sz w:val="28"/>
          <w:szCs w:val="28"/>
        </w:rPr>
        <w:t xml:space="preserve">3. </w:t>
      </w:r>
      <w:r w:rsidR="00FF6F9F" w:rsidRPr="004F1060">
        <w:rPr>
          <w:rFonts w:ascii="Times New Roman" w:hAnsi="Times New Roman"/>
          <w:snapToGrid w:val="0"/>
          <w:color w:val="000000"/>
          <w:sz w:val="28"/>
          <w:szCs w:val="28"/>
        </w:rPr>
        <w:t>М.Н. Симонова "Ценные бумаги". Москва, из-во "Филин", 1997 г.</w:t>
      </w:r>
    </w:p>
    <w:p w:rsidR="00620B40" w:rsidRPr="004F1060" w:rsidRDefault="009B2EAA" w:rsidP="005F0A4A">
      <w:pPr>
        <w:shd w:val="clear" w:color="000000" w:fill="auto"/>
        <w:tabs>
          <w:tab w:val="left" w:pos="360"/>
        </w:tabs>
        <w:suppressAutoHyphens/>
        <w:spacing w:after="0" w:line="360" w:lineRule="auto"/>
        <w:rPr>
          <w:rFonts w:ascii="Times New Roman" w:hAnsi="Times New Roman"/>
          <w:snapToGrid w:val="0"/>
          <w:color w:val="000000"/>
          <w:sz w:val="28"/>
          <w:szCs w:val="28"/>
        </w:rPr>
      </w:pPr>
      <w:r w:rsidRPr="004F1060">
        <w:rPr>
          <w:rFonts w:ascii="Times New Roman" w:hAnsi="Times New Roman"/>
          <w:snapToGrid w:val="0"/>
          <w:color w:val="000000"/>
          <w:sz w:val="28"/>
          <w:szCs w:val="28"/>
        </w:rPr>
        <w:t xml:space="preserve">4. </w:t>
      </w:r>
      <w:r w:rsidR="00FF6F9F" w:rsidRPr="004F1060">
        <w:rPr>
          <w:rFonts w:ascii="Times New Roman" w:hAnsi="Times New Roman"/>
          <w:snapToGrid w:val="0"/>
          <w:color w:val="000000"/>
          <w:sz w:val="28"/>
          <w:szCs w:val="28"/>
        </w:rPr>
        <w:tab/>
        <w:t>А.А, Килячков, А.А. Чагдаев "Практикум по российскому рынку ценных бумаг" Учебное пособие. Издателство "Бек", Москва, 1997 г.</w:t>
      </w:r>
      <w:bookmarkStart w:id="18" w:name="_GoBack"/>
      <w:bookmarkEnd w:id="18"/>
    </w:p>
    <w:sectPr w:rsidR="00620B40" w:rsidRPr="004F1060" w:rsidSect="005F0A4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DE4" w:rsidRDefault="00AA5DE4" w:rsidP="0040767D">
      <w:pPr>
        <w:spacing w:after="0" w:line="240" w:lineRule="auto"/>
      </w:pPr>
      <w:r>
        <w:separator/>
      </w:r>
    </w:p>
  </w:endnote>
  <w:endnote w:type="continuationSeparator" w:id="0">
    <w:p w:rsidR="00AA5DE4" w:rsidRDefault="00AA5DE4" w:rsidP="00407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DE4" w:rsidRDefault="00AA5DE4" w:rsidP="0040767D">
      <w:pPr>
        <w:spacing w:after="0" w:line="240" w:lineRule="auto"/>
      </w:pPr>
      <w:r>
        <w:separator/>
      </w:r>
    </w:p>
  </w:footnote>
  <w:footnote w:type="continuationSeparator" w:id="0">
    <w:p w:rsidR="00AA5DE4" w:rsidRDefault="00AA5DE4" w:rsidP="00407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num w:numId="1">
    <w:abstractNumId w:val="0"/>
    <w:lvlOverride w:ilvl="0">
      <w:lvl w:ilvl="0">
        <w:numFmt w:val="bullet"/>
        <w:lvlText w:val=""/>
        <w:legacy w:legacy="1" w:legacySpace="0" w:legacyIndent="757"/>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161"/>
    <w:rsid w:val="000137F3"/>
    <w:rsid w:val="000412EB"/>
    <w:rsid w:val="00120F43"/>
    <w:rsid w:val="001C76F0"/>
    <w:rsid w:val="00282491"/>
    <w:rsid w:val="002F442C"/>
    <w:rsid w:val="00305C30"/>
    <w:rsid w:val="0040767D"/>
    <w:rsid w:val="004D4AA9"/>
    <w:rsid w:val="004E5B62"/>
    <w:rsid w:val="004F1060"/>
    <w:rsid w:val="0054094B"/>
    <w:rsid w:val="005F0A4A"/>
    <w:rsid w:val="00620B40"/>
    <w:rsid w:val="0066782C"/>
    <w:rsid w:val="006A2A06"/>
    <w:rsid w:val="006B4A77"/>
    <w:rsid w:val="007501F4"/>
    <w:rsid w:val="007D2FF1"/>
    <w:rsid w:val="00816161"/>
    <w:rsid w:val="00824F85"/>
    <w:rsid w:val="00896979"/>
    <w:rsid w:val="00927EDB"/>
    <w:rsid w:val="00972271"/>
    <w:rsid w:val="009B2EAA"/>
    <w:rsid w:val="009F5FC9"/>
    <w:rsid w:val="00A054BF"/>
    <w:rsid w:val="00A1169A"/>
    <w:rsid w:val="00AA5DE4"/>
    <w:rsid w:val="00AD1A8E"/>
    <w:rsid w:val="00B25F50"/>
    <w:rsid w:val="00B369A4"/>
    <w:rsid w:val="00B83AC2"/>
    <w:rsid w:val="00B85ED5"/>
    <w:rsid w:val="00CE4893"/>
    <w:rsid w:val="00E019ED"/>
    <w:rsid w:val="00E14D0D"/>
    <w:rsid w:val="00EF4E1D"/>
    <w:rsid w:val="00F23704"/>
    <w:rsid w:val="00F47A94"/>
    <w:rsid w:val="00FF0648"/>
    <w:rsid w:val="00FF6F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EF367F-7C06-47E0-81C4-DD5FF25F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893"/>
    <w:pPr>
      <w:spacing w:after="200" w:line="276" w:lineRule="auto"/>
    </w:pPr>
    <w:rPr>
      <w:sz w:val="22"/>
      <w:szCs w:val="22"/>
    </w:rPr>
  </w:style>
  <w:style w:type="paragraph" w:styleId="1">
    <w:name w:val="heading 1"/>
    <w:basedOn w:val="a"/>
    <w:next w:val="a"/>
    <w:link w:val="10"/>
    <w:uiPriority w:val="9"/>
    <w:qFormat/>
    <w:rsid w:val="006B4A7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A1169A"/>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6B4A77"/>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B4A77"/>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A1169A"/>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6B4A77"/>
    <w:rPr>
      <w:rFonts w:ascii="Cambria" w:eastAsia="Times New Roman" w:hAnsi="Cambria" w:cs="Times New Roman"/>
      <w:b/>
      <w:bCs/>
      <w:color w:val="4F81BD"/>
    </w:rPr>
  </w:style>
  <w:style w:type="paragraph" w:styleId="a3">
    <w:name w:val="header"/>
    <w:basedOn w:val="a"/>
    <w:link w:val="a4"/>
    <w:uiPriority w:val="99"/>
    <w:unhideWhenUsed/>
    <w:rsid w:val="0040767D"/>
    <w:pPr>
      <w:tabs>
        <w:tab w:val="center" w:pos="4677"/>
        <w:tab w:val="right" w:pos="9355"/>
      </w:tabs>
      <w:spacing w:after="0" w:line="240" w:lineRule="auto"/>
    </w:pPr>
  </w:style>
  <w:style w:type="character" w:customStyle="1" w:styleId="a4">
    <w:name w:val="Верхний колонтитул Знак"/>
    <w:link w:val="a3"/>
    <w:uiPriority w:val="99"/>
    <w:locked/>
    <w:rsid w:val="0040767D"/>
    <w:rPr>
      <w:rFonts w:cs="Times New Roman"/>
    </w:rPr>
  </w:style>
  <w:style w:type="paragraph" w:styleId="a5">
    <w:name w:val="footer"/>
    <w:basedOn w:val="a"/>
    <w:link w:val="a6"/>
    <w:uiPriority w:val="99"/>
    <w:unhideWhenUsed/>
    <w:rsid w:val="0040767D"/>
    <w:pPr>
      <w:tabs>
        <w:tab w:val="center" w:pos="4677"/>
        <w:tab w:val="right" w:pos="9355"/>
      </w:tabs>
      <w:spacing w:after="0" w:line="240" w:lineRule="auto"/>
    </w:pPr>
  </w:style>
  <w:style w:type="character" w:customStyle="1" w:styleId="a6">
    <w:name w:val="Нижний колонтитул Знак"/>
    <w:link w:val="a5"/>
    <w:uiPriority w:val="99"/>
    <w:locked/>
    <w:rsid w:val="0040767D"/>
    <w:rPr>
      <w:rFonts w:cs="Times New Roman"/>
    </w:rPr>
  </w:style>
  <w:style w:type="paragraph" w:styleId="a7">
    <w:name w:val="TOC Heading"/>
    <w:basedOn w:val="1"/>
    <w:next w:val="a"/>
    <w:uiPriority w:val="39"/>
    <w:unhideWhenUsed/>
    <w:qFormat/>
    <w:rsid w:val="006A2A06"/>
    <w:pPr>
      <w:outlineLvl w:val="9"/>
    </w:pPr>
  </w:style>
  <w:style w:type="paragraph" w:styleId="11">
    <w:name w:val="toc 1"/>
    <w:basedOn w:val="a"/>
    <w:next w:val="a"/>
    <w:autoRedefine/>
    <w:uiPriority w:val="39"/>
    <w:unhideWhenUsed/>
    <w:rsid w:val="006A2A06"/>
    <w:pPr>
      <w:spacing w:after="100"/>
    </w:pPr>
  </w:style>
  <w:style w:type="paragraph" w:styleId="21">
    <w:name w:val="toc 2"/>
    <w:basedOn w:val="a"/>
    <w:next w:val="a"/>
    <w:autoRedefine/>
    <w:uiPriority w:val="39"/>
    <w:unhideWhenUsed/>
    <w:rsid w:val="006A2A06"/>
    <w:pPr>
      <w:spacing w:after="100"/>
      <w:ind w:left="220"/>
    </w:pPr>
  </w:style>
  <w:style w:type="paragraph" w:styleId="31">
    <w:name w:val="toc 3"/>
    <w:basedOn w:val="a"/>
    <w:next w:val="a"/>
    <w:autoRedefine/>
    <w:uiPriority w:val="39"/>
    <w:unhideWhenUsed/>
    <w:rsid w:val="006A2A06"/>
    <w:pPr>
      <w:spacing w:after="100"/>
      <w:ind w:left="440"/>
    </w:pPr>
  </w:style>
  <w:style w:type="character" w:styleId="a8">
    <w:name w:val="Hyperlink"/>
    <w:uiPriority w:val="99"/>
    <w:unhideWhenUsed/>
    <w:rsid w:val="006A2A06"/>
    <w:rPr>
      <w:rFonts w:cs="Times New Roman"/>
      <w:color w:val="0000FF"/>
      <w:u w:val="single"/>
    </w:rPr>
  </w:style>
  <w:style w:type="paragraph" w:styleId="a9">
    <w:name w:val="Balloon Text"/>
    <w:basedOn w:val="a"/>
    <w:link w:val="aa"/>
    <w:uiPriority w:val="99"/>
    <w:semiHidden/>
    <w:unhideWhenUsed/>
    <w:rsid w:val="006A2A06"/>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6A2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DE890-58B6-4F67-B761-32CF228C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4327</Words>
  <Characters>24670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2</cp:revision>
  <cp:lastPrinted>2010-12-23T17:43:00Z</cp:lastPrinted>
  <dcterms:created xsi:type="dcterms:W3CDTF">2014-03-15T13:59:00Z</dcterms:created>
  <dcterms:modified xsi:type="dcterms:W3CDTF">2014-03-15T13:59:00Z</dcterms:modified>
</cp:coreProperties>
</file>