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B1" w:rsidRPr="00353F9F" w:rsidRDefault="00BF7EB1" w:rsidP="00353F9F">
      <w:pPr>
        <w:pStyle w:val="1"/>
        <w:keepNext w:val="0"/>
        <w:spacing w:before="0" w:after="0" w:line="360" w:lineRule="auto"/>
        <w:rPr>
          <w:rFonts w:ascii="Times New Roman" w:hAnsi="Times New Roman"/>
          <w:iCs/>
          <w:color w:val="000000"/>
          <w:sz w:val="28"/>
          <w:lang w:val="ru-RU"/>
        </w:rPr>
      </w:pPr>
      <w:r w:rsidRPr="00353F9F">
        <w:rPr>
          <w:rFonts w:ascii="Times New Roman" w:hAnsi="Times New Roman"/>
          <w:iCs/>
          <w:color w:val="000000"/>
          <w:sz w:val="28"/>
          <w:lang w:val="ru-RU"/>
        </w:rPr>
        <w:t>Кафедра управления</w:t>
      </w: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pStyle w:val="2"/>
        <w:keepNext w:val="0"/>
        <w:spacing w:before="0" w:after="0" w:line="360" w:lineRule="auto"/>
        <w:rPr>
          <w:rFonts w:ascii="Times New Roman" w:hAnsi="Times New Roman"/>
          <w:color w:val="000000"/>
          <w:szCs w:val="28"/>
          <w:lang w:val="ru-RU"/>
        </w:rPr>
      </w:pPr>
      <w:r w:rsidRPr="00353F9F">
        <w:rPr>
          <w:rFonts w:ascii="Times New Roman" w:hAnsi="Times New Roman"/>
          <w:color w:val="000000"/>
          <w:szCs w:val="28"/>
          <w:lang w:val="ru-RU"/>
        </w:rPr>
        <w:t>Контрольная работа</w:t>
      </w: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620E0" w:rsidRPr="00353F9F" w:rsidRDefault="00F41E7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По </w:t>
      </w:r>
      <w:r w:rsidR="008620E0" w:rsidRPr="00353F9F">
        <w:rPr>
          <w:color w:val="000000"/>
          <w:sz w:val="28"/>
          <w:szCs w:val="28"/>
        </w:rPr>
        <w:t>дисциплине:</w:t>
      </w:r>
    </w:p>
    <w:p w:rsidR="008620E0" w:rsidRPr="00353F9F" w:rsidRDefault="008620E0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«Инновационный менеджмент»</w:t>
      </w:r>
    </w:p>
    <w:p w:rsidR="00BF7EB1" w:rsidRPr="00353F9F" w:rsidRDefault="00BF7EB1" w:rsidP="00353F9F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353F9F" w:rsidRPr="00353F9F" w:rsidRDefault="00353F9F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58B8" w:rsidRPr="00353F9F" w:rsidRDefault="00BF7EB1" w:rsidP="00F41E7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3F9F">
        <w:rPr>
          <w:color w:val="000000"/>
          <w:sz w:val="28"/>
        </w:rPr>
        <w:br w:type="page"/>
      </w:r>
      <w:r w:rsidRPr="00353F9F">
        <w:rPr>
          <w:b/>
          <w:color w:val="000000"/>
          <w:sz w:val="28"/>
          <w:szCs w:val="28"/>
        </w:rPr>
        <w:t>Содержание</w:t>
      </w:r>
    </w:p>
    <w:p w:rsidR="009B58B8" w:rsidRPr="00353F9F" w:rsidRDefault="009B58B8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EB1" w:rsidRPr="00353F9F" w:rsidRDefault="00BF7EB1" w:rsidP="00353F9F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1</w:t>
      </w:r>
      <w:r w:rsidR="00F41E71" w:rsidRPr="00353F9F">
        <w:rPr>
          <w:color w:val="000000"/>
          <w:sz w:val="28"/>
          <w:szCs w:val="28"/>
        </w:rPr>
        <w:t>. Оп</w:t>
      </w:r>
      <w:r w:rsidRPr="00353F9F">
        <w:rPr>
          <w:color w:val="000000"/>
          <w:sz w:val="28"/>
          <w:szCs w:val="28"/>
        </w:rPr>
        <w:t xml:space="preserve">исать циклы инновационного </w:t>
      </w:r>
      <w:r w:rsidR="00353F9F" w:rsidRPr="00353F9F">
        <w:rPr>
          <w:color w:val="000000"/>
          <w:sz w:val="28"/>
          <w:szCs w:val="28"/>
        </w:rPr>
        <w:t>процесса</w:t>
      </w:r>
    </w:p>
    <w:p w:rsidR="00BF7EB1" w:rsidRPr="00353F9F" w:rsidRDefault="00BF7EB1" w:rsidP="00353F9F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2. Методы стимулирования инновационной деятельности на производстве</w:t>
      </w:r>
    </w:p>
    <w:p w:rsidR="00BF7EB1" w:rsidRPr="00353F9F" w:rsidRDefault="00BF7EB1" w:rsidP="00353F9F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3</w:t>
      </w:r>
      <w:r w:rsidR="00F41E71" w:rsidRPr="00353F9F">
        <w:rPr>
          <w:color w:val="000000"/>
          <w:sz w:val="28"/>
          <w:szCs w:val="28"/>
        </w:rPr>
        <w:t>. По</w:t>
      </w:r>
      <w:r w:rsidRPr="00353F9F">
        <w:rPr>
          <w:color w:val="000000"/>
          <w:sz w:val="28"/>
          <w:szCs w:val="28"/>
        </w:rPr>
        <w:t>строение механизма управления НИОКР</w:t>
      </w:r>
    </w:p>
    <w:p w:rsidR="009B58B8" w:rsidRPr="00353F9F" w:rsidRDefault="009B58B8" w:rsidP="00353F9F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Список л</w:t>
      </w:r>
      <w:r w:rsidR="00353F9F">
        <w:rPr>
          <w:color w:val="000000"/>
          <w:sz w:val="28"/>
          <w:szCs w:val="28"/>
        </w:rPr>
        <w:t>и</w:t>
      </w:r>
      <w:r w:rsidRPr="00353F9F">
        <w:rPr>
          <w:color w:val="000000"/>
          <w:sz w:val="28"/>
          <w:szCs w:val="28"/>
        </w:rPr>
        <w:t>тератур</w:t>
      </w:r>
      <w:r w:rsidR="00353F9F">
        <w:rPr>
          <w:color w:val="000000"/>
          <w:sz w:val="28"/>
          <w:szCs w:val="28"/>
        </w:rPr>
        <w:t>ы</w:t>
      </w:r>
    </w:p>
    <w:p w:rsidR="009B58B8" w:rsidRDefault="009B58B8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F9F" w:rsidRPr="00353F9F" w:rsidRDefault="00353F9F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5B2" w:rsidRPr="00353F9F" w:rsidRDefault="009C4621" w:rsidP="00F41E7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3F9F">
        <w:rPr>
          <w:b/>
          <w:color w:val="000000"/>
          <w:sz w:val="28"/>
          <w:szCs w:val="28"/>
        </w:rPr>
        <w:br w:type="page"/>
        <w:t>1</w:t>
      </w:r>
      <w:r w:rsidR="00F41E71" w:rsidRPr="00353F9F">
        <w:rPr>
          <w:b/>
          <w:color w:val="000000"/>
          <w:sz w:val="28"/>
          <w:szCs w:val="28"/>
        </w:rPr>
        <w:t>. Оп</w:t>
      </w:r>
      <w:r w:rsidR="008E45B2" w:rsidRPr="00353F9F">
        <w:rPr>
          <w:b/>
          <w:color w:val="000000"/>
          <w:sz w:val="28"/>
          <w:szCs w:val="28"/>
        </w:rPr>
        <w:t>и</w:t>
      </w:r>
      <w:r w:rsidR="00C43C20" w:rsidRPr="00353F9F">
        <w:rPr>
          <w:b/>
          <w:color w:val="000000"/>
          <w:sz w:val="28"/>
          <w:szCs w:val="28"/>
        </w:rPr>
        <w:t>сать циклы</w:t>
      </w:r>
      <w:r w:rsidR="008E45B2" w:rsidRPr="00353F9F">
        <w:rPr>
          <w:b/>
          <w:color w:val="000000"/>
          <w:sz w:val="28"/>
          <w:szCs w:val="28"/>
        </w:rPr>
        <w:t xml:space="preserve"> </w:t>
      </w:r>
      <w:r w:rsidR="00C43C20" w:rsidRPr="00353F9F">
        <w:rPr>
          <w:b/>
          <w:color w:val="000000"/>
          <w:sz w:val="28"/>
          <w:szCs w:val="28"/>
        </w:rPr>
        <w:t>и</w:t>
      </w:r>
      <w:r w:rsidR="008E45B2" w:rsidRPr="00353F9F">
        <w:rPr>
          <w:b/>
          <w:color w:val="000000"/>
          <w:sz w:val="28"/>
          <w:szCs w:val="28"/>
        </w:rPr>
        <w:t>нновац</w:t>
      </w:r>
      <w:r w:rsidR="00C43C20" w:rsidRPr="00353F9F">
        <w:rPr>
          <w:b/>
          <w:color w:val="000000"/>
          <w:sz w:val="28"/>
          <w:szCs w:val="28"/>
        </w:rPr>
        <w:t>ион</w:t>
      </w:r>
      <w:r w:rsidR="008E45B2" w:rsidRPr="00353F9F">
        <w:rPr>
          <w:b/>
          <w:color w:val="000000"/>
          <w:sz w:val="28"/>
          <w:szCs w:val="28"/>
        </w:rPr>
        <w:t>ного проце</w:t>
      </w:r>
      <w:r w:rsidR="00353F9F">
        <w:rPr>
          <w:b/>
          <w:color w:val="000000"/>
          <w:sz w:val="28"/>
          <w:szCs w:val="28"/>
        </w:rPr>
        <w:t>с</w:t>
      </w:r>
      <w:r w:rsidR="008E45B2" w:rsidRPr="00353F9F">
        <w:rPr>
          <w:b/>
          <w:color w:val="000000"/>
          <w:sz w:val="28"/>
          <w:szCs w:val="28"/>
        </w:rPr>
        <w:t>с</w:t>
      </w:r>
      <w:r w:rsidR="00C43C20" w:rsidRPr="00353F9F">
        <w:rPr>
          <w:b/>
          <w:color w:val="000000"/>
          <w:sz w:val="28"/>
          <w:szCs w:val="28"/>
        </w:rPr>
        <w:t>а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Исследования долгосрочных тенденций мирового и отечественного технико-экономического развития показали, что динамика воспроизводственных процессов, сопровождающаяся изменением структур национальных экономик и сдвигами в международном разделении труда, основывается на циклических колебаниях экономики, напрямую связанных с научно-техническим прогрессом и с инновационными преобразованиями. Именно циклическая концепция инновационного развития приводит к пониманию научно-технического прогресса как важнейшего пути совершенствования производительных сил, с одной стороны, и как инновационного цикла, осуществляемого через реализацию всех стадий с выходом новшества на рынок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с другой.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 основе концепции циклов жизни инновационных процессов, продуктов и систем возможна временная, ресурсная и организационная синхронизация всех процессов и стадий производства. Для постадийного и поэтапного изучения инновационных процессов характерна локальная, разорванная во времени информация, в то время как жизнециклический подход рассматривает процесс создания и освоения новшеств как динамически синхронизированную систему.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Инновационная деятельность состоит из ряда мероприятий, объединенных в одну логическую цепь. Каждое звено этой цепи (каждая стадия инновационного цикла) подчинено своей логике развития, имеет свои закономерности и особенности. Соединяясь воедино, научные изыскания, опытно-конструкторские и технологические разработки, инвестиционно-финансовые, маркетинговые мероприятия, производственные мощности и организационные структуры подчинены одной главной цели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созданию новшества.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Зародившись в недрах маркетинговых исследований, жизненные циклы товаров, спроса и технологий за короткое время заняли доминирующее положение в изучении экономических объектов, процессов и систем. Так, значительное развитие получили концепции жизненных циклов организации, отраслей промышленного производства, строительных конструкций, машин и механизмов.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Для изучения инновационной деятельности наибольшее значение имеют жизненные циклы нового товара, новой техники и технологии и инновационных организаций как открытых систем.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Наиболее плодотворной современной идеей жизненных циклов является концепция больших технологических систем, включающая эволюцию и преобразование технологий как экономических объектов. Так, исследование жизненных циклов больших технологических систем приводит к теории поколений техники и технологии, развивающихся в рамках как традиционной, так и новой технологической парадигмы.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Развитие технологических систем реализуется по двум направлениям: совершенствование базовых и создание принципиально новых технологий. По мере улучшения и модернизации технологий, их перехода в стадию зрелости и насыщения рынка данным товаром дальнейшее технологическое развитие в рамках старой парадигмы делается невыгодным, падает объем продаж и прибыль. В недрах сложившихся технологических укладов возникают принципиально новые решения, </w:t>
      </w:r>
      <w:r w:rsidR="00F41E71" w:rsidRPr="00353F9F">
        <w:rPr>
          <w:color w:val="000000"/>
          <w:sz w:val="28"/>
          <w:szCs w:val="28"/>
        </w:rPr>
        <w:t>«п</w:t>
      </w:r>
      <w:r w:rsidRPr="00353F9F">
        <w:rPr>
          <w:color w:val="000000"/>
          <w:sz w:val="28"/>
          <w:szCs w:val="28"/>
        </w:rPr>
        <w:t>рорывные</w:t>
      </w:r>
      <w:r w:rsidR="00F41E71" w:rsidRPr="00353F9F">
        <w:rPr>
          <w:color w:val="000000"/>
          <w:sz w:val="28"/>
          <w:szCs w:val="28"/>
        </w:rPr>
        <w:t xml:space="preserve">» </w:t>
      </w:r>
      <w:r w:rsidRPr="00353F9F">
        <w:rPr>
          <w:color w:val="000000"/>
          <w:sz w:val="28"/>
          <w:szCs w:val="28"/>
        </w:rPr>
        <w:t>технологии, что закладывает основу новых технологических укладов, производств и отраслей.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Жизненные циклы всех экономических объектов, процессов и систем имеют одну и ту же теоретическую базу: любой жизненный цикл начинается с зарождения, проходит стадии роста, зрелости, увядания и упадка.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Типовой жизненный цикл товара представлен на рис.</w:t>
      </w:r>
      <w:r w:rsidR="00F41E71" w:rsidRPr="00353F9F">
        <w:rPr>
          <w:color w:val="000000"/>
          <w:sz w:val="28"/>
          <w:szCs w:val="28"/>
        </w:rPr>
        <w:t> 1</w:t>
      </w:r>
      <w:r w:rsidRPr="00353F9F">
        <w:rPr>
          <w:color w:val="000000"/>
          <w:sz w:val="28"/>
          <w:szCs w:val="28"/>
        </w:rPr>
        <w:t>. Аналогичную динамику и структуру жизненного цикла имеют многочисленные объекты инновационного менеджмента: инновационные предприятия, новая техника и технология, новые товары и услуги.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Достоинства жизнециклической концепции инноваций проявляются в том, что она обеспечивает: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учет временного фактора,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выявление центральной тенденции процесса,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наглядность динамики превращений,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логику развертывания процесса,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наглядность и прозрачность материальных, информационных и финансовых потоков,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возможность математического моделирования стадий и процессов,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возможность применения альтернативных методов прогнозирования,</w:t>
      </w:r>
    </w:p>
    <w:p w:rsidR="00CE27F7" w:rsidRPr="00353F9F" w:rsidRDefault="00CE27F7" w:rsidP="00F41E71">
      <w:pPr>
        <w:widowControl/>
        <w:numPr>
          <w:ilvl w:val="0"/>
          <w:numId w:val="2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выявление взаимосвязей различных экономических объектов типа товар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техника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технология, новый товар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спрос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технология, факторы производства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конкурентные преимущества фирмы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развитие фирмы.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7F7" w:rsidRPr="00353F9F" w:rsidRDefault="008C4B8B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17.75pt">
            <v:imagedata r:id="rId7" o:title=""/>
          </v:shape>
        </w:pic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I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стадия зарождения и начала роста; II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быстрый рост; III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замедление роста, зрелость;</w:t>
      </w:r>
      <w:r w:rsidR="007B3627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 xml:space="preserve">IV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 xml:space="preserve">стабилизация; V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увядание, старение, упадок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Рис.</w:t>
      </w:r>
      <w:r w:rsidR="00F41E71" w:rsidRPr="00353F9F">
        <w:rPr>
          <w:color w:val="000000"/>
          <w:sz w:val="28"/>
          <w:szCs w:val="28"/>
        </w:rPr>
        <w:t> 1</w:t>
      </w:r>
      <w:r w:rsidR="009C4621" w:rsidRPr="00353F9F">
        <w:rPr>
          <w:color w:val="000000"/>
          <w:sz w:val="28"/>
          <w:szCs w:val="28"/>
        </w:rPr>
        <w:t>. Жизненный цикл товара-новинки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Одним из наиболее важных преимуществ жизнециклической концепции в инновационном менеджменте является создание математических моделей жизненных циклов.</w:t>
      </w:r>
      <w:r w:rsid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Наиболее результативные возможности для принятия оптимальных решений инновационный менеджер получает на основании анализа и детального изучения жизненного цикла организации как открытой системы.</w:t>
      </w:r>
      <w:r w:rsid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Жизнециклическая концепция организации демонстрирует особое значение основных исходных принципов концепции, которые требуют изучения экономических объектов и систем с позиций их саморазвития и совершенствования. Этим объясняется тесная связь циклических подходов с системным анализом, на основании чего в процесс управления инновационной деятельностью становится возможным внести систематичность, комплексность и завершенность.</w: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 инновационной деятельности экономические объекты и системы, такие, как предприятие, организация, техника и технология, товары и услуги, рассматриваются в иерархической соподчиненное™ и взаимодействии, как целостная совокупность средств и способов, направленных на непрерывное обновление. Иначе говоря, инновационные процессы различного масштаба и уровня составляют основу развития экономических систем.</w:t>
      </w:r>
    </w:p>
    <w:p w:rsidR="003D1F28" w:rsidRPr="00353F9F" w:rsidRDefault="003D1F28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27F7" w:rsidRPr="00353F9F" w:rsidRDefault="008C4B8B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37.75pt;height:268.5pt">
            <v:imagedata r:id="rId8" o:title=""/>
          </v:shape>
        </w:pict>
      </w:r>
    </w:p>
    <w:p w:rsidR="00CE27F7" w:rsidRPr="00353F9F" w:rsidRDefault="00CE27F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Рис.</w:t>
      </w:r>
      <w:r w:rsidR="00F41E71" w:rsidRPr="00353F9F">
        <w:rPr>
          <w:color w:val="000000"/>
          <w:sz w:val="28"/>
          <w:szCs w:val="28"/>
        </w:rPr>
        <w:t> 2</w:t>
      </w:r>
      <w:r w:rsidRPr="00353F9F">
        <w:rPr>
          <w:color w:val="000000"/>
          <w:sz w:val="28"/>
          <w:szCs w:val="28"/>
        </w:rPr>
        <w:t>. Обобщенная схема жизненного цикла инноваций</w:t>
      </w:r>
    </w:p>
    <w:p w:rsidR="003D1F28" w:rsidRPr="00353F9F" w:rsidRDefault="00353F9F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1F28" w:rsidRPr="00353F9F">
        <w:rPr>
          <w:color w:val="000000"/>
          <w:sz w:val="28"/>
          <w:szCs w:val="28"/>
        </w:rPr>
        <w:t>Исследование особенностей инновационных процессов, протекающих в различных производственных, научно-технических, организационных, креативных и социальных системах, лежит в основе повышения результативности инновационного менеджмента.</w:t>
      </w:r>
    </w:p>
    <w:p w:rsidR="003D1F28" w:rsidRPr="00353F9F" w:rsidRDefault="003D1F28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 инновационном процессе как динамической системе следует выделить подсистемы создания, производства и потребления новшества. Этап создания новшества требует не только рождения новой идеи, новых знаний, но и применения нового оборудования, новой технологии, новых материалов для производственного воплощения идеи в опытный образец. Нововведение проходит этап научно-технического воплощения, которое является результатом инженерных предложений, лабораторных испытаний, создания конструкторской документации, изготовления опытных образцов и технологической подготовки производства. Реальный эффект от нововведения проявляется лишь в результате его распространения, диффузии и коммерциализации в условиях рынка. Обобщенная схема жизненного цикла инноваций представлена на рис.</w:t>
      </w:r>
      <w:r w:rsidR="00F41E71" w:rsidRPr="00353F9F">
        <w:rPr>
          <w:color w:val="000000"/>
          <w:sz w:val="28"/>
          <w:szCs w:val="28"/>
        </w:rPr>
        <w:t> 2</w:t>
      </w:r>
      <w:r w:rsidRPr="00353F9F">
        <w:rPr>
          <w:color w:val="000000"/>
          <w:sz w:val="28"/>
          <w:szCs w:val="28"/>
        </w:rPr>
        <w:t>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3F9F">
        <w:rPr>
          <w:b/>
          <w:color w:val="000000"/>
          <w:sz w:val="28"/>
          <w:szCs w:val="28"/>
        </w:rPr>
        <w:t xml:space="preserve">2. </w:t>
      </w:r>
      <w:r w:rsidR="00C43C20" w:rsidRPr="00353F9F">
        <w:rPr>
          <w:b/>
          <w:color w:val="000000"/>
          <w:sz w:val="28"/>
          <w:szCs w:val="28"/>
        </w:rPr>
        <w:t>Методы с</w:t>
      </w:r>
      <w:r w:rsidRPr="00353F9F">
        <w:rPr>
          <w:b/>
          <w:color w:val="000000"/>
          <w:sz w:val="28"/>
          <w:szCs w:val="28"/>
        </w:rPr>
        <w:t>тимулировани</w:t>
      </w:r>
      <w:r w:rsidR="00C43C20" w:rsidRPr="00353F9F">
        <w:rPr>
          <w:b/>
          <w:color w:val="000000"/>
          <w:sz w:val="28"/>
          <w:szCs w:val="28"/>
        </w:rPr>
        <w:t>я</w:t>
      </w:r>
      <w:r w:rsidRPr="00353F9F">
        <w:rPr>
          <w:b/>
          <w:color w:val="000000"/>
          <w:sz w:val="28"/>
          <w:szCs w:val="28"/>
        </w:rPr>
        <w:t xml:space="preserve"> инноваци</w:t>
      </w:r>
      <w:r w:rsidR="00C43C20" w:rsidRPr="00353F9F">
        <w:rPr>
          <w:b/>
          <w:color w:val="000000"/>
          <w:sz w:val="28"/>
          <w:szCs w:val="28"/>
        </w:rPr>
        <w:t>онной деятельности на</w:t>
      </w:r>
      <w:r w:rsidRPr="00353F9F">
        <w:rPr>
          <w:b/>
          <w:color w:val="000000"/>
          <w:sz w:val="28"/>
          <w:szCs w:val="28"/>
        </w:rPr>
        <w:t xml:space="preserve"> производстве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Стимулирование применения инноваций в производстве связано с проблемой правильного их выбора. Сложность отбора для внедрения в производство того или иного предлагаемого наукой и техникой решения заключается прежде всего в разнообразии возможного воздействия каждого из этих решений на производство. Разнообразие определяется тем, что различные внедряемые в производство технические или технологические нововведения даже при условии, что они приносят одинаковый производственный эффект, обладают неодинаковой экономической эффективностью, так как по-разному влияют на, изменения в производственном аппарате и используемых материалах, на организацию производства. Актуальность проблемы выбора объекта нововведения состоит в том, что правильный первоначальный выбор предопределяет весь ход последующей инновационной деятельности и делает развитие производства необратимым.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Научная деятельность традиционно считается сферой активной государственной политики. Дело в том, что научные идеи не могут быть непосредственно использованы в хозяйственной деятельности, целью которой является прибыль. Поэтому организации и компании весьма сдержанно идут на прямое финансирование исследований, хотя испытывают большую потребность в их результатах. В современных условиях государство во многом берет на себя функцию обеспечения бизнеса одним из важнейших ресурсов инновационного процесса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научными знаниями и идеями. Именно поэтому НТП в официальных документах ведущих стран рассматривается как единая цепь: научные идеи и разработки</w:t>
      </w:r>
      <w:r w:rsidR="00353F9F">
        <w:rPr>
          <w:color w:val="000000"/>
          <w:sz w:val="28"/>
          <w:szCs w:val="28"/>
        </w:rPr>
        <w:t xml:space="preserve"> </w:t>
      </w:r>
      <w:r w:rsidR="00F41E71" w:rsidRPr="00353F9F">
        <w:rPr>
          <w:color w:val="000000"/>
          <w:sz w:val="28"/>
          <w:szCs w:val="28"/>
        </w:rPr>
        <w:t>–</w:t>
      </w:r>
      <w:r w:rsid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инновационный бизнес</w:t>
      </w:r>
      <w:r w:rsidR="00353F9F">
        <w:rPr>
          <w:color w:val="000000"/>
          <w:sz w:val="28"/>
          <w:szCs w:val="28"/>
        </w:rPr>
        <w:t xml:space="preserve"> </w:t>
      </w:r>
      <w:r w:rsidR="00F41E71" w:rsidRPr="00353F9F">
        <w:rPr>
          <w:color w:val="000000"/>
          <w:sz w:val="28"/>
          <w:szCs w:val="28"/>
        </w:rPr>
        <w:t>–</w:t>
      </w:r>
      <w:r w:rsid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широкомасштабное использование.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Государство призвано формировать цели и принципы своей политики и собственные приоритеты в этой области. Целями научной и инновационной политики ведущих стран мира, как правило, являются увеличение вклада науки и техники в развитие экономики страны; обеспечение прогрессивных преобразований в сфере материального производства; повышение конкурентоспособности национального продукта на мировом рынке; укрепление безопасности и обороноспособности страны; улучшение экологической обстановки; сохранение и развитие сложившихся научных школ.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Государство одновременно разрабатывает и принципы, на основании которых будет проводиться политика в науке и инновационной сфере, а также механизм реализации этой политики. Эти принципы зависят от сложившейся хозяйственной системы страны, глубины воздействия государственных институтов на экономическую деятельность.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Государство осуществляет политику поддержки инновационной деятельности. Поддержка инновационной деятельности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система мер, осуществляемых органами государственной власти Российской Федерации, ее субъектов, органами местного самоуправления, направленных на поддержку развити</w:t>
      </w:r>
      <w:r w:rsidR="00F64E55" w:rsidRPr="00353F9F">
        <w:rPr>
          <w:color w:val="000000"/>
          <w:sz w:val="28"/>
          <w:szCs w:val="28"/>
        </w:rPr>
        <w:t xml:space="preserve">я инновационной деятельности. </w:t>
      </w:r>
      <w:r w:rsidRPr="00353F9F">
        <w:rPr>
          <w:color w:val="000000"/>
          <w:sz w:val="28"/>
          <w:szCs w:val="28"/>
        </w:rPr>
        <w:t>Государственная инновационная политика направлена на стимулирование создания благоприятного климата для инновационных процессов и является связующим звеном между сферой НТД и производством.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Функции государства по поддержке инновационной деятельности:</w:t>
      </w:r>
    </w:p>
    <w:p w:rsidR="00576C27" w:rsidRPr="00353F9F" w:rsidRDefault="00576C27" w:rsidP="00F41E71">
      <w:pPr>
        <w:widowControl/>
        <w:numPr>
          <w:ilvl w:val="0"/>
          <w:numId w:val="3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содействие развитию науки, в том числе прикладной, подготовке научных кадров и малого инновационного предпринимательства;</w:t>
      </w:r>
    </w:p>
    <w:p w:rsidR="00576C27" w:rsidRPr="00353F9F" w:rsidRDefault="00576C27" w:rsidP="00F41E71">
      <w:pPr>
        <w:widowControl/>
        <w:numPr>
          <w:ilvl w:val="0"/>
          <w:numId w:val="3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создание программ, направленных на повышение инновационной активности в сфере производства;</w:t>
      </w:r>
    </w:p>
    <w:p w:rsidR="00576C27" w:rsidRPr="00353F9F" w:rsidRDefault="00576C27" w:rsidP="00F41E71">
      <w:pPr>
        <w:widowControl/>
        <w:numPr>
          <w:ilvl w:val="0"/>
          <w:numId w:val="3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формирование государственных заказов на НИОКР, обеспечивающих начальный спрос на инновации, которые затем получают распространение в экономике;</w:t>
      </w:r>
    </w:p>
    <w:p w:rsidR="00576C27" w:rsidRPr="00353F9F" w:rsidRDefault="00576C27" w:rsidP="00F41E71">
      <w:pPr>
        <w:widowControl/>
        <w:numPr>
          <w:ilvl w:val="0"/>
          <w:numId w:val="3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введение налоговых и прочих инструментов государственного регулирования, формирующих активное воздействие на эффективность инновационных решений;</w:t>
      </w:r>
    </w:p>
    <w:p w:rsidR="00576C27" w:rsidRPr="00353F9F" w:rsidRDefault="00576C27" w:rsidP="00F41E71">
      <w:pPr>
        <w:widowControl/>
        <w:numPr>
          <w:ilvl w:val="0"/>
          <w:numId w:val="3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посредничество во взаимодействии академической, вузовской и прикладной науки, стимулирующее кооперацию в области НИОКР.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 рынках высоких технологий спрос на научную продукцию определяется прежде всего принципиальной новизной НИОКР и ее патентной защищенностью. Цена разработки соподчинена ее качеству.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Государственная научно-техническая политика не может и не должна ограничиваться лишь финансовой поддержкой научно-технических программ и предоставлением различных льгот хозяйствующим субъектам, которые осуществляют инновационную деятельность. Государство обязано выполнять (посредством своих полномочных исполнительных органов, прежде всего инновационных научно-технических фондов) функции экономической (коммерческой) реализации научно-технических новшеств, выступать основным инвестором интеллектуального капитала, субъектом присвоения экономических эффектов НТП.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Основные направления поддержки государственной инновационной политики:</w:t>
      </w:r>
    </w:p>
    <w:p w:rsidR="00576C27" w:rsidRPr="00353F9F" w:rsidRDefault="00576C27" w:rsidP="00F41E71">
      <w:pPr>
        <w:widowControl/>
        <w:numPr>
          <w:ilvl w:val="0"/>
          <w:numId w:val="4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содействие повышению инновационной активности, обеспечивающей рост конкурентоспособности отечественной продукции на основе освоения научно-технических достижений и обновление производства;</w:t>
      </w:r>
    </w:p>
    <w:p w:rsidR="00576C27" w:rsidRPr="00353F9F" w:rsidRDefault="00576C27" w:rsidP="00F41E71">
      <w:pPr>
        <w:widowControl/>
        <w:numPr>
          <w:ilvl w:val="0"/>
          <w:numId w:val="4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ориентация на всемерную поддержку базисных и улучшающих инноваций, составляющих основу современного технологического уклада;</w:t>
      </w:r>
    </w:p>
    <w:p w:rsidR="00576C27" w:rsidRPr="00353F9F" w:rsidRDefault="00576C27" w:rsidP="00F41E71">
      <w:pPr>
        <w:widowControl/>
        <w:numPr>
          <w:ilvl w:val="0"/>
          <w:numId w:val="4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сочетание государственного регулирования инновационной деятельности с эффективным функционированием</w:t>
      </w:r>
      <w:r w:rsidR="007B3627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конкурентного рыночного инновационного механизма, защитой интеллектуальной собственности;</w:t>
      </w:r>
    </w:p>
    <w:p w:rsidR="00576C27" w:rsidRPr="00353F9F" w:rsidRDefault="00576C27" w:rsidP="00F41E71">
      <w:pPr>
        <w:widowControl/>
        <w:numPr>
          <w:ilvl w:val="0"/>
          <w:numId w:val="4"/>
        </w:numPr>
        <w:tabs>
          <w:tab w:val="clear" w:pos="1571"/>
          <w:tab w:val="num" w:pos="70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содействие развитию инновационной деятельности в регионах России, межрегиональному и международному трансферту технологий, международному инвестиционному сотрудничеству, защита интересов национального инновационного предпринимательства.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Бюджетная политика государства должна быть ориентирована исключительно на поддержку базисных инноваций. При ее осуществлении требуется институт независимой экспертизы. Необходимо сместить акценты на приоритетах бюджетной политики в пользу экспортоориентированных предприятий, внедряющих базисные инновации, а также предприятий, осваивающих экологически щадящие технологии.</w:t>
      </w:r>
    </w:p>
    <w:p w:rsidR="00576C27" w:rsidRPr="00353F9F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К основным принципам государственной политики в научной и инновационной деятельности относятся: свобода научного и научно-технического творчества; правовая охрана интеллектуальной собственности; интеграция научной, научно-технической деятельности и образования; поддержка конкуренции в сферах науки и техники; концентрация ресурсов на приоритетных направлениях научного развития; стимулирование деловой активности в научной, научно-технической и инновационной деятельности; развитие международного научного сотрудничества.</w:t>
      </w:r>
    </w:p>
    <w:p w:rsidR="00576C27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На </w:t>
      </w:r>
      <w:r w:rsidR="00F41E71" w:rsidRPr="00353F9F">
        <w:rPr>
          <w:color w:val="000000"/>
          <w:sz w:val="28"/>
          <w:szCs w:val="28"/>
        </w:rPr>
        <w:t>рис. 3</w:t>
      </w:r>
      <w:r w:rsidR="00576C27" w:rsidRPr="00353F9F">
        <w:rPr>
          <w:color w:val="000000"/>
          <w:sz w:val="28"/>
          <w:szCs w:val="28"/>
        </w:rPr>
        <w:t xml:space="preserve"> представлены основные формы государственной поддержки научной и инновационной деятельности в развитых странах мира. По уровню и формам поддержки в мировой практике принято выделять государственные стратегии активного вмешательства, децентрализованного</w:t>
      </w:r>
      <w:r w:rsidRPr="00353F9F">
        <w:rPr>
          <w:color w:val="000000"/>
          <w:sz w:val="28"/>
          <w:szCs w:val="28"/>
        </w:rPr>
        <w:t xml:space="preserve"> регулирования и смешанные</w:t>
      </w:r>
      <w:r w:rsidR="00576C27" w:rsidRPr="00353F9F">
        <w:rPr>
          <w:color w:val="000000"/>
          <w:sz w:val="28"/>
          <w:szCs w:val="28"/>
        </w:rPr>
        <w:t>.</w:t>
      </w:r>
    </w:p>
    <w:p w:rsidR="00576C27" w:rsidRDefault="00576C27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Социальная, политическая и экономическая ситуация в стране требует разработки </w:t>
      </w:r>
      <w:r w:rsidR="00C43C20" w:rsidRPr="00353F9F">
        <w:rPr>
          <w:color w:val="000000"/>
          <w:sz w:val="28"/>
          <w:szCs w:val="28"/>
        </w:rPr>
        <w:t>государственного</w:t>
      </w:r>
      <w:r w:rsidRPr="00353F9F">
        <w:rPr>
          <w:color w:val="000000"/>
          <w:sz w:val="28"/>
          <w:szCs w:val="28"/>
        </w:rPr>
        <w:t xml:space="preserve"> закона, направленного на развитие инновационной деятельности. В</w:t>
      </w:r>
      <w:r w:rsidR="00C43C20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 xml:space="preserve">настоящее время разработано несколько </w:t>
      </w:r>
      <w:r w:rsidR="00C43C20" w:rsidRPr="00353F9F">
        <w:rPr>
          <w:color w:val="000000"/>
          <w:sz w:val="28"/>
          <w:szCs w:val="28"/>
        </w:rPr>
        <w:t>проектов такого закона</w:t>
      </w:r>
      <w:r w:rsidRPr="00353F9F">
        <w:rPr>
          <w:color w:val="000000"/>
          <w:sz w:val="28"/>
          <w:szCs w:val="28"/>
        </w:rPr>
        <w:t>. Необходима</w:t>
      </w:r>
      <w:r w:rsidR="00C43C20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также корректировка и совершенствование всей нормативно-правовой базы науки и</w:t>
      </w:r>
      <w:r w:rsidR="00C43C20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образования. Разработанная правовая база может действовать только при условии ее</w:t>
      </w:r>
      <w:r w:rsidR="00C43C20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успешной реализации на уровне региона, для чего необходимо разработать в каждом</w:t>
      </w:r>
      <w:r w:rsidR="00C43C20" w:rsidRPr="00353F9F">
        <w:rPr>
          <w:color w:val="000000"/>
          <w:sz w:val="28"/>
          <w:szCs w:val="28"/>
        </w:rPr>
        <w:t xml:space="preserve"> </w:t>
      </w:r>
      <w:r w:rsidRPr="00353F9F">
        <w:rPr>
          <w:color w:val="000000"/>
          <w:sz w:val="28"/>
          <w:szCs w:val="28"/>
        </w:rPr>
        <w:t>регионе аналогичные законы.</w:t>
      </w:r>
    </w:p>
    <w:p w:rsidR="00353F9F" w:rsidRPr="00353F9F" w:rsidRDefault="00353F9F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6C27" w:rsidRPr="00353F9F" w:rsidRDefault="008C4B8B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40.5pt;height:283.5pt">
            <v:imagedata r:id="rId9" o:title=""/>
          </v:shape>
        </w:pict>
      </w:r>
    </w:p>
    <w:p w:rsidR="00576C27" w:rsidRPr="00353F9F" w:rsidRDefault="00F41E71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Рис. 3</w:t>
      </w:r>
      <w:r w:rsidR="00576C27" w:rsidRPr="00353F9F">
        <w:rPr>
          <w:color w:val="000000"/>
          <w:sz w:val="28"/>
          <w:szCs w:val="28"/>
        </w:rPr>
        <w:t>. Формы государственной поддержки научной и инновационной деятельности</w:t>
      </w:r>
    </w:p>
    <w:p w:rsidR="00576C27" w:rsidRPr="00353F9F" w:rsidRDefault="00353F9F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76C27" w:rsidRPr="00353F9F">
        <w:rPr>
          <w:color w:val="000000"/>
          <w:sz w:val="28"/>
          <w:szCs w:val="28"/>
        </w:rPr>
        <w:t xml:space="preserve">В условиях перехода к рынку, сопровождаемого экономическим кризисом, политика государственного регулирования должна быть подчинена задачам сохранения накопленного научно-технического потенциала и его мобилизации для осуществления структурной перестройки. В общей системе экономических отношений инновационной деятельности принадлежит ключевое место, поскольку ее конечными результатами </w:t>
      </w:r>
      <w:r w:rsidR="00F41E71" w:rsidRPr="00353F9F">
        <w:rPr>
          <w:color w:val="000000"/>
          <w:sz w:val="28"/>
          <w:szCs w:val="28"/>
        </w:rPr>
        <w:t xml:space="preserve">– </w:t>
      </w:r>
      <w:r w:rsidR="00576C27" w:rsidRPr="00353F9F">
        <w:rPr>
          <w:color w:val="000000"/>
          <w:sz w:val="28"/>
          <w:szCs w:val="28"/>
        </w:rPr>
        <w:t xml:space="preserve">повышением эффективности производства, ростом объемов выпуска наукоемкой продукции </w:t>
      </w:r>
      <w:r w:rsidR="00F41E71" w:rsidRPr="00353F9F">
        <w:rPr>
          <w:color w:val="000000"/>
          <w:sz w:val="28"/>
          <w:szCs w:val="28"/>
        </w:rPr>
        <w:t xml:space="preserve">– </w:t>
      </w:r>
      <w:r w:rsidR="00576C27" w:rsidRPr="00353F9F">
        <w:rPr>
          <w:color w:val="000000"/>
          <w:sz w:val="28"/>
          <w:szCs w:val="28"/>
        </w:rPr>
        <w:t>определяется в современных условиях экономическая мощь страны.</w:t>
      </w:r>
    </w:p>
    <w:p w:rsidR="009A52EE" w:rsidRPr="00353F9F" w:rsidRDefault="009A52EE" w:rsidP="00F41E7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43C20" w:rsidRPr="00353F9F" w:rsidRDefault="009A52EE" w:rsidP="00F41E71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3F9F">
        <w:rPr>
          <w:b/>
          <w:color w:val="000000"/>
          <w:sz w:val="28"/>
          <w:szCs w:val="28"/>
        </w:rPr>
        <w:t>3</w:t>
      </w:r>
      <w:r w:rsidR="00F41E71" w:rsidRPr="00353F9F">
        <w:rPr>
          <w:b/>
          <w:color w:val="000000"/>
          <w:sz w:val="28"/>
          <w:szCs w:val="28"/>
        </w:rPr>
        <w:t>. По</w:t>
      </w:r>
      <w:r w:rsidR="00D53E4A" w:rsidRPr="00353F9F">
        <w:rPr>
          <w:b/>
          <w:color w:val="000000"/>
          <w:sz w:val="28"/>
          <w:szCs w:val="28"/>
        </w:rPr>
        <w:t>строение механизма у</w:t>
      </w:r>
      <w:r w:rsidR="00C43C20" w:rsidRPr="00353F9F">
        <w:rPr>
          <w:b/>
          <w:color w:val="000000"/>
          <w:sz w:val="28"/>
          <w:szCs w:val="28"/>
        </w:rPr>
        <w:t>правлени</w:t>
      </w:r>
      <w:r w:rsidR="00D53E4A" w:rsidRPr="00353F9F">
        <w:rPr>
          <w:b/>
          <w:color w:val="000000"/>
          <w:sz w:val="28"/>
          <w:szCs w:val="28"/>
        </w:rPr>
        <w:t>я</w:t>
      </w:r>
      <w:r w:rsidR="00C43C20" w:rsidRPr="00353F9F">
        <w:rPr>
          <w:b/>
          <w:color w:val="000000"/>
          <w:sz w:val="28"/>
          <w:szCs w:val="28"/>
        </w:rPr>
        <w:t xml:space="preserve"> НИОКР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Серьезные изменения характера экономического развития, необходимость поддержания конкурентоспособности российских товаров сделали расширение научных исследований и разработок в фирмах и промышленных компаниях острейшей необходимостью. Приспособление к новым условиям хозяйствования потребовало пересмотра многих сторон деятельности фирмы. В основу управления фирмой была положена политика технологического обновления инновационной стратегии и активизации разнообразных форм научных исследований и разработок. Возникла необходимость перестроить организационные структуры НИОКР, расширить спектр направлений исследований, повысить активность промышленных фирм в области фундаментальных исследований.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В индустриально развитых странах промышленные НИОКР за последние десятилетия XX</w:t>
      </w:r>
      <w:r w:rsidR="00F41E71" w:rsidRPr="00353F9F">
        <w:rPr>
          <w:color w:val="000000"/>
          <w:sz w:val="28"/>
          <w:szCs w:val="28"/>
        </w:rPr>
        <w:t> в</w:t>
      </w:r>
      <w:r w:rsidRPr="00353F9F">
        <w:rPr>
          <w:color w:val="000000"/>
          <w:sz w:val="28"/>
          <w:szCs w:val="28"/>
        </w:rPr>
        <w:t>. превратились в крупнейшую составляющую национального научного потенциала и в важнейший источник конкурентных преимуществ. В промышленных компаниях наука как главный и практически неисчерпаемый источник нововведений объединилась с конкретным потребителем новшеств. Необходимость активного расширения НИОКР в рамках промышленного сектора подтверждается тем фактом, что через производство и продажи продукции результаты научных исследований коммерциализируются и удовлетворяют реальные потребности общества.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Еще одной особенностью управления развитием НИОКР является опора на коллективную организацию работ, во главе которых стоит ученый-новатор и организатор.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Инновационная деятельность характеризуется высокой степенью неопределенности и риска, особенно при выполнении фундаментальных и прикладных исследований. При выборе проекта нововведений и принятии решений элемент риска также очень велик, он зависит от полноты информации, качества предлагаемого проекта, методов и подходов к принятию решений. Неопределенность будет наименьшей при серийном производстве нового товара</w:t>
      </w:r>
      <w:r w:rsidR="00D53E4A" w:rsidRPr="00353F9F">
        <w:rPr>
          <w:color w:val="000000"/>
          <w:sz w:val="28"/>
          <w:szCs w:val="28"/>
        </w:rPr>
        <w:t>.</w:t>
      </w:r>
      <w:r w:rsidRPr="00353F9F">
        <w:rPr>
          <w:color w:val="000000"/>
          <w:sz w:val="28"/>
          <w:szCs w:val="28"/>
        </w:rPr>
        <w:t xml:space="preserve"> Но п</w:t>
      </w:r>
      <w:r w:rsidR="00D53E4A" w:rsidRPr="00353F9F">
        <w:rPr>
          <w:color w:val="000000"/>
          <w:sz w:val="28"/>
          <w:szCs w:val="28"/>
        </w:rPr>
        <w:t>р</w:t>
      </w:r>
      <w:r w:rsidRPr="00353F9F">
        <w:rPr>
          <w:color w:val="000000"/>
          <w:sz w:val="28"/>
          <w:szCs w:val="28"/>
        </w:rPr>
        <w:t>и выходе новшества на рынок и диффузии нововведений элементы неопределенности и риска опять возрастают, уменьшаясь при стабильном объеме продаж и высокой конкурентоспособности новшества. Проследим особенности управления инновациями на разных стадиях их жизненного цикла.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Многие творческие идеи не являются результатом логически последовательного процесса нарастания знаний и традиционного образа мышления. Коммерческие новаторские организации всегда будут зависеть от спонтанных творческих актов. В обычной, традиционной деятельности предприятий </w:t>
      </w:r>
      <w:r w:rsidR="00F41E71" w:rsidRPr="00353F9F">
        <w:rPr>
          <w:color w:val="000000"/>
          <w:sz w:val="28"/>
          <w:szCs w:val="28"/>
        </w:rPr>
        <w:t>«м</w:t>
      </w:r>
      <w:r w:rsidRPr="00353F9F">
        <w:rPr>
          <w:color w:val="000000"/>
          <w:sz w:val="28"/>
          <w:szCs w:val="28"/>
        </w:rPr>
        <w:t>етоды и подходы к управлению оставляют очень мало места для случайного, но успех предпринимательских проектов в значительной мере остается зависящим от качества идей или концепций, на которых эти проекты основаны</w:t>
      </w:r>
      <w:r w:rsidR="00F41E71" w:rsidRPr="00353F9F">
        <w:rPr>
          <w:color w:val="000000"/>
          <w:sz w:val="28"/>
          <w:szCs w:val="28"/>
        </w:rPr>
        <w:t>»,</w:t>
      </w:r>
      <w:r w:rsidRPr="00353F9F">
        <w:rPr>
          <w:color w:val="000000"/>
          <w:sz w:val="28"/>
          <w:szCs w:val="28"/>
        </w:rPr>
        <w:t xml:space="preserve"> </w:t>
      </w:r>
      <w:r w:rsidR="00F41E71" w:rsidRPr="00353F9F">
        <w:rPr>
          <w:color w:val="000000"/>
          <w:sz w:val="28"/>
          <w:szCs w:val="28"/>
        </w:rPr>
        <w:t xml:space="preserve">– </w:t>
      </w:r>
      <w:r w:rsidRPr="00353F9F">
        <w:rPr>
          <w:color w:val="000000"/>
          <w:sz w:val="28"/>
          <w:szCs w:val="28"/>
        </w:rPr>
        <w:t>пишет известный специалист по управлению нововведениями Брайан Твисс.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На этапе научных исследований особенно важным является нетрадиционный управленческий подход. При этом необходимо совместить свободу творческих индивидуальностей, несовпадение личных, групповых и предпринимательских интересов с задачей эффективного поиска и выбора проекта.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Роль руководителя научного этапа исследований выходит за рамки простого отбора творческих работников, постановки стратегических задач и оперативного контроля. От него требуется создание творческого морально-психологического климата, стимулирование риска, обеспечение широких контактов между учеными и высокого уровня их информированности, создания условий для свободного творчества, терпимости и критичности.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Для ученых важными критериями деятельности служат признание и высокая оценка, престиж и денежное вознаграждение.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Среди методов творческого решения проблем </w:t>
      </w:r>
      <w:r w:rsidR="00F41E71" w:rsidRPr="00353F9F">
        <w:rPr>
          <w:color w:val="000000"/>
          <w:sz w:val="28"/>
          <w:szCs w:val="28"/>
        </w:rPr>
        <w:t>Б. Твисс</w:t>
      </w:r>
      <w:r w:rsidRPr="00353F9F">
        <w:rPr>
          <w:color w:val="000000"/>
          <w:sz w:val="28"/>
          <w:szCs w:val="28"/>
        </w:rPr>
        <w:t xml:space="preserve"> называет аналитический и морфологический, а также неаналитические методы, среди которых важное место занимают </w:t>
      </w:r>
      <w:r w:rsidR="00F41E71" w:rsidRPr="00353F9F">
        <w:rPr>
          <w:color w:val="000000"/>
          <w:sz w:val="28"/>
          <w:szCs w:val="28"/>
        </w:rPr>
        <w:t>«м</w:t>
      </w:r>
      <w:r w:rsidRPr="00353F9F">
        <w:rPr>
          <w:color w:val="000000"/>
          <w:sz w:val="28"/>
          <w:szCs w:val="28"/>
        </w:rPr>
        <w:t>озговая атака</w:t>
      </w:r>
      <w:r w:rsidR="00F41E71" w:rsidRPr="00353F9F">
        <w:rPr>
          <w:color w:val="000000"/>
          <w:sz w:val="28"/>
          <w:szCs w:val="28"/>
        </w:rPr>
        <w:t>»,</w:t>
      </w:r>
      <w:r w:rsidRPr="00353F9F">
        <w:rPr>
          <w:color w:val="000000"/>
          <w:sz w:val="28"/>
          <w:szCs w:val="28"/>
        </w:rPr>
        <w:t xml:space="preserve"> использование фантазии, метафор, методов ассоциаций, аналогий и синектики.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Синектика пытается организовать творческий процесс на основе преодоления ортодоксального мышления. Операционное управление творческим актом объясняется на основе фундаментальных логических и психических процессов. Методы синектики достаточно широко распространены в специализированных научных организациях.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В управлении НИОКР наиболее важны две области принятия решений: отбор проектов и завершение разработки. При этом для прикладных исследований характерна достаточно высокая системность и целенаправленность. Но в них все еще велик элемент недетерминированности. Проводится отбор проектов, обеспечивающий сбалансированный портфель, он формируется с целью решения поставленных фирмой стратегических задач одновременно с оптимальным использованием ресурсов в различные периоды времени. Затраты на НИОКР в современной практике составляют, как правило, от 3 до </w:t>
      </w:r>
      <w:r w:rsidR="00F41E71" w:rsidRPr="00353F9F">
        <w:rPr>
          <w:color w:val="000000"/>
          <w:sz w:val="28"/>
          <w:szCs w:val="28"/>
        </w:rPr>
        <w:t>5%</w:t>
      </w:r>
      <w:r w:rsidRPr="00353F9F">
        <w:rPr>
          <w:color w:val="000000"/>
          <w:sz w:val="28"/>
          <w:szCs w:val="28"/>
        </w:rPr>
        <w:t xml:space="preserve"> объема продаж.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Как следует из анализа среднестатистических затрат по этапам НИОКР, наибольшую долю составляет документальное и организационно-технологическое обеспечение разработки нового образца. Это наводит на мысль о возрастающем влиянии технико-технологических нововведений и стремлении современных фирм иметь собственный научный задел и развитую сеть НИОКР.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 xml:space="preserve">Инновационная ориентация промышленных фирм ярко проявляется и в том, что НИОКР рассматривается как долгосрочная перспектива, сравнительно мало зависящая от краткосрочных изменений рыночной конъюнктуры. Большинство ведущих промышленных компаний мира расходуют на НИОКР от 5 до </w:t>
      </w:r>
      <w:r w:rsidR="00F41E71" w:rsidRPr="00353F9F">
        <w:rPr>
          <w:color w:val="000000"/>
          <w:sz w:val="28"/>
          <w:szCs w:val="28"/>
        </w:rPr>
        <w:t>7%</w:t>
      </w:r>
      <w:r w:rsidRPr="00353F9F">
        <w:rPr>
          <w:color w:val="000000"/>
          <w:sz w:val="28"/>
          <w:szCs w:val="28"/>
        </w:rPr>
        <w:t xml:space="preserve"> суммарного объема продаж.</w:t>
      </w:r>
    </w:p>
    <w:p w:rsidR="00C43C20" w:rsidRPr="00353F9F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t>Развитие инновационной деятельности в странах, где участие государства в исследованиях и разработках имеет ограниченный характер и роль бюджетных ассигнований в расходах на НИОКР фактически снижается, представляется безальтернативным вариантом развития национальной экономики.</w:t>
      </w:r>
    </w:p>
    <w:p w:rsidR="00C43C20" w:rsidRDefault="00C43C20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1BC" w:rsidRPr="00353F9F" w:rsidRDefault="001E01BC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EB1" w:rsidRPr="00353F9F" w:rsidRDefault="00DA27D1" w:rsidP="00F41E71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53F9F">
        <w:rPr>
          <w:color w:val="000000"/>
          <w:sz w:val="28"/>
          <w:szCs w:val="28"/>
        </w:rPr>
        <w:br w:type="page"/>
      </w:r>
      <w:r w:rsidR="00BF7EB1" w:rsidRPr="00353F9F">
        <w:rPr>
          <w:b/>
          <w:bCs/>
          <w:color w:val="000000"/>
          <w:sz w:val="28"/>
          <w:szCs w:val="28"/>
        </w:rPr>
        <w:t>Список литературы</w:t>
      </w:r>
    </w:p>
    <w:p w:rsidR="00BF7EB1" w:rsidRDefault="00BF7EB1" w:rsidP="00F41E71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Венчурный инновационный менеджмент [Текст]: интегральное учебное пособие / Мин-во образования и науки Украины, Нац. техничекий ун-т «ХПИ»; ред. Л.Н. Ивин. – Х.: НТУ «ХПИ», 2005. – 388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Зинов В.Г. Потребности в инновационных менеджерах [Текст] / В.Г. Зинов, Т.Я. Лебедева, В.Г. Яшин // Инновации. – 2008. – №3. – C.</w:t>
      </w:r>
      <w:r>
        <w:rPr>
          <w:color w:val="000000"/>
          <w:sz w:val="28"/>
          <w:szCs w:val="28"/>
        </w:rPr>
        <w:t xml:space="preserve"> </w:t>
      </w:r>
      <w:r w:rsidRPr="00CD58DD">
        <w:rPr>
          <w:color w:val="000000"/>
          <w:sz w:val="28"/>
          <w:szCs w:val="28"/>
        </w:rPr>
        <w:t>38–49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Инновационный менеджмент [Текст]: учебное пособие / ред. Л.Н. Оголева. – М.: Инфра-М, 2003. – 238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Колокольников О.Г.</w:t>
      </w:r>
      <w:r>
        <w:rPr>
          <w:color w:val="000000"/>
          <w:sz w:val="28"/>
          <w:szCs w:val="28"/>
        </w:rPr>
        <w:t xml:space="preserve"> </w:t>
      </w:r>
      <w:r w:rsidRPr="00CD58DD">
        <w:rPr>
          <w:color w:val="000000"/>
          <w:sz w:val="28"/>
          <w:szCs w:val="28"/>
        </w:rPr>
        <w:t>Менеджмент инновационных процессов на основе реструктуризации предприятия на технологические системы [Текст] / О.Г. Колокольников // Инновации. – 2007. – №1. – C.</w:t>
      </w:r>
      <w:r>
        <w:rPr>
          <w:color w:val="000000"/>
          <w:sz w:val="28"/>
          <w:szCs w:val="28"/>
        </w:rPr>
        <w:t xml:space="preserve"> </w:t>
      </w:r>
      <w:r w:rsidRPr="00CD58DD">
        <w:rPr>
          <w:color w:val="000000"/>
          <w:sz w:val="28"/>
          <w:szCs w:val="28"/>
        </w:rPr>
        <w:t>91–95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Краснокутська Н.В. Інноваційний менеджмент [Текст]: навчальний посібник / Н.В. Краснокутська; Мін-во освіти і науки України, КНЕУ. – К.: КНЕУ, 2003. – 504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Морозов Ю.П. Инновационный менеджмент [Текст]: учебное пособие / Ю.П. Морозов, А.И. Гаврилов, А.Г. Городнов. – 2-е изд., перераб. и доп. – М.: ЮНИТИ-ДАНА, 2003. – 471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Правик Ю.М. Інвестиційний менеджмент [Текст]: навчальний посібник / Ю.М. Правик. – К.: Знання, 2007. – 431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Риск-менеджмент инноваций [Текст]: монография /, Т.А. Васильева, О.Н. Диденко, А.А. Епифанов. – Сумы: Деловые перспективы, 2005. – 260 с.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Трифилова А.А. «Открытые инновации» – парадигма современного инновационного менеджмента [Текст] / А.А. Трифилова // Инновации. – 2008. – №1. – C.</w:t>
      </w:r>
      <w:r>
        <w:rPr>
          <w:color w:val="000000"/>
          <w:sz w:val="28"/>
          <w:szCs w:val="28"/>
        </w:rPr>
        <w:t xml:space="preserve"> </w:t>
      </w:r>
      <w:r w:rsidRPr="00CD58DD">
        <w:rPr>
          <w:color w:val="000000"/>
          <w:sz w:val="28"/>
          <w:szCs w:val="28"/>
        </w:rPr>
        <w:t>73–78</w:t>
      </w:r>
    </w:p>
    <w:p w:rsidR="001E01BC" w:rsidRPr="00CD58DD" w:rsidRDefault="001E01BC" w:rsidP="001E01BC">
      <w:pPr>
        <w:widowControl/>
        <w:numPr>
          <w:ilvl w:val="0"/>
          <w:numId w:val="7"/>
        </w:numPr>
        <w:tabs>
          <w:tab w:val="clear" w:pos="720"/>
          <w:tab w:val="num" w:pos="456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58DD">
        <w:rPr>
          <w:color w:val="000000"/>
          <w:sz w:val="28"/>
          <w:szCs w:val="28"/>
        </w:rPr>
        <w:t>Трубачев Н.А. Особенности управления и справедливость распределения результатов инновационной деятельности на примере комплексного инновационного проекта [Текст] / Н.А. Трубачев // Инновации. – 2008. – №1. – C.</w:t>
      </w:r>
      <w:r>
        <w:rPr>
          <w:color w:val="000000"/>
          <w:sz w:val="28"/>
          <w:szCs w:val="28"/>
        </w:rPr>
        <w:t xml:space="preserve"> </w:t>
      </w:r>
      <w:r w:rsidRPr="00CD58DD">
        <w:rPr>
          <w:color w:val="000000"/>
          <w:sz w:val="28"/>
          <w:szCs w:val="28"/>
        </w:rPr>
        <w:t>115–118</w:t>
      </w:r>
      <w:bookmarkStart w:id="0" w:name="_GoBack"/>
      <w:bookmarkEnd w:id="0"/>
    </w:p>
    <w:sectPr w:rsidR="001E01BC" w:rsidRPr="00CD58DD" w:rsidSect="00F41E71">
      <w:footerReference w:type="even" r:id="rId10"/>
      <w:footerReference w:type="default" r:id="rId11"/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5B" w:rsidRDefault="00386B5B">
      <w:r>
        <w:separator/>
      </w:r>
    </w:p>
  </w:endnote>
  <w:endnote w:type="continuationSeparator" w:id="0">
    <w:p w:rsidR="00386B5B" w:rsidRDefault="0038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B1" w:rsidRDefault="00BF7EB1" w:rsidP="00ED2989">
    <w:pPr>
      <w:pStyle w:val="a7"/>
      <w:framePr w:wrap="around" w:vAnchor="text" w:hAnchor="margin" w:xAlign="right" w:y="1"/>
      <w:rPr>
        <w:rStyle w:val="a9"/>
      </w:rPr>
    </w:pPr>
  </w:p>
  <w:p w:rsidR="00BF7EB1" w:rsidRDefault="00BF7EB1" w:rsidP="009C46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B1" w:rsidRDefault="00A21219" w:rsidP="00ED298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BF7EB1" w:rsidRDefault="00BF7EB1" w:rsidP="009C46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5B" w:rsidRDefault="00386B5B">
      <w:r>
        <w:separator/>
      </w:r>
    </w:p>
  </w:footnote>
  <w:footnote w:type="continuationSeparator" w:id="0">
    <w:p w:rsidR="00386B5B" w:rsidRDefault="0038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0AA9"/>
    <w:multiLevelType w:val="hybridMultilevel"/>
    <w:tmpl w:val="4C04A3B4"/>
    <w:lvl w:ilvl="0" w:tplc="EEB2C1A6">
      <w:start w:val="1"/>
      <w:numFmt w:val="bullet"/>
      <w:lvlText w:val=""/>
      <w:lvlJc w:val="left"/>
      <w:pPr>
        <w:tabs>
          <w:tab w:val="num" w:pos="1571"/>
        </w:tabs>
        <w:ind w:left="174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BF296E"/>
    <w:multiLevelType w:val="hybridMultilevel"/>
    <w:tmpl w:val="2FC2926E"/>
    <w:lvl w:ilvl="0" w:tplc="EEB2C1A6">
      <w:start w:val="1"/>
      <w:numFmt w:val="bullet"/>
      <w:lvlText w:val=""/>
      <w:lvlJc w:val="left"/>
      <w:pPr>
        <w:tabs>
          <w:tab w:val="num" w:pos="1571"/>
        </w:tabs>
        <w:ind w:left="174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8751331"/>
    <w:multiLevelType w:val="hybridMultilevel"/>
    <w:tmpl w:val="CA0486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C82170"/>
    <w:multiLevelType w:val="multilevel"/>
    <w:tmpl w:val="F6C2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823DAC"/>
    <w:multiLevelType w:val="hybridMultilevel"/>
    <w:tmpl w:val="61462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9869F4"/>
    <w:multiLevelType w:val="hybridMultilevel"/>
    <w:tmpl w:val="EA86A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AEC11BE"/>
    <w:multiLevelType w:val="hybridMultilevel"/>
    <w:tmpl w:val="9BC670D6"/>
    <w:lvl w:ilvl="0" w:tplc="EEB2C1A6">
      <w:start w:val="1"/>
      <w:numFmt w:val="bullet"/>
      <w:lvlText w:val=""/>
      <w:lvlJc w:val="left"/>
      <w:pPr>
        <w:tabs>
          <w:tab w:val="num" w:pos="1571"/>
        </w:tabs>
        <w:ind w:left="1741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3F4"/>
    <w:rsid w:val="000011AA"/>
    <w:rsid w:val="00060037"/>
    <w:rsid w:val="001043F4"/>
    <w:rsid w:val="001E01BC"/>
    <w:rsid w:val="002265FB"/>
    <w:rsid w:val="002A552A"/>
    <w:rsid w:val="002F01F4"/>
    <w:rsid w:val="00353F9F"/>
    <w:rsid w:val="00386B5B"/>
    <w:rsid w:val="00393476"/>
    <w:rsid w:val="003A50D2"/>
    <w:rsid w:val="003C38F5"/>
    <w:rsid w:val="003D1F28"/>
    <w:rsid w:val="003D35D9"/>
    <w:rsid w:val="003D4576"/>
    <w:rsid w:val="003F2B4E"/>
    <w:rsid w:val="005362FA"/>
    <w:rsid w:val="00576C27"/>
    <w:rsid w:val="00617825"/>
    <w:rsid w:val="006F6473"/>
    <w:rsid w:val="00790AF6"/>
    <w:rsid w:val="007B3034"/>
    <w:rsid w:val="007B3627"/>
    <w:rsid w:val="008620E0"/>
    <w:rsid w:val="008C4B8B"/>
    <w:rsid w:val="008E1FD1"/>
    <w:rsid w:val="008E45B2"/>
    <w:rsid w:val="008E6C8C"/>
    <w:rsid w:val="00986456"/>
    <w:rsid w:val="009A52EE"/>
    <w:rsid w:val="009B58B8"/>
    <w:rsid w:val="009C4621"/>
    <w:rsid w:val="009D5CAF"/>
    <w:rsid w:val="00A21219"/>
    <w:rsid w:val="00AA3059"/>
    <w:rsid w:val="00BD3159"/>
    <w:rsid w:val="00BF7EB1"/>
    <w:rsid w:val="00C2082F"/>
    <w:rsid w:val="00C30337"/>
    <w:rsid w:val="00C43C20"/>
    <w:rsid w:val="00C80722"/>
    <w:rsid w:val="00CD58DD"/>
    <w:rsid w:val="00CE27F7"/>
    <w:rsid w:val="00D53E4A"/>
    <w:rsid w:val="00DA27D1"/>
    <w:rsid w:val="00E12B46"/>
    <w:rsid w:val="00ED2989"/>
    <w:rsid w:val="00F41E71"/>
    <w:rsid w:val="00F6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B58B8"/>
    <w:pPr>
      <w:keepNext/>
      <w:widowControl/>
      <w:overflowPunct w:val="0"/>
      <w:spacing w:before="240" w:after="60"/>
      <w:jc w:val="center"/>
      <w:outlineLvl w:val="0"/>
    </w:pPr>
    <w:rPr>
      <w:rFonts w:ascii="Arial" w:hAnsi="Arial"/>
      <w:b/>
      <w:kern w:val="28"/>
      <w:sz w:val="3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B58B8"/>
    <w:pPr>
      <w:keepNext/>
      <w:widowControl/>
      <w:overflowPunct w:val="0"/>
      <w:spacing w:before="240" w:after="60"/>
      <w:jc w:val="center"/>
      <w:outlineLvl w:val="1"/>
    </w:pPr>
    <w:rPr>
      <w:rFonts w:ascii="Arial" w:hAnsi="Arial"/>
      <w:b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9B58B8"/>
    <w:pPr>
      <w:keepNext/>
      <w:widowControl/>
      <w:autoSpaceDE/>
      <w:autoSpaceDN/>
      <w:adjustRightInd/>
      <w:jc w:val="center"/>
      <w:outlineLvl w:val="4"/>
    </w:pPr>
    <w:rPr>
      <w:sz w:val="3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9B58B8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B58B8"/>
    <w:pPr>
      <w:widowControl/>
      <w:autoSpaceDE/>
      <w:autoSpaceDN/>
      <w:adjustRightInd/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9C46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sid w:val="009C46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6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ПИТАННЯ</vt:lpstr>
    </vt:vector>
  </TitlesOfParts>
  <Company/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</dc:title>
  <dc:subject/>
  <dc:creator/>
  <cp:keywords/>
  <dc:description/>
  <cp:lastModifiedBy/>
  <cp:revision>1</cp:revision>
  <cp:lastPrinted>2005-02-27T17:44:00Z</cp:lastPrinted>
  <dcterms:created xsi:type="dcterms:W3CDTF">2014-03-01T10:09:00Z</dcterms:created>
  <dcterms:modified xsi:type="dcterms:W3CDTF">2014-03-01T10:09:00Z</dcterms:modified>
</cp:coreProperties>
</file>