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F3" w:rsidRPr="00984485" w:rsidRDefault="008610F3" w:rsidP="0083340F">
      <w:pPr>
        <w:spacing w:line="360" w:lineRule="auto"/>
        <w:ind w:firstLine="709"/>
        <w:jc w:val="both"/>
        <w:rPr>
          <w:b/>
          <w:bCs/>
          <w:sz w:val="28"/>
          <w:szCs w:val="28"/>
        </w:rPr>
      </w:pPr>
      <w:r w:rsidRPr="00984485">
        <w:rPr>
          <w:b/>
          <w:bCs/>
          <w:sz w:val="28"/>
          <w:szCs w:val="28"/>
        </w:rPr>
        <w:t>Содержание</w:t>
      </w:r>
    </w:p>
    <w:p w:rsidR="00AD3D4D" w:rsidRPr="00984485" w:rsidRDefault="00AD3D4D" w:rsidP="0083340F">
      <w:pPr>
        <w:spacing w:line="360" w:lineRule="auto"/>
        <w:ind w:firstLine="709"/>
        <w:jc w:val="both"/>
        <w:rPr>
          <w:sz w:val="28"/>
          <w:szCs w:val="28"/>
        </w:rPr>
      </w:pPr>
    </w:p>
    <w:p w:rsidR="008610F3" w:rsidRPr="00984485" w:rsidRDefault="008610F3" w:rsidP="00AD3D4D">
      <w:pPr>
        <w:pStyle w:val="af0"/>
        <w:numPr>
          <w:ilvl w:val="0"/>
          <w:numId w:val="3"/>
        </w:numPr>
        <w:tabs>
          <w:tab w:val="left" w:pos="360"/>
        </w:tabs>
        <w:spacing w:before="0" w:after="0"/>
        <w:ind w:left="0" w:firstLine="0"/>
        <w:jc w:val="both"/>
        <w:rPr>
          <w:sz w:val="28"/>
          <w:szCs w:val="28"/>
        </w:rPr>
      </w:pPr>
      <w:r w:rsidRPr="00984485">
        <w:rPr>
          <w:sz w:val="28"/>
          <w:szCs w:val="28"/>
        </w:rPr>
        <w:t>Денежная масса и ее структура в России</w:t>
      </w:r>
    </w:p>
    <w:p w:rsidR="008610F3" w:rsidRPr="00984485" w:rsidRDefault="00AD3D4D" w:rsidP="00AD3D4D">
      <w:pPr>
        <w:pStyle w:val="af0"/>
        <w:numPr>
          <w:ilvl w:val="0"/>
          <w:numId w:val="3"/>
        </w:numPr>
        <w:tabs>
          <w:tab w:val="left" w:pos="360"/>
        </w:tabs>
        <w:spacing w:before="0" w:after="0"/>
        <w:ind w:left="0" w:firstLine="0"/>
        <w:jc w:val="both"/>
        <w:rPr>
          <w:sz w:val="28"/>
          <w:szCs w:val="28"/>
        </w:rPr>
      </w:pPr>
      <w:r w:rsidRPr="00984485">
        <w:rPr>
          <w:sz w:val="28"/>
          <w:szCs w:val="28"/>
        </w:rPr>
        <w:t>Практическое задание (</w:t>
      </w:r>
      <w:r w:rsidR="008610F3" w:rsidRPr="00984485">
        <w:rPr>
          <w:sz w:val="28"/>
          <w:szCs w:val="28"/>
        </w:rPr>
        <w:t>задача)</w:t>
      </w:r>
    </w:p>
    <w:p w:rsidR="008610F3" w:rsidRPr="00984485" w:rsidRDefault="008610F3" w:rsidP="00AD3D4D">
      <w:pPr>
        <w:pStyle w:val="af0"/>
        <w:tabs>
          <w:tab w:val="left" w:pos="360"/>
        </w:tabs>
        <w:spacing w:before="0" w:after="0"/>
        <w:ind w:left="0"/>
        <w:jc w:val="both"/>
        <w:rPr>
          <w:sz w:val="28"/>
          <w:szCs w:val="28"/>
        </w:rPr>
      </w:pPr>
      <w:r w:rsidRPr="00984485">
        <w:rPr>
          <w:sz w:val="28"/>
          <w:szCs w:val="28"/>
        </w:rPr>
        <w:t>Список использованной литературы</w:t>
      </w:r>
    </w:p>
    <w:p w:rsidR="007D4745" w:rsidRPr="00984485" w:rsidRDefault="00AD3D4D" w:rsidP="0083340F">
      <w:pPr>
        <w:shd w:val="clear" w:color="auto" w:fill="FFFFFF"/>
        <w:spacing w:line="360" w:lineRule="auto"/>
        <w:ind w:firstLine="709"/>
        <w:jc w:val="both"/>
        <w:rPr>
          <w:b/>
          <w:bCs/>
          <w:sz w:val="28"/>
          <w:szCs w:val="28"/>
        </w:rPr>
      </w:pPr>
      <w:r w:rsidRPr="00984485">
        <w:rPr>
          <w:b/>
          <w:bCs/>
          <w:sz w:val="28"/>
          <w:szCs w:val="28"/>
        </w:rPr>
        <w:br w:type="page"/>
      </w:r>
      <w:r w:rsidR="007D4745" w:rsidRPr="00984485">
        <w:rPr>
          <w:b/>
          <w:bCs/>
          <w:sz w:val="28"/>
          <w:szCs w:val="28"/>
        </w:rPr>
        <w:t>1.</w:t>
      </w:r>
      <w:r w:rsidR="00DE09EC" w:rsidRPr="00984485">
        <w:rPr>
          <w:b/>
          <w:bCs/>
          <w:sz w:val="28"/>
          <w:szCs w:val="28"/>
        </w:rPr>
        <w:t xml:space="preserve"> </w:t>
      </w:r>
      <w:r w:rsidR="007D4745" w:rsidRPr="00984485">
        <w:rPr>
          <w:b/>
          <w:bCs/>
          <w:sz w:val="28"/>
          <w:szCs w:val="28"/>
        </w:rPr>
        <w:t>Денежна</w:t>
      </w:r>
      <w:r w:rsidR="00367FEC" w:rsidRPr="00984485">
        <w:rPr>
          <w:b/>
          <w:bCs/>
          <w:sz w:val="28"/>
          <w:szCs w:val="28"/>
        </w:rPr>
        <w:t>я масса и ее структура в России</w:t>
      </w:r>
    </w:p>
    <w:p w:rsidR="00DE09EC" w:rsidRPr="00984485" w:rsidRDefault="00DE09EC" w:rsidP="0083340F">
      <w:pPr>
        <w:shd w:val="clear" w:color="auto" w:fill="FFFFFF"/>
        <w:spacing w:line="360" w:lineRule="auto"/>
        <w:ind w:firstLine="709"/>
        <w:jc w:val="both"/>
        <w:rPr>
          <w:sz w:val="28"/>
          <w:szCs w:val="28"/>
        </w:rPr>
      </w:pPr>
    </w:p>
    <w:p w:rsidR="007A5A5F" w:rsidRPr="00984485" w:rsidRDefault="007A5A5F" w:rsidP="0083340F">
      <w:pPr>
        <w:shd w:val="clear" w:color="auto" w:fill="FFFFFF"/>
        <w:spacing w:line="360" w:lineRule="auto"/>
        <w:ind w:firstLine="709"/>
        <w:jc w:val="both"/>
        <w:rPr>
          <w:sz w:val="28"/>
          <w:szCs w:val="28"/>
        </w:rPr>
      </w:pPr>
      <w:r w:rsidRPr="00984485">
        <w:rPr>
          <w:sz w:val="28"/>
          <w:szCs w:val="28"/>
        </w:rPr>
        <w:t>Одним из важнейших показателей, характеризующих денежно-кредитную сферу, и в частности денежный оборот, является денежная масса.</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 xml:space="preserve">Денежную массу можно определить как совокупность денежных средств, предназначенных для оплаты товаров и услуг, а также для целей накопления нефинансовыми предприятиями, организациями и населением. При разработке экономической политики и установлении количественных ориентиров макроэкономических пропорций используются различные </w:t>
      </w:r>
      <w:r w:rsidRPr="00984485">
        <w:rPr>
          <w:i/>
          <w:iCs/>
          <w:sz w:val="28"/>
          <w:szCs w:val="28"/>
        </w:rPr>
        <w:t>агрегированные</w:t>
      </w:r>
      <w:r w:rsidRPr="00984485">
        <w:rPr>
          <w:sz w:val="28"/>
          <w:szCs w:val="28"/>
        </w:rPr>
        <w:t xml:space="preserve"> (суммарные) показатели объема и структуры денежной массы </w:t>
      </w:r>
      <w:r w:rsidR="00DE09EC" w:rsidRPr="00984485">
        <w:rPr>
          <w:sz w:val="28"/>
          <w:szCs w:val="28"/>
        </w:rPr>
        <w:t>-</w:t>
      </w:r>
      <w:r w:rsidRPr="00984485">
        <w:rPr>
          <w:sz w:val="28"/>
          <w:szCs w:val="28"/>
        </w:rPr>
        <w:t xml:space="preserve"> денежные агрегаты. Они различаются широтой охвата тех или иных финансовых активов и степенью их ликвидности (т.е. способности быть истраченными как покупательное и платежное средство). </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 xml:space="preserve">Существуют различные концепции определения компонентов денежной массы. Согласно первой денежная масса состоит из наличных денег в обращении (банкноты, монеты, в некоторых странах </w:t>
      </w:r>
      <w:r w:rsidR="00DE09EC" w:rsidRPr="00984485">
        <w:rPr>
          <w:sz w:val="28"/>
          <w:szCs w:val="28"/>
        </w:rPr>
        <w:t>-</w:t>
      </w:r>
      <w:r w:rsidRPr="00984485">
        <w:rPr>
          <w:sz w:val="28"/>
          <w:szCs w:val="28"/>
        </w:rPr>
        <w:t xml:space="preserve"> казначейские билеты) и денег безналичного оборота, или безналичных денег (остатки на банковских счетах, или банковские депозиты). Кроме денег в платежном обороте, в соответствии с данной концепцией, могут использоваться различные виды ценных бумаг </w:t>
      </w:r>
      <w:r w:rsidR="00DE09EC" w:rsidRPr="00984485">
        <w:rPr>
          <w:sz w:val="28"/>
          <w:szCs w:val="28"/>
        </w:rPr>
        <w:t>-</w:t>
      </w:r>
      <w:r w:rsidRPr="00984485">
        <w:rPr>
          <w:sz w:val="28"/>
          <w:szCs w:val="28"/>
        </w:rPr>
        <w:t xml:space="preserve"> векселя, чеки, депозитные сертификаты и др. Данная концепция лежит в основе формирования денежных агрегатов, используемых Банком России в настоящее время. </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 xml:space="preserve">Сторонники второй концепции относят векселя, чеки, а иногда и другие ценные бумаги к безналичным деньгам и включают их в денежную массу. Исходя из этой концепции Банк России в начале 90-х гг. использовал агрегат МЗ, который состоял из наличных денег и остатков на различных банковских счетах плюс депозитные сертификаты и облигации государственных займов. </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Экономисты, разделяющие третью концепцию, отрицают существование безналичных денег и считают деньгами только наличные деньги. В большинстве стран совокупность наиболее ликвидных активов (денежный агрегат M) состоит из наличных денег в обращении и депозитов до востребования. Менее ликвидные активы группируютс</w:t>
      </w:r>
      <w:r w:rsidR="00683309" w:rsidRPr="00984485">
        <w:rPr>
          <w:sz w:val="28"/>
          <w:szCs w:val="28"/>
        </w:rPr>
        <w:t>я в агрегаты М2, МЗ, иногда М4.</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 xml:space="preserve">В статистике Центрального банка РФ (ЦБ РФ) информация об объеме, структуре и динамике денежной массы и ее отдельных компонентов представлена в следующих таблицах: «Аналитические группировки счетов органов денежно-кредитного регулирования», «Денежный обзор» и «Денежная масса (национальное определение)». Методологической основой их построения является схема денежного обзора, разработанная МВФ в качестве стандарта аналитического представления данных денежно-кредитной статистики. Эта схема предусматривает формирование основных денежно-кредитных агрегатов на основе бухгалтерских данных об операциях и запасах Банка России, Министерства финансов РФ, ее кредитных организаций. Предварительная оценка указанных агрегатов публикуется на страницах Банка России в сети Интернет в сроки, установленные Специальным стандартом распространения данных МВФ. Окончательные данные публикуются в «Бюллетене банковской статистики» Банка России и статистическом издании МВФ «International Financial Statistics». </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 xml:space="preserve">В таблице «Аналитические группировки счетов органов денежно-кредитного регулирования» дается денежный агрегат «Деньги вне банков». Это наиболее ликвидная часть денежной массы, доступная для немедленного использования в качестве покупательного и платежного средства. «Деньги вне банков» включают выпущенные в обращение Банком России наличные деньги (банкноты и монеты) за исключением сумм наличности, находящейся в кассах Банка России и кредитных организаций. В таблице «Денежная масса (национальное определение)» этот показатель называется денежным агрегатом МО. В таблице «Денежный обзор» отражаются два денежных агрегата: «Деньги» и «Квази-деньги». Показатель «Деньги» формируется как совокупность агрегатов «Деньги вне банков» и «Депозиты до востребования» (остатки средств резидентов Российской Федерации на расчетных, текущих, депозитных и иных счетах до востребования, в том числе счетах для расчетов с использованием пластиковых карт в рублях). Показатель «Деньги» аналогичен используемому во многих странах агрегату Ml. </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 xml:space="preserve">Агрегат «Квази-деньги» включает банковские депозиты, которые непосредственно не используются как средство платежа и менее ликвидны чем «Деньги». Это срочные и сберегательные депозиты в рублях и все виды депозитов в иностранной валюте. Совокупность агрегатов «Деньги» и «Квази-деньги» формирует агрегат «Широкие деньги» (М2Х). В таблице «Денежная масса (национальное определение)» в составе денежной массы выделены два компонента: «Наличные деньги в обращении (МО)» </w:t>
      </w:r>
      <w:r w:rsidR="00DE09EC" w:rsidRPr="00984485">
        <w:rPr>
          <w:sz w:val="28"/>
          <w:szCs w:val="28"/>
        </w:rPr>
        <w:t>-</w:t>
      </w:r>
      <w:r w:rsidRPr="00984485">
        <w:rPr>
          <w:sz w:val="28"/>
          <w:szCs w:val="28"/>
        </w:rPr>
        <w:t xml:space="preserve"> банкноты и монеты в рублях вне банков и «Безналичные средства» </w:t>
      </w:r>
      <w:r w:rsidR="00DE09EC" w:rsidRPr="00984485">
        <w:rPr>
          <w:sz w:val="28"/>
          <w:szCs w:val="28"/>
        </w:rPr>
        <w:t>-</w:t>
      </w:r>
      <w:r w:rsidRPr="00984485">
        <w:rPr>
          <w:sz w:val="28"/>
          <w:szCs w:val="28"/>
        </w:rPr>
        <w:t xml:space="preserve"> остатки средств на счетах до востребования, срочных и сберегательных счетах, открытых в банках в рублях. Агрегат «Денежная масса (М2)» рассчитывается как совокупность «Наличных денег в обращении» и «Безналичных средств». В отличие от аналогичного показателя «Широкие деньги», исчисленного по методологии составления «Денежного обзора», в показатель денежной массы в национальном определении на включаются</w:t>
      </w:r>
      <w:r w:rsidR="00AC032F" w:rsidRPr="00984485">
        <w:rPr>
          <w:sz w:val="28"/>
          <w:szCs w:val="28"/>
        </w:rPr>
        <w:t xml:space="preserve"> депозиты в иностранной валюте.</w:t>
      </w:r>
    </w:p>
    <w:p w:rsidR="007A5A5F" w:rsidRPr="00984485" w:rsidRDefault="007A5A5F" w:rsidP="0083340F">
      <w:pPr>
        <w:shd w:val="clear" w:color="auto" w:fill="FFFFFF"/>
        <w:spacing w:line="360" w:lineRule="auto"/>
        <w:ind w:firstLine="709"/>
        <w:jc w:val="both"/>
        <w:rPr>
          <w:sz w:val="28"/>
          <w:szCs w:val="28"/>
        </w:rPr>
      </w:pPr>
      <w:r w:rsidRPr="00984485">
        <w:rPr>
          <w:sz w:val="28"/>
          <w:szCs w:val="28"/>
        </w:rPr>
        <w:t xml:space="preserve">Важнейший компонент денежной массы </w:t>
      </w:r>
      <w:r w:rsidR="00DE09EC" w:rsidRPr="00984485">
        <w:rPr>
          <w:sz w:val="28"/>
          <w:szCs w:val="28"/>
        </w:rPr>
        <w:t>-</w:t>
      </w:r>
      <w:r w:rsidRPr="00984485">
        <w:rPr>
          <w:sz w:val="28"/>
          <w:szCs w:val="28"/>
        </w:rPr>
        <w:t xml:space="preserve"> денежная база. Банк России использует этот агрегат в узком и широком определении. Денежная база в узком определении включает наличные деньги вне Банка России и обязательные резервы банков в Банке России. В денежную базу в широком определении дополнительно включаются остатки на корреспондентских и других счетах банков в ЦБ РФ. В таблице «Аналитические группировки счетов органов денежно-кредитного регулирований» этот показатель носит название «Резервные деньги». Денежная база («Резервные деньги») служит одним из основных показателей, применяемых для мониторинга экономических процессов. Изменяя величину денежной базы, Банк России регулирует объем всей денежной массы и тем самым воздействует на уровень цен, деловую активность и другие экономические процессы. </w:t>
      </w:r>
    </w:p>
    <w:p w:rsidR="007D4745" w:rsidRPr="00984485" w:rsidRDefault="007A5A5F" w:rsidP="0083340F">
      <w:pPr>
        <w:shd w:val="clear" w:color="auto" w:fill="FFFFFF"/>
        <w:spacing w:line="360" w:lineRule="auto"/>
        <w:ind w:firstLine="709"/>
        <w:jc w:val="both"/>
        <w:rPr>
          <w:sz w:val="28"/>
          <w:szCs w:val="28"/>
        </w:rPr>
      </w:pPr>
      <w:r w:rsidRPr="00984485">
        <w:rPr>
          <w:sz w:val="28"/>
          <w:szCs w:val="28"/>
        </w:rPr>
        <w:t xml:space="preserve">Одна часть денежной базы </w:t>
      </w:r>
      <w:r w:rsidR="00DE09EC" w:rsidRPr="00984485">
        <w:rPr>
          <w:sz w:val="28"/>
          <w:szCs w:val="28"/>
        </w:rPr>
        <w:t>-</w:t>
      </w:r>
      <w:r w:rsidRPr="00984485">
        <w:rPr>
          <w:sz w:val="28"/>
          <w:szCs w:val="28"/>
        </w:rPr>
        <w:t xml:space="preserve"> наличные деньги в обращении </w:t>
      </w:r>
      <w:r w:rsidR="00DE09EC" w:rsidRPr="00984485">
        <w:rPr>
          <w:sz w:val="28"/>
          <w:szCs w:val="28"/>
        </w:rPr>
        <w:t>-</w:t>
      </w:r>
      <w:r w:rsidRPr="00984485">
        <w:rPr>
          <w:sz w:val="28"/>
          <w:szCs w:val="28"/>
        </w:rPr>
        <w:t xml:space="preserve"> входит в денежную массу непосредственно, а другая </w:t>
      </w:r>
      <w:r w:rsidR="00DE09EC" w:rsidRPr="00984485">
        <w:rPr>
          <w:sz w:val="28"/>
          <w:szCs w:val="28"/>
        </w:rPr>
        <w:t>-</w:t>
      </w:r>
      <w:r w:rsidRPr="00984485">
        <w:rPr>
          <w:sz w:val="28"/>
          <w:szCs w:val="28"/>
        </w:rPr>
        <w:t xml:space="preserve"> средства банков в Банке России </w:t>
      </w:r>
      <w:r w:rsidR="00DE09EC" w:rsidRPr="00984485">
        <w:rPr>
          <w:sz w:val="28"/>
          <w:szCs w:val="28"/>
        </w:rPr>
        <w:t>-</w:t>
      </w:r>
      <w:r w:rsidRPr="00984485">
        <w:rPr>
          <w:sz w:val="28"/>
          <w:szCs w:val="28"/>
        </w:rPr>
        <w:t xml:space="preserve"> вызывает многократное увеличение денежной массы в виде банковских депозитов. Это обусловлено тем, что общая сумма средств на счетах банков в Банке России при предоставлении банками кредитов своим клиентам остается неизменной (происходит лишь перевод средств с корсчета одного банка на счет другого), а сумма депозитов и, следовательно, объем денежной массы возрастают. Последнее связано со способностью банковской системы создавать депозиты на основе выдачи банковских ссуд</w:t>
      </w:r>
      <w:r w:rsidR="00DE09EC" w:rsidRPr="00984485">
        <w:rPr>
          <w:sz w:val="28"/>
          <w:szCs w:val="28"/>
        </w:rPr>
        <w:t xml:space="preserve"> (рис. 1)</w:t>
      </w:r>
      <w:r w:rsidRPr="00984485">
        <w:rPr>
          <w:sz w:val="28"/>
          <w:szCs w:val="28"/>
        </w:rPr>
        <w:t>.</w:t>
      </w:r>
    </w:p>
    <w:p w:rsidR="007D4745" w:rsidRPr="00984485" w:rsidRDefault="007D4745" w:rsidP="0083340F">
      <w:pPr>
        <w:shd w:val="clear" w:color="auto" w:fill="FFFFFF"/>
        <w:spacing w:line="360" w:lineRule="auto"/>
        <w:ind w:firstLine="709"/>
        <w:jc w:val="both"/>
        <w:rPr>
          <w:sz w:val="28"/>
          <w:szCs w:val="28"/>
        </w:rPr>
      </w:pPr>
    </w:p>
    <w:p w:rsidR="00E401BE" w:rsidRPr="00984485" w:rsidRDefault="00E57AFB" w:rsidP="0083340F">
      <w:pPr>
        <w:shd w:val="clear" w:color="auto" w:fill="FFFFFF"/>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23.5pt;height:137.25pt;visibility:visible">
            <v:imagedata r:id="rId7" o:title=""/>
          </v:shape>
        </w:pict>
      </w:r>
    </w:p>
    <w:p w:rsidR="00DE09EC" w:rsidRPr="00984485" w:rsidRDefault="00DE09EC" w:rsidP="00DE09EC">
      <w:pPr>
        <w:shd w:val="clear" w:color="auto" w:fill="FFFFFF"/>
        <w:spacing w:line="360" w:lineRule="auto"/>
        <w:ind w:firstLine="709"/>
        <w:jc w:val="both"/>
        <w:rPr>
          <w:sz w:val="28"/>
          <w:szCs w:val="28"/>
        </w:rPr>
      </w:pPr>
      <w:r w:rsidRPr="00984485">
        <w:rPr>
          <w:sz w:val="28"/>
          <w:szCs w:val="28"/>
        </w:rPr>
        <w:t>Рис. 1 - Структура наличной денежной массы в обращении по состоянию на 1 апреля 2009 года</w:t>
      </w:r>
    </w:p>
    <w:p w:rsidR="002241D3" w:rsidRPr="00984485" w:rsidRDefault="002241D3" w:rsidP="0083340F">
      <w:pPr>
        <w:shd w:val="clear" w:color="auto" w:fill="FFFFFF"/>
        <w:spacing w:line="360" w:lineRule="auto"/>
        <w:ind w:firstLine="709"/>
        <w:jc w:val="both"/>
        <w:rPr>
          <w:b/>
          <w:bCs/>
          <w:sz w:val="28"/>
          <w:szCs w:val="28"/>
        </w:rPr>
      </w:pPr>
    </w:p>
    <w:p w:rsidR="00E87B49" w:rsidRPr="00984485" w:rsidRDefault="00E87B49" w:rsidP="0083340F">
      <w:pPr>
        <w:shd w:val="clear" w:color="auto" w:fill="FFFFFF"/>
        <w:spacing w:line="360" w:lineRule="auto"/>
        <w:ind w:firstLine="709"/>
        <w:jc w:val="both"/>
        <w:rPr>
          <w:b/>
          <w:bCs/>
          <w:sz w:val="28"/>
          <w:szCs w:val="28"/>
        </w:rPr>
      </w:pPr>
      <w:r w:rsidRPr="00984485">
        <w:rPr>
          <w:b/>
          <w:bCs/>
          <w:sz w:val="28"/>
          <w:szCs w:val="28"/>
        </w:rPr>
        <w:t>2</w:t>
      </w:r>
      <w:r w:rsidR="00DE09EC" w:rsidRPr="00984485">
        <w:rPr>
          <w:b/>
          <w:bCs/>
          <w:sz w:val="28"/>
          <w:szCs w:val="28"/>
        </w:rPr>
        <w:t>. Практическое задание (задача)</w:t>
      </w:r>
    </w:p>
    <w:p w:rsidR="00E87B49" w:rsidRPr="00984485" w:rsidRDefault="00E87B49" w:rsidP="0083340F">
      <w:pPr>
        <w:spacing w:line="360" w:lineRule="auto"/>
        <w:ind w:firstLine="709"/>
        <w:jc w:val="both"/>
        <w:rPr>
          <w:sz w:val="28"/>
          <w:szCs w:val="28"/>
        </w:rPr>
      </w:pPr>
    </w:p>
    <w:p w:rsidR="00E87B49" w:rsidRPr="00984485" w:rsidRDefault="00E87B49" w:rsidP="0083340F">
      <w:pPr>
        <w:spacing w:line="360" w:lineRule="auto"/>
        <w:ind w:firstLine="709"/>
        <w:jc w:val="both"/>
        <w:rPr>
          <w:sz w:val="28"/>
          <w:szCs w:val="28"/>
        </w:rPr>
      </w:pPr>
      <w:r w:rsidRPr="00984485">
        <w:rPr>
          <w:sz w:val="28"/>
          <w:szCs w:val="28"/>
        </w:rPr>
        <w:t>Допустим, что в связи с затянувшимся экономическим спадом необходимо предпринять стимулирующие меры в области кредитно-денежной политики. В каком направлении будет Центральный банк использовать три основных инструмента кредитно-денежной политики?</w:t>
      </w:r>
    </w:p>
    <w:p w:rsidR="00E87B49" w:rsidRPr="00984485" w:rsidRDefault="00E87B49" w:rsidP="0083340F">
      <w:pPr>
        <w:spacing w:line="360" w:lineRule="auto"/>
        <w:ind w:firstLine="709"/>
        <w:jc w:val="both"/>
        <w:rPr>
          <w:sz w:val="28"/>
          <w:szCs w:val="28"/>
        </w:rPr>
      </w:pPr>
      <w:r w:rsidRPr="00984485">
        <w:rPr>
          <w:sz w:val="28"/>
          <w:szCs w:val="28"/>
        </w:rPr>
        <w:t>Какие трудности Вы видите в осуществлении этих мероприятий в условиях инфляции?</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 xml:space="preserve">Основополагающей задачей кредитно-денежной политики является обеспечение стабильности цен, полной занятости, роста реального объема производства и отсутствие инфляции. Кредитно-денежная политика государства вызывает увеличение денежного предложения во время спада для поощрения расходов, а во время инфляции, наоборот, ограничивает предложение денег для ограничения расходов. </w:t>
      </w:r>
    </w:p>
    <w:p w:rsidR="003164DD" w:rsidRPr="00984485" w:rsidRDefault="003164DD" w:rsidP="0083340F">
      <w:pPr>
        <w:spacing w:line="360" w:lineRule="auto"/>
        <w:ind w:firstLine="709"/>
        <w:jc w:val="both"/>
        <w:rPr>
          <w:sz w:val="28"/>
          <w:szCs w:val="28"/>
        </w:rPr>
      </w:pPr>
      <w:r w:rsidRPr="00984485">
        <w:rPr>
          <w:sz w:val="28"/>
          <w:szCs w:val="28"/>
        </w:rPr>
        <w:t>Основными целями деятельности Банка России, выделенными в законе «О Центробанке» являются:</w:t>
      </w:r>
    </w:p>
    <w:p w:rsidR="003164DD" w:rsidRPr="00984485" w:rsidRDefault="003164DD" w:rsidP="0083340F">
      <w:pPr>
        <w:spacing w:line="360" w:lineRule="auto"/>
        <w:ind w:firstLine="709"/>
        <w:jc w:val="both"/>
        <w:rPr>
          <w:sz w:val="28"/>
          <w:szCs w:val="28"/>
        </w:rPr>
      </w:pPr>
      <w:r w:rsidRPr="00984485">
        <w:rPr>
          <w:sz w:val="28"/>
          <w:szCs w:val="28"/>
        </w:rPr>
        <w:t>- защита и обеспечение устойчивости рубля, в том числе его покупательной способности и курса по отношению к иностранным валютам;</w:t>
      </w:r>
    </w:p>
    <w:p w:rsidR="003164DD" w:rsidRPr="00984485" w:rsidRDefault="003164DD" w:rsidP="0083340F">
      <w:pPr>
        <w:spacing w:line="360" w:lineRule="auto"/>
        <w:ind w:firstLine="709"/>
        <w:jc w:val="both"/>
        <w:rPr>
          <w:sz w:val="28"/>
          <w:szCs w:val="28"/>
        </w:rPr>
      </w:pPr>
      <w:r w:rsidRPr="00984485">
        <w:rPr>
          <w:sz w:val="28"/>
          <w:szCs w:val="28"/>
        </w:rPr>
        <w:t>- развитие и укрепление банковской системы Российской Федерации;</w:t>
      </w:r>
    </w:p>
    <w:p w:rsidR="003164DD" w:rsidRPr="00984485" w:rsidRDefault="003164DD" w:rsidP="0083340F">
      <w:pPr>
        <w:spacing w:line="360" w:lineRule="auto"/>
        <w:ind w:firstLine="709"/>
        <w:jc w:val="both"/>
        <w:rPr>
          <w:sz w:val="28"/>
          <w:szCs w:val="28"/>
        </w:rPr>
      </w:pPr>
      <w:r w:rsidRPr="00984485">
        <w:rPr>
          <w:sz w:val="28"/>
          <w:szCs w:val="28"/>
        </w:rPr>
        <w:t>- обеспечение эффективного и бесперебойного функционирования системы расчетов.</w:t>
      </w:r>
      <w:r w:rsidR="00DE09EC" w:rsidRPr="00984485">
        <w:rPr>
          <w:sz w:val="28"/>
          <w:szCs w:val="28"/>
        </w:rPr>
        <w:t xml:space="preserve"> </w:t>
      </w:r>
      <w:r w:rsidRPr="00984485">
        <w:rPr>
          <w:sz w:val="28"/>
          <w:szCs w:val="28"/>
        </w:rPr>
        <w:t xml:space="preserve">Получение прибыли не является целью деятельности Банка России. </w:t>
      </w:r>
    </w:p>
    <w:p w:rsidR="00257B93" w:rsidRPr="00984485" w:rsidRDefault="00257B93" w:rsidP="0083340F">
      <w:pPr>
        <w:spacing w:line="360" w:lineRule="auto"/>
        <w:ind w:firstLine="709"/>
        <w:jc w:val="both"/>
        <w:rPr>
          <w:sz w:val="28"/>
          <w:szCs w:val="28"/>
        </w:rPr>
      </w:pPr>
      <w:r w:rsidRPr="00984485">
        <w:rPr>
          <w:sz w:val="28"/>
          <w:szCs w:val="28"/>
        </w:rPr>
        <w:t>В России законодательно</w:t>
      </w:r>
      <w:r w:rsidR="00DE09EC" w:rsidRPr="00984485">
        <w:rPr>
          <w:sz w:val="28"/>
          <w:szCs w:val="28"/>
        </w:rPr>
        <w:t xml:space="preserve"> </w:t>
      </w:r>
      <w:r w:rsidRPr="00984485">
        <w:rPr>
          <w:sz w:val="28"/>
          <w:szCs w:val="28"/>
        </w:rPr>
        <w:t>закреплено положение о том, что Центральный Банк Российской Федерации является органом кредитно-денежного регулирования. Объектом регулирования выступает объём и структура денежной массы в обращении.</w:t>
      </w:r>
    </w:p>
    <w:p w:rsidR="00257B93" w:rsidRPr="00984485" w:rsidRDefault="00257B93" w:rsidP="0083340F">
      <w:pPr>
        <w:spacing w:line="360" w:lineRule="auto"/>
        <w:ind w:firstLine="709"/>
        <w:jc w:val="both"/>
        <w:rPr>
          <w:sz w:val="28"/>
          <w:szCs w:val="28"/>
        </w:rPr>
      </w:pPr>
      <w:r w:rsidRPr="00984485">
        <w:rPr>
          <w:sz w:val="28"/>
          <w:szCs w:val="28"/>
        </w:rPr>
        <w:t>В 1994 – первой половине 1998 наиболее действенным средством выполнения в России основной задачи кредитно-денежной политики – сдерживания инфляции – было соблюдение положений ежегодно разрабатываемой Денежной Программы, предусматривающей целевые ориентиры в кредитно-денежной сфере. При разработки этой программы Банк России исходил из прогнозируемых показателей состояния экономики (изменение в её отдельных секторах и ВВП в целом, инфляции, дефицита государственного бюджета, международных резервов и т.д.), устанавливал поквартальные предельные величина роста денежной массы и денежной базы, а также другие целевые показатели.</w:t>
      </w:r>
    </w:p>
    <w:p w:rsidR="00257B93" w:rsidRPr="00984485" w:rsidRDefault="00257B93" w:rsidP="0083340F">
      <w:pPr>
        <w:spacing w:line="360" w:lineRule="auto"/>
        <w:ind w:firstLine="709"/>
        <w:jc w:val="both"/>
        <w:rPr>
          <w:sz w:val="28"/>
          <w:szCs w:val="28"/>
        </w:rPr>
      </w:pPr>
      <w:r w:rsidRPr="00984485">
        <w:rPr>
          <w:sz w:val="28"/>
          <w:szCs w:val="28"/>
        </w:rPr>
        <w:t>Осуществление этой политики в указанный период имело следствием замедление темпов инфляции в 1995 – первой половине 1998.</w:t>
      </w:r>
    </w:p>
    <w:p w:rsidR="00257B93" w:rsidRPr="00984485" w:rsidRDefault="00257B93" w:rsidP="0083340F">
      <w:pPr>
        <w:spacing w:line="360" w:lineRule="auto"/>
        <w:ind w:firstLine="709"/>
        <w:jc w:val="both"/>
        <w:rPr>
          <w:sz w:val="28"/>
          <w:szCs w:val="28"/>
        </w:rPr>
      </w:pPr>
      <w:r w:rsidRPr="00984485">
        <w:rPr>
          <w:sz w:val="28"/>
          <w:szCs w:val="28"/>
        </w:rPr>
        <w:t>По мнению ведущих российских специалистов главная причина кризиса 1998 года – ошибочная экономическая и кредитно-денежная политика Правительства и Банка России. Она не была ориентирована на подъём и повышение эффективности реальной экономики, так как опора делалась главным образом на весьма жесткий монетаризм. Материальное производство (реальный сектор) – основа любой экономики – с каждым годом сокращался. Значительная часть капиталов Банковской системы использовалась для финансирования большого дефицита государственного бюджета с использованием пирамиды ГКО и других ценных бумаг.</w:t>
      </w:r>
    </w:p>
    <w:p w:rsidR="00257B93" w:rsidRPr="00984485" w:rsidRDefault="00257B93" w:rsidP="0083340F">
      <w:pPr>
        <w:spacing w:line="360" w:lineRule="auto"/>
        <w:ind w:firstLine="709"/>
        <w:jc w:val="both"/>
        <w:rPr>
          <w:sz w:val="28"/>
          <w:szCs w:val="28"/>
        </w:rPr>
      </w:pPr>
      <w:r w:rsidRPr="00984485">
        <w:rPr>
          <w:sz w:val="28"/>
          <w:szCs w:val="28"/>
        </w:rPr>
        <w:t>Отказ Правительства от платежей по ГКО в целом блокировал почти 16% активов, а по крупным банкам – 40-50% активов, которые рассматриваются банками как наиболее ликвидные и надёжные.</w:t>
      </w:r>
    </w:p>
    <w:p w:rsidR="00257B93" w:rsidRPr="00984485" w:rsidRDefault="00257B93" w:rsidP="0083340F">
      <w:pPr>
        <w:spacing w:line="360" w:lineRule="auto"/>
        <w:ind w:firstLine="709"/>
        <w:jc w:val="both"/>
        <w:rPr>
          <w:sz w:val="28"/>
          <w:szCs w:val="28"/>
        </w:rPr>
      </w:pPr>
      <w:r w:rsidRPr="00984485">
        <w:rPr>
          <w:sz w:val="28"/>
          <w:szCs w:val="28"/>
        </w:rPr>
        <w:t>Для преодоления банковского кризиса был принят план реструктуризации (новация государственных ценных бумаг), создано Агентство по реструктуризации кредитных организаций, ряда банков были выданы стабилизированные кредиты и т.д.</w:t>
      </w:r>
    </w:p>
    <w:p w:rsidR="00257B93" w:rsidRPr="00984485" w:rsidRDefault="00257B93" w:rsidP="0083340F">
      <w:pPr>
        <w:spacing w:line="360" w:lineRule="auto"/>
        <w:ind w:firstLine="709"/>
        <w:jc w:val="both"/>
        <w:rPr>
          <w:sz w:val="28"/>
          <w:szCs w:val="28"/>
        </w:rPr>
      </w:pPr>
      <w:r w:rsidRPr="00984485">
        <w:rPr>
          <w:sz w:val="28"/>
          <w:szCs w:val="28"/>
        </w:rPr>
        <w:t>До августа 1998 кредитно-денежная политика создавала стимулы для концентрации и использования ресурсов банков на обеспечение расходов бюджета. Более разумным путём является кардинальная переориентация финансовых потоков, которые концентрируются в банковской системе. Банковские ресурсы должны использоваться главным образом в операциях с реальным сектором.</w:t>
      </w:r>
    </w:p>
    <w:p w:rsidR="00257B93" w:rsidRPr="00984485" w:rsidRDefault="00257B93" w:rsidP="0083340F">
      <w:pPr>
        <w:spacing w:line="360" w:lineRule="auto"/>
        <w:ind w:firstLine="709"/>
        <w:jc w:val="both"/>
        <w:rPr>
          <w:sz w:val="28"/>
          <w:szCs w:val="28"/>
        </w:rPr>
      </w:pPr>
      <w:r w:rsidRPr="00984485">
        <w:rPr>
          <w:sz w:val="28"/>
          <w:szCs w:val="28"/>
        </w:rPr>
        <w:t>Приоритетные направления государственной поддержки:</w:t>
      </w:r>
    </w:p>
    <w:p w:rsidR="00257B93" w:rsidRPr="00984485" w:rsidRDefault="00257B93" w:rsidP="0083340F">
      <w:pPr>
        <w:widowControl/>
        <w:numPr>
          <w:ilvl w:val="0"/>
          <w:numId w:val="1"/>
        </w:numPr>
        <w:autoSpaceDE/>
        <w:autoSpaceDN/>
        <w:adjustRightInd/>
        <w:spacing w:line="360" w:lineRule="auto"/>
        <w:ind w:left="0" w:firstLine="709"/>
        <w:jc w:val="both"/>
        <w:rPr>
          <w:sz w:val="28"/>
          <w:szCs w:val="28"/>
        </w:rPr>
      </w:pPr>
      <w:r w:rsidRPr="00984485">
        <w:rPr>
          <w:sz w:val="28"/>
          <w:szCs w:val="28"/>
        </w:rPr>
        <w:t>Стимулирование внешнеэкономической деятельности;</w:t>
      </w:r>
    </w:p>
    <w:p w:rsidR="00257B93" w:rsidRPr="00984485" w:rsidRDefault="00257B93" w:rsidP="0083340F">
      <w:pPr>
        <w:widowControl/>
        <w:numPr>
          <w:ilvl w:val="0"/>
          <w:numId w:val="1"/>
        </w:numPr>
        <w:autoSpaceDE/>
        <w:autoSpaceDN/>
        <w:adjustRightInd/>
        <w:spacing w:line="360" w:lineRule="auto"/>
        <w:ind w:left="0" w:firstLine="709"/>
        <w:jc w:val="both"/>
        <w:rPr>
          <w:sz w:val="28"/>
          <w:szCs w:val="28"/>
        </w:rPr>
      </w:pPr>
      <w:r w:rsidRPr="00984485">
        <w:rPr>
          <w:sz w:val="28"/>
          <w:szCs w:val="28"/>
        </w:rPr>
        <w:t>Инвестиционные проекты в развитие передовых технологий и отрасли промышленности, прежде всего в экспортное производство и импортозамещение;</w:t>
      </w:r>
    </w:p>
    <w:p w:rsidR="00257B93" w:rsidRPr="00984485" w:rsidRDefault="00257B93" w:rsidP="0083340F">
      <w:pPr>
        <w:widowControl/>
        <w:numPr>
          <w:ilvl w:val="0"/>
          <w:numId w:val="1"/>
        </w:numPr>
        <w:autoSpaceDE/>
        <w:autoSpaceDN/>
        <w:adjustRightInd/>
        <w:spacing w:line="360" w:lineRule="auto"/>
        <w:ind w:left="0" w:firstLine="709"/>
        <w:jc w:val="both"/>
        <w:rPr>
          <w:sz w:val="28"/>
          <w:szCs w:val="28"/>
        </w:rPr>
      </w:pPr>
      <w:r w:rsidRPr="00984485">
        <w:rPr>
          <w:sz w:val="28"/>
          <w:szCs w:val="28"/>
        </w:rPr>
        <w:t>Обеспечение реструктуризации и повышения эффективности сельского хозяйства;</w:t>
      </w:r>
    </w:p>
    <w:p w:rsidR="00257B93" w:rsidRPr="00984485" w:rsidRDefault="00257B93" w:rsidP="0083340F">
      <w:pPr>
        <w:widowControl/>
        <w:numPr>
          <w:ilvl w:val="0"/>
          <w:numId w:val="1"/>
        </w:numPr>
        <w:autoSpaceDE/>
        <w:autoSpaceDN/>
        <w:adjustRightInd/>
        <w:spacing w:line="360" w:lineRule="auto"/>
        <w:ind w:left="0" w:firstLine="709"/>
        <w:jc w:val="both"/>
        <w:rPr>
          <w:sz w:val="28"/>
          <w:szCs w:val="28"/>
        </w:rPr>
      </w:pPr>
      <w:r w:rsidRPr="00984485">
        <w:rPr>
          <w:sz w:val="28"/>
          <w:szCs w:val="28"/>
        </w:rPr>
        <w:t>Кредитование жилищного строительства (ипотека)</w:t>
      </w:r>
    </w:p>
    <w:p w:rsidR="00257B93" w:rsidRPr="00984485" w:rsidRDefault="00257B93" w:rsidP="0083340F">
      <w:pPr>
        <w:spacing w:line="360" w:lineRule="auto"/>
        <w:ind w:firstLine="709"/>
        <w:jc w:val="both"/>
        <w:rPr>
          <w:sz w:val="28"/>
          <w:szCs w:val="28"/>
        </w:rPr>
      </w:pPr>
      <w:r w:rsidRPr="00984485">
        <w:rPr>
          <w:sz w:val="28"/>
          <w:szCs w:val="28"/>
        </w:rPr>
        <w:t>Одновременно в рамках предложений Банка России предусматривается определение структурных приоритетов промышленности и региональной политики, а также создание системы финансовых стимулов развития реального сектора, включая государственные гарантия по кредитам.</w:t>
      </w:r>
    </w:p>
    <w:p w:rsidR="000079CC" w:rsidRPr="00984485" w:rsidRDefault="00F16B16" w:rsidP="0083340F">
      <w:pPr>
        <w:pStyle w:val="a8"/>
        <w:spacing w:before="0" w:beforeAutospacing="0" w:after="0" w:afterAutospacing="0" w:line="360" w:lineRule="auto"/>
        <w:ind w:firstLine="709"/>
        <w:jc w:val="both"/>
        <w:rPr>
          <w:sz w:val="28"/>
          <w:szCs w:val="28"/>
        </w:rPr>
      </w:pPr>
      <w:r w:rsidRPr="00984485">
        <w:rPr>
          <w:sz w:val="28"/>
          <w:szCs w:val="28"/>
        </w:rPr>
        <w:t>Три</w:t>
      </w:r>
      <w:r w:rsidR="000079CC" w:rsidRPr="00984485">
        <w:rPr>
          <w:sz w:val="28"/>
          <w:szCs w:val="28"/>
        </w:rPr>
        <w:t xml:space="preserve"> основных способа претворения в жизнь кредитно-денежной политики Банка Рос</w:t>
      </w:r>
      <w:r w:rsidR="00257B93" w:rsidRPr="00984485">
        <w:rPr>
          <w:sz w:val="28"/>
          <w:szCs w:val="28"/>
        </w:rPr>
        <w:t>сии в банковские инфраструктуры:</w:t>
      </w:r>
    </w:p>
    <w:p w:rsidR="00E329DB"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Изменения требований к уровню обязательных резервов</w:t>
      </w:r>
      <w:r w:rsidR="00E91D39" w:rsidRPr="00984485">
        <w:rPr>
          <w:sz w:val="28"/>
          <w:szCs w:val="28"/>
        </w:rPr>
        <w:t>.</w:t>
      </w:r>
      <w:r w:rsidR="00DE09EC" w:rsidRPr="00984485">
        <w:rPr>
          <w:sz w:val="28"/>
          <w:szCs w:val="28"/>
        </w:rPr>
        <w:t xml:space="preserve"> </w:t>
      </w:r>
      <w:r w:rsidRPr="00984485">
        <w:rPr>
          <w:sz w:val="28"/>
          <w:szCs w:val="28"/>
        </w:rPr>
        <w:t xml:space="preserve">Поскольку процесс мультипликации кредита регулируется нормативом обязательных резервов (m = 1/R) , депонируемых в Банк России, постольку этот механизм представляет собой инструмент кредитно-денежной политики Банка России. Например, Банк России на 1991 год установил норматив на уровне 2%, а уже в 1992 году довел его до 20%. Увеличение резервной нормы произошло по двум причинам. </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i/>
          <w:iCs/>
          <w:sz w:val="28"/>
          <w:szCs w:val="28"/>
        </w:rPr>
        <w:t>Во-первых</w:t>
      </w:r>
      <w:r w:rsidRPr="00984485">
        <w:rPr>
          <w:sz w:val="28"/>
          <w:szCs w:val="28"/>
        </w:rPr>
        <w:t xml:space="preserve">, в условиях усиления инфляции обостряется проблема ликвидности банков, и повышение уровня обязательных резервов в ряде случаев ослабляет эту тенденцию. </w:t>
      </w:r>
      <w:r w:rsidRPr="00984485">
        <w:rPr>
          <w:i/>
          <w:iCs/>
          <w:sz w:val="28"/>
          <w:szCs w:val="28"/>
        </w:rPr>
        <w:t>Во-вторых,</w:t>
      </w:r>
      <w:r w:rsidRPr="00984485">
        <w:rPr>
          <w:sz w:val="28"/>
          <w:szCs w:val="28"/>
        </w:rPr>
        <w:t xml:space="preserve"> инфляция требует жесткости в регулировании кредитной эмиссии. Однако на практике есть небольшое противоречие. Обязательные резервы поддерживают ликвидность банков, если они представляют собой кассовую наличность. На практике использовать резервные депозиты в Банке России для неотложных платежей довольно сложно. По этой причине многие банки, не на деясь на обязательные резервы, оперативно привлекают в свой оборот межбанковский кредит, предоставляемый другими банками. </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 xml:space="preserve">Итак, рост резервной нормы увеличивает количество обязательных резервов, которые должны держать банки. Тут либо банки потеряют избыточные резервы, понизив свою способность создавать деньги путем кредитования, либо они сочтут свои резервы недостаточными и будут вынуждены уменьшить свои чековые счета и тем самым денежное предложение. Сильное повышение резервной нормы может свести на нет способность банковской системы к созданию кредитов. </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 xml:space="preserve">Уменьшение резервной нормы действует на денежное предложение обратным образом. Оно переводит часть обязательных резервов в избыточные и, тем самым, увеличивает способность банков создавать деньги путем кредитования. </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Изменение банковской учетной ставки</w:t>
      </w:r>
      <w:r w:rsidR="00DE09EC" w:rsidRPr="00984485">
        <w:rPr>
          <w:sz w:val="28"/>
          <w:szCs w:val="28"/>
        </w:rPr>
        <w:t xml:space="preserve"> </w:t>
      </w:r>
      <w:r w:rsidRPr="00984485">
        <w:rPr>
          <w:sz w:val="28"/>
          <w:szCs w:val="28"/>
        </w:rPr>
        <w:t xml:space="preserve">Банк России предоставляет ссуды банкам, которые обладают твердым финансовым положением, но неожиданно сталкиваются с необходимостью срочного получения дополнительных средств. Процентный платеж по ссуде называется "учетной ставкой". Банк России имеет право устанавливать учетную ставку на кредит. С 15 октября 1993 года ставка по процентам Банка России установлена в размере 210% годовых. Снижение учетной ставки поощряет банки брать кредиты, тем самым, увеличивается их способность к кредитованию, и денежное предложение повышается. И, наоборот, рост учетной ставки снижает интерес банков к получению кредитов. Не происходит увеличения кредитоспособности банков, следователь но, </w:t>
      </w:r>
      <w:r w:rsidR="00DE09EC" w:rsidRPr="00984485">
        <w:rPr>
          <w:sz w:val="28"/>
          <w:szCs w:val="28"/>
        </w:rPr>
        <w:t>-</w:t>
      </w:r>
      <w:r w:rsidRPr="00984485">
        <w:rPr>
          <w:sz w:val="28"/>
          <w:szCs w:val="28"/>
        </w:rPr>
        <w:t xml:space="preserve"> увеличения денежного предложения. </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Операции на открытом рынке</w:t>
      </w:r>
      <w:r w:rsidR="00DE09EC" w:rsidRPr="00984485">
        <w:rPr>
          <w:sz w:val="28"/>
          <w:szCs w:val="28"/>
        </w:rPr>
        <w:t xml:space="preserve"> </w:t>
      </w:r>
      <w:r w:rsidRPr="00984485">
        <w:rPr>
          <w:sz w:val="28"/>
          <w:szCs w:val="28"/>
        </w:rPr>
        <w:t>Операции на открытом рынке означают покупку или продажу государственных ценных бумаг Банком России банкам и населению. По сути дела этот инструмент кредитно-денежной политики Банка России работает пока плохо. Это происходит из-за нескольких причин:</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1. Настороженность и недоверие участников рынка и инвесторов к государству, что вызвано печальным историческим опытом;</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2. Неразработанность рыночных процедур реализации и торговли государственными ценными бумагами;</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3. Относительно невыгодными финансовыми условиями выпущенных российских облигаций;</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 xml:space="preserve">4. Общим экономическим кризисом в хозяйстве, который де лает невыгодным выпуск долговых обязательств вообще, а государственных в частности. </w:t>
      </w:r>
    </w:p>
    <w:p w:rsidR="000079CC" w:rsidRPr="00984485" w:rsidRDefault="000079CC" w:rsidP="0083340F">
      <w:pPr>
        <w:pStyle w:val="a8"/>
        <w:spacing w:before="0" w:beforeAutospacing="0" w:after="0" w:afterAutospacing="0" w:line="360" w:lineRule="auto"/>
        <w:ind w:firstLine="709"/>
        <w:jc w:val="both"/>
        <w:rPr>
          <w:sz w:val="28"/>
          <w:szCs w:val="28"/>
        </w:rPr>
      </w:pPr>
      <w:r w:rsidRPr="00984485">
        <w:rPr>
          <w:sz w:val="28"/>
          <w:szCs w:val="28"/>
        </w:rPr>
        <w:t xml:space="preserve">Банк России выкупил весь заем выпущенный Минфином 1 июня 1991 года сроком на 30 лет и 1 октября 1991 года сроком на 3 года. Эти облигации в обязательном порядке куплены Сбербанком и в добровольном </w:t>
      </w:r>
      <w:r w:rsidR="00DE09EC" w:rsidRPr="00984485">
        <w:rPr>
          <w:sz w:val="28"/>
          <w:szCs w:val="28"/>
        </w:rPr>
        <w:t>-</w:t>
      </w:r>
      <w:r w:rsidRPr="00984485">
        <w:rPr>
          <w:sz w:val="28"/>
          <w:szCs w:val="28"/>
        </w:rPr>
        <w:t xml:space="preserve"> коммерческими банками, что с приобретением опыта и изменением конъюнктуры операции, проводимые Банком России на открытом рынке, возымеют должный эффект, так как в мировой практике операции на открытом рынке </w:t>
      </w:r>
      <w:r w:rsidR="00DE09EC" w:rsidRPr="00984485">
        <w:rPr>
          <w:sz w:val="28"/>
          <w:szCs w:val="28"/>
        </w:rPr>
        <w:t>-</w:t>
      </w:r>
      <w:r w:rsidRPr="00984485">
        <w:rPr>
          <w:sz w:val="28"/>
          <w:szCs w:val="28"/>
        </w:rPr>
        <w:t xml:space="preserve"> наиболее важное средство контроля денежного предложения. </w:t>
      </w:r>
    </w:p>
    <w:p w:rsidR="00193B94" w:rsidRPr="00984485" w:rsidRDefault="00193B94" w:rsidP="0083340F">
      <w:pPr>
        <w:pStyle w:val="a8"/>
        <w:spacing w:before="0" w:beforeAutospacing="0" w:after="0" w:afterAutospacing="0" w:line="360" w:lineRule="auto"/>
        <w:ind w:firstLine="709"/>
        <w:jc w:val="both"/>
        <w:rPr>
          <w:sz w:val="28"/>
          <w:szCs w:val="28"/>
        </w:rPr>
      </w:pPr>
      <w:r w:rsidRPr="00984485">
        <w:rPr>
          <w:sz w:val="28"/>
          <w:szCs w:val="28"/>
        </w:rPr>
        <w:t>В странах с развитой рыночной экономикой административные меры чаще применяют в условиях кризисов. Так, например, по причине сильной инфляции и неэффективного воздействия центральным банком на процесс кредитования к началу 1958г. во Франции возникла необходимость дополнить регулирование банковской ликвидности прямым вмешательством в распределение кредитов. В феврале каждому банку было предложено при предоставлении кредитов не превышать, за незначительными исключениями, максимальную сумм, равную средней арифметической сумме кредитов, выданных 30 сентября и 31 декабря 1957г. Этот порядок был отменен в феврале 1959г., как только условия позволили это сделать. Позже, с февраля 1963г. по июнь 1965г., а затем с октября 1968г. по октябрь 1970г., французские финансовые органы снова прибегли к этому лимитированию, чтобы создать условия для восстановления денежного</w:t>
      </w:r>
      <w:r w:rsidR="00257B93" w:rsidRPr="00984485">
        <w:rPr>
          <w:sz w:val="28"/>
          <w:szCs w:val="28"/>
        </w:rPr>
        <w:t xml:space="preserve"> и финансового равновесия»</w:t>
      </w:r>
    </w:p>
    <w:p w:rsidR="007332BA" w:rsidRPr="00984485" w:rsidRDefault="007332BA" w:rsidP="0083340F">
      <w:pPr>
        <w:spacing w:line="360" w:lineRule="auto"/>
        <w:ind w:firstLine="709"/>
        <w:jc w:val="both"/>
        <w:rPr>
          <w:sz w:val="28"/>
          <w:szCs w:val="28"/>
        </w:rPr>
      </w:pPr>
      <w:r w:rsidRPr="00984485">
        <w:rPr>
          <w:sz w:val="28"/>
          <w:szCs w:val="28"/>
        </w:rPr>
        <w:t>На сегодня перед Банком России стоит задача на основе текущей политики и действующего механизма обеспечить устойчивый низко</w:t>
      </w:r>
      <w:r w:rsidR="00257B93" w:rsidRPr="00984485">
        <w:rPr>
          <w:sz w:val="28"/>
          <w:szCs w:val="28"/>
        </w:rPr>
        <w:t xml:space="preserve"> </w:t>
      </w:r>
      <w:r w:rsidRPr="00984485">
        <w:rPr>
          <w:sz w:val="28"/>
          <w:szCs w:val="28"/>
        </w:rPr>
        <w:t>инфляционный рост. И уже сегодня происходят коренные изменения в использовании инструментов денежно-кредитной политики в России, например, явно замечено некоторое начало перехода от преимущественно административных методов регулирования банковской деятельности к экономическим.</w:t>
      </w:r>
    </w:p>
    <w:p w:rsidR="007332BA" w:rsidRPr="00984485" w:rsidRDefault="007332BA" w:rsidP="0083340F">
      <w:pPr>
        <w:spacing w:line="360" w:lineRule="auto"/>
        <w:ind w:firstLine="709"/>
        <w:jc w:val="both"/>
        <w:rPr>
          <w:sz w:val="28"/>
          <w:szCs w:val="28"/>
        </w:rPr>
      </w:pPr>
      <w:r w:rsidRPr="00984485">
        <w:rPr>
          <w:sz w:val="28"/>
          <w:szCs w:val="28"/>
        </w:rPr>
        <w:t xml:space="preserve">Сегодня доля на мировом рынке кредитов сегодня характеризует уже не только успехи центрального банка, надежность национальной валюты, но и эффективность всей экономической деятельности той или иной страны. </w:t>
      </w:r>
    </w:p>
    <w:p w:rsidR="00257B93" w:rsidRPr="00984485" w:rsidRDefault="00F16B16" w:rsidP="0083340F">
      <w:pPr>
        <w:spacing w:line="360" w:lineRule="auto"/>
        <w:ind w:firstLine="709"/>
        <w:jc w:val="both"/>
        <w:rPr>
          <w:b/>
          <w:bCs/>
          <w:sz w:val="28"/>
          <w:szCs w:val="28"/>
        </w:rPr>
      </w:pPr>
      <w:r w:rsidRPr="00984485">
        <w:rPr>
          <w:sz w:val="28"/>
          <w:szCs w:val="28"/>
        </w:rPr>
        <w:br w:type="page"/>
      </w:r>
      <w:r w:rsidR="00257B93" w:rsidRPr="00984485">
        <w:rPr>
          <w:b/>
          <w:bCs/>
          <w:sz w:val="28"/>
          <w:szCs w:val="28"/>
        </w:rPr>
        <w:t>Список использованной литературы</w:t>
      </w:r>
    </w:p>
    <w:p w:rsidR="00F16B16" w:rsidRPr="00984485" w:rsidRDefault="00F16B16" w:rsidP="0083340F">
      <w:pPr>
        <w:spacing w:line="360" w:lineRule="auto"/>
        <w:ind w:firstLine="709"/>
        <w:jc w:val="both"/>
        <w:rPr>
          <w:b/>
          <w:bCs/>
          <w:sz w:val="28"/>
          <w:szCs w:val="28"/>
        </w:rPr>
      </w:pPr>
    </w:p>
    <w:p w:rsidR="003C796B" w:rsidRPr="00984485" w:rsidRDefault="003C796B" w:rsidP="00F16B16">
      <w:pPr>
        <w:widowControl/>
        <w:shd w:val="clear" w:color="auto" w:fill="FFFFFF"/>
        <w:tabs>
          <w:tab w:val="left" w:pos="2923"/>
        </w:tabs>
        <w:autoSpaceDE/>
        <w:autoSpaceDN/>
        <w:adjustRightInd/>
        <w:spacing w:line="360" w:lineRule="auto"/>
        <w:jc w:val="both"/>
        <w:rPr>
          <w:sz w:val="28"/>
          <w:szCs w:val="28"/>
        </w:rPr>
      </w:pPr>
      <w:r w:rsidRPr="00984485">
        <w:rPr>
          <w:sz w:val="28"/>
          <w:szCs w:val="28"/>
        </w:rPr>
        <w:t>1. Закон Российской Федерации «О денежной системе РФ» от 25 сентября 1992.</w:t>
      </w:r>
    </w:p>
    <w:p w:rsidR="003C796B" w:rsidRPr="00984485" w:rsidRDefault="003C796B" w:rsidP="00F16B16">
      <w:pPr>
        <w:widowControl/>
        <w:autoSpaceDE/>
        <w:autoSpaceDN/>
        <w:adjustRightInd/>
        <w:spacing w:line="360" w:lineRule="auto"/>
        <w:jc w:val="both"/>
        <w:rPr>
          <w:sz w:val="28"/>
          <w:szCs w:val="28"/>
        </w:rPr>
      </w:pPr>
      <w:r w:rsidRPr="00984485">
        <w:rPr>
          <w:sz w:val="28"/>
          <w:szCs w:val="28"/>
        </w:rPr>
        <w:t>2. Абрамова М.А., Александрова Л.С. «Финансы, денежное обращение и кредит». М.: институт междуна</w:t>
      </w:r>
      <w:r w:rsidR="00F16B16" w:rsidRPr="00984485">
        <w:rPr>
          <w:sz w:val="28"/>
          <w:szCs w:val="28"/>
        </w:rPr>
        <w:t>родного права и экономики, 2005.</w:t>
      </w:r>
    </w:p>
    <w:p w:rsidR="003C796B" w:rsidRPr="00984485" w:rsidRDefault="00367FEC" w:rsidP="00F16B16">
      <w:pPr>
        <w:widowControl/>
        <w:autoSpaceDE/>
        <w:autoSpaceDN/>
        <w:adjustRightInd/>
        <w:spacing w:line="360" w:lineRule="auto"/>
        <w:jc w:val="both"/>
        <w:rPr>
          <w:sz w:val="28"/>
          <w:szCs w:val="28"/>
        </w:rPr>
      </w:pPr>
      <w:r w:rsidRPr="00984485">
        <w:rPr>
          <w:sz w:val="28"/>
          <w:szCs w:val="28"/>
        </w:rPr>
        <w:t>3. Галицкая С.</w:t>
      </w:r>
      <w:r w:rsidR="003C796B" w:rsidRPr="00984485">
        <w:rPr>
          <w:sz w:val="28"/>
          <w:szCs w:val="28"/>
        </w:rPr>
        <w:t>В. Деньги, кредит, банки. -</w:t>
      </w:r>
      <w:r w:rsidR="00F16B16" w:rsidRPr="00984485">
        <w:rPr>
          <w:sz w:val="28"/>
          <w:szCs w:val="28"/>
        </w:rPr>
        <w:t xml:space="preserve"> </w:t>
      </w:r>
      <w:r w:rsidR="003C796B" w:rsidRPr="00984485">
        <w:rPr>
          <w:sz w:val="28"/>
          <w:szCs w:val="28"/>
        </w:rPr>
        <w:t>М.: Экзамен, 2</w:t>
      </w:r>
      <w:r w:rsidR="00F16B16" w:rsidRPr="00984485">
        <w:rPr>
          <w:sz w:val="28"/>
          <w:szCs w:val="28"/>
        </w:rPr>
        <w:t>006.</w:t>
      </w:r>
    </w:p>
    <w:p w:rsidR="003C796B" w:rsidRPr="00984485" w:rsidRDefault="003C796B" w:rsidP="00F16B16">
      <w:pPr>
        <w:widowControl/>
        <w:autoSpaceDE/>
        <w:autoSpaceDN/>
        <w:adjustRightInd/>
        <w:spacing w:line="360" w:lineRule="auto"/>
        <w:jc w:val="both"/>
        <w:rPr>
          <w:sz w:val="28"/>
          <w:szCs w:val="28"/>
        </w:rPr>
      </w:pPr>
      <w:r w:rsidRPr="00984485">
        <w:rPr>
          <w:sz w:val="28"/>
          <w:szCs w:val="28"/>
        </w:rPr>
        <w:t>4.</w:t>
      </w:r>
      <w:r w:rsidR="00DE09EC" w:rsidRPr="00984485">
        <w:rPr>
          <w:sz w:val="28"/>
          <w:szCs w:val="28"/>
        </w:rPr>
        <w:t xml:space="preserve"> </w:t>
      </w:r>
      <w:r w:rsidRPr="00984485">
        <w:rPr>
          <w:sz w:val="28"/>
          <w:szCs w:val="28"/>
        </w:rPr>
        <w:t>Камбел Д. Деньги, денежное обращение и банковское дело. -</w:t>
      </w:r>
      <w:r w:rsidR="00F16B16" w:rsidRPr="00984485">
        <w:rPr>
          <w:sz w:val="28"/>
          <w:szCs w:val="28"/>
        </w:rPr>
        <w:t xml:space="preserve"> </w:t>
      </w:r>
      <w:r w:rsidRPr="00984485">
        <w:rPr>
          <w:sz w:val="28"/>
          <w:szCs w:val="28"/>
        </w:rPr>
        <w:t xml:space="preserve">М.: </w:t>
      </w:r>
      <w:r w:rsidR="00833FBC" w:rsidRPr="00984485">
        <w:rPr>
          <w:sz w:val="28"/>
          <w:szCs w:val="28"/>
        </w:rPr>
        <w:t>2003</w:t>
      </w:r>
      <w:r w:rsidR="00F16B16" w:rsidRPr="00984485">
        <w:rPr>
          <w:sz w:val="28"/>
          <w:szCs w:val="28"/>
        </w:rPr>
        <w:t>.</w:t>
      </w:r>
    </w:p>
    <w:p w:rsidR="00833FBC" w:rsidRPr="00984485" w:rsidRDefault="00833FBC" w:rsidP="00F16B16">
      <w:pPr>
        <w:widowControl/>
        <w:autoSpaceDE/>
        <w:autoSpaceDN/>
        <w:adjustRightInd/>
        <w:spacing w:line="360" w:lineRule="auto"/>
        <w:jc w:val="both"/>
        <w:rPr>
          <w:sz w:val="28"/>
          <w:szCs w:val="28"/>
        </w:rPr>
      </w:pPr>
      <w:r w:rsidRPr="00984485">
        <w:rPr>
          <w:sz w:val="28"/>
          <w:szCs w:val="28"/>
        </w:rPr>
        <w:t>5. Финансы / Под ред. М.В. Родионовой. -</w:t>
      </w:r>
      <w:r w:rsidR="00F16B16" w:rsidRPr="00984485">
        <w:rPr>
          <w:sz w:val="28"/>
          <w:szCs w:val="28"/>
        </w:rPr>
        <w:t xml:space="preserve"> </w:t>
      </w:r>
      <w:r w:rsidRPr="00984485">
        <w:rPr>
          <w:sz w:val="28"/>
          <w:szCs w:val="28"/>
        </w:rPr>
        <w:t>М.: Финансы и статистика, 2005</w:t>
      </w:r>
      <w:r w:rsidR="00F16B16" w:rsidRPr="00984485">
        <w:rPr>
          <w:sz w:val="28"/>
          <w:szCs w:val="28"/>
        </w:rPr>
        <w:t>.</w:t>
      </w:r>
    </w:p>
    <w:p w:rsidR="00833FBC" w:rsidRPr="00984485" w:rsidRDefault="00833FBC" w:rsidP="00F16B16">
      <w:pPr>
        <w:widowControl/>
        <w:autoSpaceDE/>
        <w:autoSpaceDN/>
        <w:adjustRightInd/>
        <w:spacing w:line="360" w:lineRule="auto"/>
        <w:jc w:val="both"/>
        <w:rPr>
          <w:i/>
          <w:iCs/>
          <w:sz w:val="28"/>
          <w:szCs w:val="28"/>
        </w:rPr>
      </w:pPr>
      <w:r w:rsidRPr="00984485">
        <w:rPr>
          <w:sz w:val="28"/>
          <w:szCs w:val="28"/>
        </w:rPr>
        <w:t>6.Финансы, денежное обращение и кредит /Под ред. Н.Ф. Самсонова. -</w:t>
      </w:r>
      <w:r w:rsidR="00367FEC" w:rsidRPr="00984485">
        <w:rPr>
          <w:sz w:val="28"/>
          <w:szCs w:val="28"/>
        </w:rPr>
        <w:t xml:space="preserve"> </w:t>
      </w:r>
      <w:r w:rsidRPr="00984485">
        <w:rPr>
          <w:sz w:val="28"/>
          <w:szCs w:val="28"/>
        </w:rPr>
        <w:t>М.: Инфра-М, 2004.</w:t>
      </w:r>
    </w:p>
    <w:p w:rsidR="00833FBC" w:rsidRPr="00984485" w:rsidRDefault="00833FBC" w:rsidP="00F16B16">
      <w:pPr>
        <w:widowControl/>
        <w:shd w:val="clear" w:color="auto" w:fill="FFFFFF"/>
        <w:tabs>
          <w:tab w:val="left" w:pos="2923"/>
        </w:tabs>
        <w:autoSpaceDE/>
        <w:autoSpaceDN/>
        <w:adjustRightInd/>
        <w:spacing w:line="360" w:lineRule="auto"/>
        <w:jc w:val="both"/>
        <w:rPr>
          <w:sz w:val="28"/>
          <w:szCs w:val="28"/>
        </w:rPr>
      </w:pPr>
      <w:r w:rsidRPr="00984485">
        <w:rPr>
          <w:sz w:val="28"/>
          <w:szCs w:val="28"/>
        </w:rPr>
        <w:t>7. Закон Российской Федерации «О центральном банке России (Банке России)» (с изменениями и дополнениями от 28 апреля 1997 г. № 70-ФЗ).</w:t>
      </w:r>
      <w:bookmarkStart w:id="0" w:name="_GoBack"/>
      <w:bookmarkEnd w:id="0"/>
    </w:p>
    <w:sectPr w:rsidR="00833FBC" w:rsidRPr="00984485" w:rsidSect="00ED12E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DB4" w:rsidRDefault="005A1DB4" w:rsidP="003C796B">
      <w:r>
        <w:separator/>
      </w:r>
    </w:p>
  </w:endnote>
  <w:endnote w:type="continuationSeparator" w:id="0">
    <w:p w:rsidR="005A1DB4" w:rsidRDefault="005A1DB4" w:rsidP="003C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DB4" w:rsidRDefault="005A1DB4" w:rsidP="003C796B">
      <w:r>
        <w:separator/>
      </w:r>
    </w:p>
  </w:footnote>
  <w:footnote w:type="continuationSeparator" w:id="0">
    <w:p w:rsidR="005A1DB4" w:rsidRDefault="005A1DB4" w:rsidP="003C7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05A60"/>
    <w:multiLevelType w:val="hybridMultilevel"/>
    <w:tmpl w:val="D94232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802469E"/>
    <w:multiLevelType w:val="singleLevel"/>
    <w:tmpl w:val="CB260FF6"/>
    <w:lvl w:ilvl="0">
      <w:start w:val="1"/>
      <w:numFmt w:val="decimal"/>
      <w:lvlText w:val="%1."/>
      <w:legacy w:legacy="1" w:legacySpace="0" w:legacyIndent="365"/>
      <w:lvlJc w:val="left"/>
      <w:rPr>
        <w:rFonts w:ascii="Times New Roman" w:hAnsi="Times New Roman" w:cs="Times New Roman" w:hint="default"/>
      </w:rPr>
    </w:lvl>
  </w:abstractNum>
  <w:abstractNum w:abstractNumId="2">
    <w:nsid w:val="555D0953"/>
    <w:multiLevelType w:val="hybridMultilevel"/>
    <w:tmpl w:val="CCD6B2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745"/>
    <w:rsid w:val="000079CC"/>
    <w:rsid w:val="00046470"/>
    <w:rsid w:val="000B2241"/>
    <w:rsid w:val="001352E7"/>
    <w:rsid w:val="00156D73"/>
    <w:rsid w:val="00183375"/>
    <w:rsid w:val="00193B94"/>
    <w:rsid w:val="002241D3"/>
    <w:rsid w:val="00245FA6"/>
    <w:rsid w:val="002501C0"/>
    <w:rsid w:val="00257B93"/>
    <w:rsid w:val="003164DD"/>
    <w:rsid w:val="003335A5"/>
    <w:rsid w:val="00352B1A"/>
    <w:rsid w:val="00367FEC"/>
    <w:rsid w:val="003C796B"/>
    <w:rsid w:val="00420364"/>
    <w:rsid w:val="004651CF"/>
    <w:rsid w:val="00554822"/>
    <w:rsid w:val="00577DCD"/>
    <w:rsid w:val="005A1DB4"/>
    <w:rsid w:val="005A33E2"/>
    <w:rsid w:val="005A7F30"/>
    <w:rsid w:val="005E4EC6"/>
    <w:rsid w:val="006822C4"/>
    <w:rsid w:val="00683309"/>
    <w:rsid w:val="0072633A"/>
    <w:rsid w:val="007332BA"/>
    <w:rsid w:val="00773F8C"/>
    <w:rsid w:val="007978AC"/>
    <w:rsid w:val="007A5A5F"/>
    <w:rsid w:val="007D4745"/>
    <w:rsid w:val="0083340F"/>
    <w:rsid w:val="00833FBC"/>
    <w:rsid w:val="008559F6"/>
    <w:rsid w:val="008610F3"/>
    <w:rsid w:val="00913AE5"/>
    <w:rsid w:val="00932B6A"/>
    <w:rsid w:val="00963BDF"/>
    <w:rsid w:val="00984485"/>
    <w:rsid w:val="009C286D"/>
    <w:rsid w:val="009F4D77"/>
    <w:rsid w:val="00A0692A"/>
    <w:rsid w:val="00A56034"/>
    <w:rsid w:val="00A561CF"/>
    <w:rsid w:val="00AC032F"/>
    <w:rsid w:val="00AD3D4D"/>
    <w:rsid w:val="00D0308D"/>
    <w:rsid w:val="00DE09EC"/>
    <w:rsid w:val="00E329DB"/>
    <w:rsid w:val="00E401BE"/>
    <w:rsid w:val="00E47C78"/>
    <w:rsid w:val="00E57AFB"/>
    <w:rsid w:val="00E80D2D"/>
    <w:rsid w:val="00E87B49"/>
    <w:rsid w:val="00E91D39"/>
    <w:rsid w:val="00EB3CE6"/>
    <w:rsid w:val="00ED12E6"/>
    <w:rsid w:val="00EE5D92"/>
    <w:rsid w:val="00F16B16"/>
    <w:rsid w:val="00F40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AC206D-D9B8-4242-96E8-5B5DA4F3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745"/>
    <w:pPr>
      <w:widowControl w:val="0"/>
      <w:autoSpaceDE w:val="0"/>
      <w:autoSpaceDN w:val="0"/>
      <w:adjustRightInd w:val="0"/>
    </w:pPr>
  </w:style>
  <w:style w:type="paragraph" w:styleId="1">
    <w:name w:val="heading 1"/>
    <w:basedOn w:val="a"/>
    <w:next w:val="a"/>
    <w:link w:val="10"/>
    <w:uiPriority w:val="99"/>
    <w:qFormat/>
    <w:rsid w:val="00352B1A"/>
    <w:pPr>
      <w:keepNext/>
      <w:outlineLvl w:val="0"/>
    </w:pPr>
    <w:rPr>
      <w:sz w:val="28"/>
      <w:szCs w:val="28"/>
    </w:rPr>
  </w:style>
  <w:style w:type="paragraph" w:styleId="2">
    <w:name w:val="heading 2"/>
    <w:basedOn w:val="a"/>
    <w:next w:val="a"/>
    <w:link w:val="20"/>
    <w:uiPriority w:val="99"/>
    <w:qFormat/>
    <w:rsid w:val="00352B1A"/>
    <w:pPr>
      <w:keepNext/>
      <w:outlineLvl w:val="1"/>
    </w:pPr>
    <w:rPr>
      <w:rFonts w:ascii="Arial" w:hAnsi="Arial" w:cs="Arial"/>
      <w:b/>
      <w:bCs/>
      <w:i/>
      <w:iCs/>
      <w:sz w:val="28"/>
      <w:szCs w:val="28"/>
    </w:rPr>
  </w:style>
  <w:style w:type="paragraph" w:styleId="3">
    <w:name w:val="heading 3"/>
    <w:basedOn w:val="a"/>
    <w:next w:val="a"/>
    <w:link w:val="30"/>
    <w:uiPriority w:val="99"/>
    <w:qFormat/>
    <w:rsid w:val="00352B1A"/>
    <w:pPr>
      <w:keepNext/>
      <w:outlineLvl w:val="2"/>
    </w:pPr>
    <w:rPr>
      <w:rFonts w:ascii="Arial" w:hAnsi="Arial" w:cs="Arial"/>
      <w:b/>
      <w:bCs/>
      <w:sz w:val="26"/>
      <w:szCs w:val="26"/>
    </w:rPr>
  </w:style>
  <w:style w:type="paragraph" w:styleId="4">
    <w:name w:val="heading 4"/>
    <w:basedOn w:val="a"/>
    <w:next w:val="a"/>
    <w:link w:val="40"/>
    <w:uiPriority w:val="99"/>
    <w:qFormat/>
    <w:rsid w:val="00352B1A"/>
    <w:pPr>
      <w:keepNext/>
      <w:outlineLvl w:val="3"/>
    </w:pPr>
    <w:rPr>
      <w:b/>
      <w:bCs/>
      <w:sz w:val="28"/>
      <w:szCs w:val="28"/>
    </w:rPr>
  </w:style>
  <w:style w:type="paragraph" w:styleId="5">
    <w:name w:val="heading 5"/>
    <w:basedOn w:val="a"/>
    <w:next w:val="a"/>
    <w:link w:val="50"/>
    <w:uiPriority w:val="99"/>
    <w:qFormat/>
    <w:rsid w:val="00352B1A"/>
    <w:pPr>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52B1A"/>
    <w:rPr>
      <w:rFonts w:ascii="Arial" w:hAnsi="Arial" w:cs="Arial"/>
      <w:b/>
      <w:bCs/>
      <w:i/>
      <w:iCs/>
      <w:sz w:val="28"/>
      <w:szCs w:val="28"/>
    </w:rPr>
  </w:style>
  <w:style w:type="character" w:customStyle="1" w:styleId="30">
    <w:name w:val="Заголовок 3 Знак"/>
    <w:link w:val="3"/>
    <w:uiPriority w:val="99"/>
    <w:locked/>
    <w:rsid w:val="00352B1A"/>
    <w:rPr>
      <w:rFonts w:ascii="Arial" w:hAnsi="Arial" w:cs="Arial"/>
      <w:b/>
      <w:bCs/>
      <w:sz w:val="26"/>
      <w:szCs w:val="26"/>
    </w:rPr>
  </w:style>
  <w:style w:type="character" w:customStyle="1" w:styleId="40">
    <w:name w:val="Заголовок 4 Знак"/>
    <w:link w:val="4"/>
    <w:uiPriority w:val="99"/>
    <w:locked/>
    <w:rsid w:val="00352B1A"/>
    <w:rPr>
      <w:b/>
      <w:bCs/>
      <w:sz w:val="28"/>
      <w:szCs w:val="28"/>
    </w:rPr>
  </w:style>
  <w:style w:type="character" w:customStyle="1" w:styleId="50">
    <w:name w:val="Заголовок 5 Знак"/>
    <w:link w:val="5"/>
    <w:uiPriority w:val="99"/>
    <w:locked/>
    <w:rsid w:val="00352B1A"/>
    <w:rPr>
      <w:b/>
      <w:bCs/>
      <w:i/>
      <w:iCs/>
      <w:sz w:val="26"/>
      <w:szCs w:val="26"/>
    </w:rPr>
  </w:style>
  <w:style w:type="paragraph" w:styleId="a3">
    <w:name w:val="Title"/>
    <w:basedOn w:val="a"/>
    <w:link w:val="a4"/>
    <w:uiPriority w:val="99"/>
    <w:qFormat/>
    <w:rsid w:val="00352B1A"/>
    <w:pPr>
      <w:shd w:val="clear" w:color="auto" w:fill="FFFFFF"/>
      <w:snapToGrid w:val="0"/>
      <w:spacing w:line="408" w:lineRule="atLeast"/>
      <w:ind w:left="288" w:hanging="274"/>
    </w:pPr>
    <w:rPr>
      <w:b/>
      <w:bCs/>
      <w:color w:val="000000"/>
      <w:spacing w:val="-13"/>
      <w:sz w:val="27"/>
      <w:szCs w:val="27"/>
    </w:rPr>
  </w:style>
  <w:style w:type="character" w:customStyle="1" w:styleId="10">
    <w:name w:val="Заголовок 1 Знак"/>
    <w:link w:val="1"/>
    <w:uiPriority w:val="99"/>
    <w:locked/>
    <w:rsid w:val="00352B1A"/>
    <w:rPr>
      <w:sz w:val="28"/>
      <w:szCs w:val="28"/>
    </w:rPr>
  </w:style>
  <w:style w:type="character" w:styleId="a5">
    <w:name w:val="Emphasis"/>
    <w:uiPriority w:val="99"/>
    <w:qFormat/>
    <w:rsid w:val="00352B1A"/>
    <w:rPr>
      <w:i/>
      <w:iCs/>
    </w:rPr>
  </w:style>
  <w:style w:type="character" w:customStyle="1" w:styleId="a4">
    <w:name w:val="Назва Знак"/>
    <w:link w:val="a3"/>
    <w:uiPriority w:val="99"/>
    <w:locked/>
    <w:rsid w:val="00352B1A"/>
    <w:rPr>
      <w:b/>
      <w:bCs/>
      <w:color w:val="000000"/>
      <w:spacing w:val="-13"/>
      <w:sz w:val="24"/>
      <w:szCs w:val="24"/>
      <w:shd w:val="clear" w:color="auto" w:fill="FFFFFF"/>
    </w:rPr>
  </w:style>
  <w:style w:type="paragraph" w:styleId="a6">
    <w:name w:val="Balloon Text"/>
    <w:basedOn w:val="a"/>
    <w:link w:val="a7"/>
    <w:uiPriority w:val="99"/>
    <w:semiHidden/>
    <w:rsid w:val="00E401BE"/>
    <w:rPr>
      <w:rFonts w:ascii="Tahoma" w:hAnsi="Tahoma" w:cs="Tahoma"/>
      <w:sz w:val="16"/>
      <w:szCs w:val="16"/>
    </w:rPr>
  </w:style>
  <w:style w:type="paragraph" w:styleId="a8">
    <w:name w:val="Normal (Web)"/>
    <w:basedOn w:val="a"/>
    <w:uiPriority w:val="99"/>
    <w:rsid w:val="000079CC"/>
    <w:pPr>
      <w:widowControl/>
      <w:autoSpaceDE/>
      <w:autoSpaceDN/>
      <w:adjustRightInd/>
      <w:spacing w:before="100" w:beforeAutospacing="1" w:after="100" w:afterAutospacing="1"/>
      <w:ind w:firstLine="720"/>
    </w:pPr>
    <w:rPr>
      <w:sz w:val="24"/>
      <w:szCs w:val="24"/>
    </w:rPr>
  </w:style>
  <w:style w:type="character" w:customStyle="1" w:styleId="a7">
    <w:name w:val="Текст у виносці Знак"/>
    <w:link w:val="a6"/>
    <w:uiPriority w:val="99"/>
    <w:semiHidden/>
    <w:locked/>
    <w:rsid w:val="00E401BE"/>
    <w:rPr>
      <w:rFonts w:ascii="Tahoma" w:hAnsi="Tahoma" w:cs="Tahoma"/>
      <w:sz w:val="16"/>
      <w:szCs w:val="16"/>
    </w:rPr>
  </w:style>
  <w:style w:type="paragraph" w:styleId="a9">
    <w:name w:val="header"/>
    <w:basedOn w:val="a"/>
    <w:link w:val="aa"/>
    <w:uiPriority w:val="99"/>
    <w:semiHidden/>
    <w:rsid w:val="003C796B"/>
    <w:pPr>
      <w:tabs>
        <w:tab w:val="center" w:pos="4677"/>
        <w:tab w:val="right" w:pos="9355"/>
      </w:tabs>
    </w:pPr>
  </w:style>
  <w:style w:type="paragraph" w:styleId="ab">
    <w:name w:val="footer"/>
    <w:basedOn w:val="a"/>
    <w:link w:val="ac"/>
    <w:uiPriority w:val="99"/>
    <w:rsid w:val="003C796B"/>
    <w:pPr>
      <w:tabs>
        <w:tab w:val="center" w:pos="4677"/>
        <w:tab w:val="right" w:pos="9355"/>
      </w:tabs>
    </w:pPr>
  </w:style>
  <w:style w:type="character" w:customStyle="1" w:styleId="aa">
    <w:name w:val="Верхній колонтитул Знак"/>
    <w:link w:val="a9"/>
    <w:uiPriority w:val="99"/>
    <w:semiHidden/>
    <w:locked/>
    <w:rsid w:val="003C796B"/>
  </w:style>
  <w:style w:type="paragraph" w:styleId="ad">
    <w:name w:val="footnote text"/>
    <w:basedOn w:val="a"/>
    <w:link w:val="ae"/>
    <w:uiPriority w:val="99"/>
    <w:semiHidden/>
    <w:rsid w:val="007978AC"/>
  </w:style>
  <w:style w:type="character" w:customStyle="1" w:styleId="ac">
    <w:name w:val="Нижній колонтитул Знак"/>
    <w:link w:val="ab"/>
    <w:uiPriority w:val="99"/>
    <w:locked/>
    <w:rsid w:val="003C796B"/>
  </w:style>
  <w:style w:type="character" w:styleId="af">
    <w:name w:val="footnote reference"/>
    <w:uiPriority w:val="99"/>
    <w:semiHidden/>
    <w:rsid w:val="007978AC"/>
    <w:rPr>
      <w:vertAlign w:val="superscript"/>
    </w:rPr>
  </w:style>
  <w:style w:type="character" w:customStyle="1" w:styleId="ae">
    <w:name w:val="Текст виноски Знак"/>
    <w:link w:val="ad"/>
    <w:uiPriority w:val="99"/>
    <w:semiHidden/>
    <w:locked/>
    <w:rsid w:val="007978AC"/>
  </w:style>
  <w:style w:type="paragraph" w:styleId="af0">
    <w:name w:val="List Paragraph"/>
    <w:basedOn w:val="a"/>
    <w:uiPriority w:val="99"/>
    <w:qFormat/>
    <w:rsid w:val="008610F3"/>
    <w:pPr>
      <w:widowControl/>
      <w:autoSpaceDE/>
      <w:autoSpaceDN/>
      <w:adjustRightInd/>
      <w:spacing w:before="240" w:after="60" w:line="360" w:lineRule="auto"/>
      <w:ind w:left="720"/>
      <w:jc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2499</Words>
  <Characters>14247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андрэ</dc:creator>
  <cp:keywords/>
  <dc:description/>
  <cp:lastModifiedBy>Irina</cp:lastModifiedBy>
  <cp:revision>2</cp:revision>
  <dcterms:created xsi:type="dcterms:W3CDTF">2014-08-10T08:32:00Z</dcterms:created>
  <dcterms:modified xsi:type="dcterms:W3CDTF">2014-08-10T08:32:00Z</dcterms:modified>
</cp:coreProperties>
</file>