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93" w:rsidRDefault="009541A0" w:rsidP="00C55E70">
      <w:pPr>
        <w:pStyle w:val="af8"/>
      </w:pPr>
      <w:r w:rsidRPr="00F87793">
        <w:t>Содержание</w:t>
      </w:r>
    </w:p>
    <w:p w:rsidR="00F87793" w:rsidRDefault="00F87793" w:rsidP="00F87793"/>
    <w:p w:rsidR="00C55E70" w:rsidRDefault="00C55E70">
      <w:pPr>
        <w:pStyle w:val="22"/>
        <w:rPr>
          <w:smallCaps w:val="0"/>
          <w:noProof/>
          <w:sz w:val="24"/>
          <w:szCs w:val="24"/>
        </w:rPr>
      </w:pPr>
      <w:r w:rsidRPr="00FC0B85">
        <w:rPr>
          <w:rStyle w:val="a7"/>
          <w:noProof/>
        </w:rPr>
        <w:t>Введение</w:t>
      </w:r>
    </w:p>
    <w:p w:rsidR="00C55E70" w:rsidRDefault="00C55E70">
      <w:pPr>
        <w:pStyle w:val="22"/>
        <w:rPr>
          <w:smallCaps w:val="0"/>
          <w:noProof/>
          <w:sz w:val="24"/>
          <w:szCs w:val="24"/>
        </w:rPr>
      </w:pPr>
      <w:r w:rsidRPr="00FC0B85">
        <w:rPr>
          <w:rStyle w:val="a7"/>
          <w:noProof/>
        </w:rPr>
        <w:t>Глава 1. Детская смертность</w:t>
      </w:r>
    </w:p>
    <w:p w:rsidR="00C55E70" w:rsidRDefault="00C55E70">
      <w:pPr>
        <w:pStyle w:val="22"/>
        <w:rPr>
          <w:smallCaps w:val="0"/>
          <w:noProof/>
          <w:sz w:val="24"/>
          <w:szCs w:val="24"/>
        </w:rPr>
      </w:pPr>
      <w:r w:rsidRPr="00FC0B85">
        <w:rPr>
          <w:rStyle w:val="a7"/>
          <w:noProof/>
        </w:rPr>
        <w:t>Глава 2. Материнская смертность</w:t>
      </w:r>
    </w:p>
    <w:p w:rsidR="00C55E70" w:rsidRDefault="00C55E70">
      <w:pPr>
        <w:pStyle w:val="22"/>
        <w:rPr>
          <w:smallCaps w:val="0"/>
          <w:noProof/>
          <w:sz w:val="24"/>
          <w:szCs w:val="24"/>
        </w:rPr>
      </w:pPr>
      <w:r w:rsidRPr="00FC0B85">
        <w:rPr>
          <w:rStyle w:val="a7"/>
          <w:noProof/>
        </w:rPr>
        <w:t>Заключение</w:t>
      </w:r>
    </w:p>
    <w:p w:rsidR="00C55E70" w:rsidRDefault="00C55E70">
      <w:pPr>
        <w:pStyle w:val="22"/>
        <w:rPr>
          <w:smallCaps w:val="0"/>
          <w:noProof/>
          <w:sz w:val="24"/>
          <w:szCs w:val="24"/>
        </w:rPr>
      </w:pPr>
      <w:r w:rsidRPr="00FC0B85">
        <w:rPr>
          <w:rStyle w:val="a7"/>
          <w:noProof/>
        </w:rPr>
        <w:t>Список использованной литературы</w:t>
      </w:r>
    </w:p>
    <w:p w:rsidR="00F87793" w:rsidRPr="00F87793" w:rsidRDefault="00F87793" w:rsidP="00F87793"/>
    <w:p w:rsidR="004F407B" w:rsidRPr="00F87793" w:rsidRDefault="00F87793" w:rsidP="00F87793">
      <w:pPr>
        <w:pStyle w:val="2"/>
      </w:pPr>
      <w:r>
        <w:br w:type="page"/>
      </w:r>
      <w:bookmarkStart w:id="0" w:name="_Toc237640370"/>
      <w:r w:rsidR="009541A0" w:rsidRPr="00F87793">
        <w:t>Введение</w:t>
      </w:r>
      <w:bookmarkEnd w:id="0"/>
    </w:p>
    <w:p w:rsidR="00F87793" w:rsidRDefault="00F87793" w:rsidP="00F87793"/>
    <w:p w:rsidR="00F87793" w:rsidRDefault="004F407B" w:rsidP="00F87793">
      <w:r w:rsidRPr="00F87793">
        <w:t>Смертность, процесс вымирания поколения, один из двух главных подпроцессов воспроизводства населения</w:t>
      </w:r>
      <w:r w:rsidR="00F87793" w:rsidRPr="00F87793">
        <w:t xml:space="preserve">. </w:t>
      </w:r>
      <w:r w:rsidRPr="00F87793">
        <w:t>Смертность</w:t>
      </w:r>
      <w:r w:rsidR="00F87793" w:rsidRPr="00F87793">
        <w:t xml:space="preserve"> - </w:t>
      </w:r>
      <w:r w:rsidRPr="00F87793">
        <w:t>массовый процесс, складывающийся из множества единичных смертей, наступивших в разных возрастах и определяет в своей совокупности порядок вымирания реального или гипотетического поколения</w:t>
      </w:r>
      <w:r w:rsidR="00F87793" w:rsidRPr="00F87793">
        <w:t xml:space="preserve">. </w:t>
      </w:r>
      <w:r w:rsidRPr="00F87793">
        <w:t>В качестве обобщенной характеристики процесса вымирания поколения используется показатель</w:t>
      </w:r>
      <w:r w:rsidR="00F87793" w:rsidRPr="00F87793">
        <w:t xml:space="preserve"> - </w:t>
      </w:r>
      <w:r w:rsidRPr="00F87793">
        <w:t>ожидаемая продолжительность жизни при рождении</w:t>
      </w:r>
      <w:r w:rsidR="00F87793" w:rsidRPr="00F87793">
        <w:t xml:space="preserve">. </w:t>
      </w:r>
      <w:r w:rsidRPr="00F87793">
        <w:t>Наряду с показателями порядка вымирания важное значение имеют показатели уровня смертности</w:t>
      </w:r>
      <w:r w:rsidR="00F87793" w:rsidRPr="00F87793">
        <w:t xml:space="preserve"> - </w:t>
      </w:r>
      <w:r w:rsidRPr="00F87793">
        <w:t>возрастные и общий коэффициенты смертности</w:t>
      </w:r>
      <w:r w:rsidR="00F87793" w:rsidRPr="00F87793">
        <w:t xml:space="preserve">. </w:t>
      </w:r>
      <w:r w:rsidRPr="00F87793">
        <w:t>Когда говорят о</w:t>
      </w:r>
      <w:r w:rsidR="00F87793">
        <w:t xml:space="preserve"> "</w:t>
      </w:r>
      <w:r w:rsidRPr="00F87793">
        <w:t>высокой</w:t>
      </w:r>
      <w:r w:rsidR="00F87793">
        <w:t xml:space="preserve">" </w:t>
      </w:r>
      <w:r w:rsidRPr="00F87793">
        <w:t>или</w:t>
      </w:r>
      <w:r w:rsidR="00F87793">
        <w:t xml:space="preserve"> "</w:t>
      </w:r>
      <w:r w:rsidRPr="00F87793">
        <w:t>низкой</w:t>
      </w:r>
      <w:r w:rsidR="00F87793">
        <w:t xml:space="preserve">" </w:t>
      </w:r>
      <w:r w:rsidRPr="00F87793">
        <w:t>смертности, имеют в виду именно эти показатели</w:t>
      </w:r>
      <w:r w:rsidR="00F87793" w:rsidRPr="00F87793">
        <w:t>.</w:t>
      </w:r>
    </w:p>
    <w:p w:rsidR="00F87793" w:rsidRDefault="004F407B" w:rsidP="00F87793">
      <w:r w:rsidRPr="00F87793">
        <w:t>Процесс вымирания поколения зависит от большого числа биологических и социальных факторов смертности</w:t>
      </w:r>
      <w:r w:rsidR="00F87793" w:rsidRPr="00F87793">
        <w:t xml:space="preserve">. </w:t>
      </w:r>
      <w:r w:rsidRPr="00F87793">
        <w:t>Наиболее важно их деление</w:t>
      </w:r>
      <w:r w:rsidR="00F87793">
        <w:t xml:space="preserve"> (</w:t>
      </w:r>
      <w:r w:rsidRPr="00F87793">
        <w:t>с точки зрения демографического анализа</w:t>
      </w:r>
      <w:r w:rsidR="00F87793" w:rsidRPr="00F87793">
        <w:t xml:space="preserve">) </w:t>
      </w:r>
      <w:r w:rsidRPr="00F87793">
        <w:t>на две крупные группы</w:t>
      </w:r>
      <w:r w:rsidR="00F87793" w:rsidRPr="00F87793">
        <w:t xml:space="preserve">: </w:t>
      </w:r>
      <w:r w:rsidRPr="00F87793">
        <w:t>· эндогенные</w:t>
      </w:r>
      <w:r w:rsidR="00F87793">
        <w:t xml:space="preserve"> (</w:t>
      </w:r>
      <w:r w:rsidRPr="00F87793">
        <w:t>порожденные внутренним развитием человеческого организма</w:t>
      </w:r>
      <w:r w:rsidR="00F87793" w:rsidRPr="00F87793">
        <w:t xml:space="preserve">) </w:t>
      </w:r>
      <w:r w:rsidRPr="00F87793">
        <w:t>· экзогенные</w:t>
      </w:r>
      <w:r w:rsidR="00F87793">
        <w:t xml:space="preserve"> (</w:t>
      </w:r>
      <w:r w:rsidRPr="00F87793">
        <w:t>связанные с воздействием внешней среды</w:t>
      </w:r>
      <w:r w:rsidR="00F87793" w:rsidRPr="00F87793">
        <w:t xml:space="preserve">). </w:t>
      </w:r>
      <w:r w:rsidRPr="00F87793">
        <w:t>По-разному сочетаясь между собой, факторы смертности обусловливают непосредственную причину смерти</w:t>
      </w:r>
      <w:r w:rsidR="00F87793" w:rsidRPr="00F87793">
        <w:t>.</w:t>
      </w:r>
    </w:p>
    <w:p w:rsidR="00F87793" w:rsidRDefault="004F407B" w:rsidP="00F87793">
      <w:r w:rsidRPr="00F87793">
        <w:t>Для России была характерна смертность традиционного типа, обусловленная преимущественно экзогенными факторами</w:t>
      </w:r>
      <w:r w:rsidR="00F87793" w:rsidRPr="00F87793">
        <w:t xml:space="preserve">. </w:t>
      </w:r>
      <w:r w:rsidRPr="00F87793">
        <w:t>На одном из первых мест среди причин смерти стоял туберкулез</w:t>
      </w:r>
      <w:r w:rsidR="00F87793" w:rsidRPr="00F87793">
        <w:t xml:space="preserve">. </w:t>
      </w:r>
      <w:r w:rsidRPr="00F87793">
        <w:t>Еще большее число людей, особенно детей, умирало от пневмонии</w:t>
      </w:r>
      <w:r w:rsidR="00F87793" w:rsidRPr="00F87793">
        <w:t xml:space="preserve">. </w:t>
      </w:r>
      <w:r w:rsidRPr="00F87793">
        <w:t>Велика была роль таких причин смерти, желудочно-кишечные и инфекционные заболевания</w:t>
      </w:r>
      <w:r w:rsidR="00F87793" w:rsidRPr="00F87793">
        <w:t xml:space="preserve">. </w:t>
      </w:r>
      <w:r w:rsidRPr="00F87793">
        <w:t>В то же время на долю причин, в значительной степени обусловленных действием эндогенных факторов</w:t>
      </w:r>
      <w:r w:rsidR="00F87793">
        <w:t xml:space="preserve"> (</w:t>
      </w:r>
      <w:r w:rsidRPr="00F87793">
        <w:t>болезни сердечно-сосудистой системы и причины, классифицирующиеся как старческая дряхлость</w:t>
      </w:r>
      <w:r w:rsidR="00F87793" w:rsidRPr="00F87793">
        <w:t>),</w:t>
      </w:r>
      <w:r w:rsidRPr="00F87793">
        <w:t xml:space="preserve"> приходилось не более 15% всех смертей</w:t>
      </w:r>
      <w:r w:rsidR="00F87793" w:rsidRPr="00F87793">
        <w:t>.</w:t>
      </w:r>
    </w:p>
    <w:p w:rsidR="00F87793" w:rsidRDefault="00490954" w:rsidP="00F87793">
      <w:r w:rsidRPr="00F87793">
        <w:t xml:space="preserve">Цель работы </w:t>
      </w:r>
      <w:r w:rsidR="00F87793">
        <w:t>-</w:t>
      </w:r>
      <w:r w:rsidRPr="00F87793">
        <w:t xml:space="preserve"> исследование детской и материнской смертности</w:t>
      </w:r>
      <w:r w:rsidR="00F87793" w:rsidRPr="00F87793">
        <w:t>.</w:t>
      </w:r>
    </w:p>
    <w:p w:rsidR="00490954" w:rsidRPr="00F87793" w:rsidRDefault="00F87793" w:rsidP="00F87793">
      <w:pPr>
        <w:pStyle w:val="2"/>
      </w:pPr>
      <w:r>
        <w:br w:type="page"/>
      </w:r>
      <w:bookmarkStart w:id="1" w:name="_Toc237640371"/>
      <w:r w:rsidR="00490954" w:rsidRPr="00F87793">
        <w:t>Глава 1</w:t>
      </w:r>
      <w:r w:rsidRPr="00F87793">
        <w:t xml:space="preserve">. </w:t>
      </w:r>
      <w:r w:rsidR="00490954" w:rsidRPr="00F87793">
        <w:t>Детская смертность</w:t>
      </w:r>
      <w:bookmarkEnd w:id="1"/>
    </w:p>
    <w:p w:rsidR="00F87793" w:rsidRDefault="00F87793" w:rsidP="00F87793"/>
    <w:p w:rsidR="00F87793" w:rsidRDefault="005A0433" w:rsidP="00F87793">
      <w:r w:rsidRPr="00F87793">
        <w:t>ЮНИСЕФ в своем докладе отмечает, что больше, чем в половине стран перед которыми поставлена задача по снижению детской смертности, эти показатели остаются неизменными или, напротив, растут</w:t>
      </w:r>
      <w:r w:rsidR="00F87793" w:rsidRPr="00F87793">
        <w:t xml:space="preserve">. </w:t>
      </w:r>
      <w:r w:rsidRPr="00F87793">
        <w:t>Как сообщает Associated Press, cейчас до возраста пяти лет не доживает один из 12 детей на Земле</w:t>
      </w:r>
      <w:r w:rsidR="00F87793" w:rsidRPr="00F87793">
        <w:t xml:space="preserve">. </w:t>
      </w:r>
      <w:r w:rsidRPr="00F87793">
        <w:t>Большая часть детских смертей приходится на страны Африки</w:t>
      </w:r>
      <w:r w:rsidR="00F87793" w:rsidRPr="00F87793">
        <w:t>.</w:t>
      </w:r>
    </w:p>
    <w:p w:rsidR="00F87793" w:rsidRDefault="00F87793" w:rsidP="00F87793">
      <w:r>
        <w:t>"</w:t>
      </w:r>
      <w:r w:rsidR="005A0433" w:rsidRPr="00F87793">
        <w:t>Способы улучшить выживаемость детей существуют, но ими надо воспользоваться</w:t>
      </w:r>
      <w:r w:rsidRPr="00F87793">
        <w:t xml:space="preserve">. </w:t>
      </w:r>
      <w:r w:rsidR="005A0433" w:rsidRPr="00F87793">
        <w:t>Вакцины, витамины и минералы, борьба с насекомыми</w:t>
      </w:r>
      <w:r w:rsidRPr="00F87793">
        <w:t xml:space="preserve"> - </w:t>
      </w:r>
      <w:r w:rsidR="005A0433" w:rsidRPr="00F87793">
        <w:t>все это не так дорого, но может спасти жизни миллионам детей</w:t>
      </w:r>
      <w:r>
        <w:t xml:space="preserve">", </w:t>
      </w:r>
      <w:r w:rsidRPr="00F87793">
        <w:t xml:space="preserve">- </w:t>
      </w:r>
      <w:r w:rsidR="005A0433" w:rsidRPr="00F87793">
        <w:t>заявила директор ЮНИСЕФ Кэрол Беллами</w:t>
      </w:r>
      <w:r>
        <w:t xml:space="preserve"> (</w:t>
      </w:r>
      <w:r w:rsidR="005A0433" w:rsidRPr="00F87793">
        <w:t>Carol Bellamy</w:t>
      </w:r>
      <w:r w:rsidRPr="00F87793">
        <w:t>).</w:t>
      </w:r>
    </w:p>
    <w:p w:rsidR="00F87793" w:rsidRDefault="005A0433" w:rsidP="00F87793">
      <w:r w:rsidRPr="00F87793">
        <w:t>Снижение детской смертности в три раза к 2015 году</w:t>
      </w:r>
      <w:r w:rsidR="00F87793" w:rsidRPr="00F87793">
        <w:t xml:space="preserve"> - </w:t>
      </w:r>
      <w:r w:rsidRPr="00F87793">
        <w:t>одна из целей, поставленных на саммите ООН в 2000 году</w:t>
      </w:r>
      <w:r w:rsidR="00F87793" w:rsidRPr="00F87793">
        <w:t>.</w:t>
      </w:r>
    </w:p>
    <w:p w:rsidR="00F87793" w:rsidRDefault="005A0433" w:rsidP="00F87793">
      <w:r w:rsidRPr="00F87793">
        <w:t>Детская смертность измеряется в количестве умерших детей до пяти лет на тысячу новорожденных</w:t>
      </w:r>
      <w:r w:rsidR="00F87793" w:rsidRPr="00F87793">
        <w:t xml:space="preserve">. </w:t>
      </w:r>
      <w:r w:rsidRPr="00F87793">
        <w:t>Рекордно низкий показатель зарегистрирован в Швеции</w:t>
      </w:r>
      <w:r w:rsidR="00F87793" w:rsidRPr="00F87793">
        <w:t xml:space="preserve"> - </w:t>
      </w:r>
      <w:r w:rsidRPr="00F87793">
        <w:t>там он не превышает трех</w:t>
      </w:r>
      <w:r w:rsidR="00F87793" w:rsidRPr="00F87793">
        <w:t xml:space="preserve">. </w:t>
      </w:r>
      <w:r w:rsidRPr="00F87793">
        <w:t>В России со времен саммита ситуация не улучшилась, и сейчас в нашей стране умирает 21 ребенок на тысячу новорожденных</w:t>
      </w:r>
      <w:r w:rsidR="00F87793" w:rsidRPr="00F87793">
        <w:t>.</w:t>
      </w:r>
    </w:p>
    <w:p w:rsidR="00F87793" w:rsidRDefault="005A0433" w:rsidP="00F87793">
      <w:r w:rsidRPr="00F87793">
        <w:t>Как говорится в докладе ЮНИСЕФ, самые высокие показате</w:t>
      </w:r>
      <w:r w:rsidR="00D53716" w:rsidRPr="00F87793">
        <w:t xml:space="preserve"> Коэффициент детской смертности</w:t>
      </w:r>
      <w:r w:rsidR="00F87793" w:rsidRPr="00F87793">
        <w:t xml:space="preserve"> - </w:t>
      </w:r>
      <w:r w:rsidR="00D53716" w:rsidRPr="00F87793">
        <w:t>демографический показатель</w:t>
      </w:r>
      <w:r w:rsidR="00F87793" w:rsidRPr="00F87793">
        <w:t xml:space="preserve">: </w:t>
      </w:r>
      <w:r w:rsidR="00D53716" w:rsidRPr="00F87793">
        <w:t>отношение числа детей, умерших за год в возрасте до 1</w:t>
      </w:r>
      <w:r w:rsidR="00F87793">
        <w:t xml:space="preserve"> </w:t>
      </w:r>
      <w:r w:rsidR="00D53716" w:rsidRPr="00F87793">
        <w:t>года, к общему числу детей, родившихся живыми, которое складывается из 2/3 числа детей, родившихся живыми в данном году и 1/3</w:t>
      </w:r>
      <w:r w:rsidR="00F87793" w:rsidRPr="00F87793">
        <w:t xml:space="preserve"> - </w:t>
      </w:r>
      <w:r w:rsidR="00D53716" w:rsidRPr="00F87793">
        <w:t>в предыд</w:t>
      </w:r>
      <w:r w:rsidR="00490954" w:rsidRPr="00F87793">
        <w:t>ущем, выражается в промилле</w:t>
      </w:r>
      <w:r w:rsidR="00F87793">
        <w:t xml:space="preserve"> (</w:t>
      </w:r>
      <w:r w:rsidR="00490954" w:rsidRPr="00F87793">
        <w:t>‰</w:t>
      </w:r>
      <w:r w:rsidR="00F87793" w:rsidRPr="00F87793">
        <w:t xml:space="preserve">): </w:t>
      </w:r>
      <w:r w:rsidRPr="00F87793">
        <w:t>детской смертности в Сиерре-Лионе</w:t>
      </w:r>
      <w:r w:rsidR="00F87793">
        <w:t xml:space="preserve"> (</w:t>
      </w:r>
      <w:r w:rsidRPr="00F87793">
        <w:t>284</w:t>
      </w:r>
      <w:r w:rsidR="00F87793" w:rsidRPr="00F87793">
        <w:t>),</w:t>
      </w:r>
      <w:r w:rsidRPr="00F87793">
        <w:t xml:space="preserve"> Нигере</w:t>
      </w:r>
      <w:r w:rsidR="00F87793">
        <w:t xml:space="preserve"> (</w:t>
      </w:r>
      <w:r w:rsidRPr="00F87793">
        <w:t>265</w:t>
      </w:r>
      <w:r w:rsidR="00F87793" w:rsidRPr="00F87793">
        <w:t>),</w:t>
      </w:r>
      <w:r w:rsidRPr="00F87793">
        <w:t xml:space="preserve"> Анголе</w:t>
      </w:r>
      <w:r w:rsidR="00F87793">
        <w:t xml:space="preserve"> (</w:t>
      </w:r>
      <w:r w:rsidRPr="00F87793">
        <w:t>260</w:t>
      </w:r>
      <w:r w:rsidR="00F87793" w:rsidRPr="00F87793">
        <w:t xml:space="preserve">) </w:t>
      </w:r>
      <w:r w:rsidRPr="00F87793">
        <w:t>и Афганистане</w:t>
      </w:r>
      <w:r w:rsidR="00F87793">
        <w:t xml:space="preserve"> (</w:t>
      </w:r>
      <w:r w:rsidRPr="00F87793">
        <w:t>257</w:t>
      </w:r>
      <w:r w:rsidR="00F87793" w:rsidRPr="00F87793">
        <w:t xml:space="preserve">). </w:t>
      </w:r>
      <w:r w:rsidRPr="00F87793">
        <w:t>Самая важная, но не непосредственная причина смерти детей</w:t>
      </w:r>
      <w:r w:rsidR="00F87793" w:rsidRPr="00F87793">
        <w:t xml:space="preserve"> - </w:t>
      </w:r>
      <w:r w:rsidRPr="00F87793">
        <w:t>плохая организация медицинской помощи новорожденным</w:t>
      </w:r>
      <w:r w:rsidR="00F87793" w:rsidRPr="00F87793">
        <w:t>.</w:t>
      </w:r>
    </w:p>
    <w:p w:rsidR="00F87793" w:rsidRDefault="005A0433" w:rsidP="00F87793">
      <w:r w:rsidRPr="00F87793">
        <w:t>Истощение организма как следствие недоедания сопутствует более чем половине смертей</w:t>
      </w:r>
      <w:r w:rsidR="00F87793" w:rsidRPr="00F87793">
        <w:t xml:space="preserve">. </w:t>
      </w:r>
      <w:r w:rsidRPr="00F87793">
        <w:t>Среди инфекций СПИД пока не лидирует</w:t>
      </w:r>
      <w:r w:rsidR="00F87793" w:rsidRPr="00F87793">
        <w:t xml:space="preserve"> - </w:t>
      </w:r>
      <w:r w:rsidRPr="00F87793">
        <w:t>его опережает малярия</w:t>
      </w:r>
      <w:r w:rsidR="00F87793" w:rsidRPr="00F87793">
        <w:t xml:space="preserve">. </w:t>
      </w:r>
      <w:r w:rsidRPr="00F87793">
        <w:t>Примерно в трети случаев у детей развивается ОРЗ и кишечные инфекции, а за пять процентов детских смертей ответственна корь</w:t>
      </w:r>
      <w:r w:rsidR="00F87793" w:rsidRPr="00F87793">
        <w:t>.</w:t>
      </w:r>
    </w:p>
    <w:p w:rsidR="00F87793" w:rsidRDefault="005A0433" w:rsidP="00F87793">
      <w:r w:rsidRPr="00F87793">
        <w:t>В последние годы во многих странах значительно снизилось количество случаев внезапной детской смерти</w:t>
      </w:r>
      <w:r w:rsidR="00F87793" w:rsidRPr="00F87793">
        <w:t xml:space="preserve">. </w:t>
      </w:r>
      <w:r w:rsidRPr="00F87793">
        <w:t>Свою заслугу в этом видят организаторы кампании</w:t>
      </w:r>
      <w:r w:rsidR="00F87793">
        <w:t xml:space="preserve"> "</w:t>
      </w:r>
      <w:r w:rsidRPr="00F87793">
        <w:t>сон на спине</w:t>
      </w:r>
      <w:r w:rsidR="00F87793">
        <w:t xml:space="preserve">", </w:t>
      </w:r>
      <w:r w:rsidRPr="00F87793">
        <w:t>с начала 90-х убеждавшие родителей следить за тем, как спят их дети</w:t>
      </w:r>
      <w:r w:rsidR="00F87793" w:rsidRPr="00F87793">
        <w:t xml:space="preserve">. </w:t>
      </w:r>
      <w:r w:rsidRPr="00F87793">
        <w:t>Однако австралийские исследователи считают, что положение ребенка во сне не влияет на риск внезапной смерти</w:t>
      </w:r>
      <w:r w:rsidR="00F87793" w:rsidRPr="00F87793">
        <w:t xml:space="preserve">. </w:t>
      </w:r>
      <w:r w:rsidRPr="00F87793">
        <w:t>Снижение смертности, по мнению ученых, находится в рамках естественных колебаний</w:t>
      </w:r>
      <w:r w:rsidR="00F87793" w:rsidRPr="00F87793">
        <w:t>.</w:t>
      </w:r>
    </w:p>
    <w:p w:rsidR="00F87793" w:rsidRDefault="005A0433" w:rsidP="00F87793">
      <w:r w:rsidRPr="00F87793">
        <w:t>Неравенство в распределении материальных ценностей между</w:t>
      </w:r>
      <w:r w:rsidR="00490954" w:rsidRPr="00F87793">
        <w:t xml:space="preserve"> </w:t>
      </w:r>
      <w:r w:rsidRPr="00F87793">
        <w:t>этим группами стран и их гражданами ошеломляет</w:t>
      </w:r>
      <w:r w:rsidR="00F87793" w:rsidRPr="00F87793">
        <w:t xml:space="preserve">. </w:t>
      </w:r>
      <w:r w:rsidRPr="00F87793">
        <w:t>В высоко развитых странах</w:t>
      </w:r>
      <w:r w:rsidR="00490954" w:rsidRPr="00F87793">
        <w:t xml:space="preserve"> </w:t>
      </w:r>
      <w:r w:rsidRPr="00F87793">
        <w:t>проживает 25% мирового населения, которое при этом владеет 80% мирового</w:t>
      </w:r>
      <w:r w:rsidR="00490954" w:rsidRPr="00F87793">
        <w:t xml:space="preserve"> </w:t>
      </w:r>
      <w:r w:rsidRPr="00F87793">
        <w:t>богатства</w:t>
      </w:r>
      <w:r w:rsidR="00F87793" w:rsidRPr="00F87793">
        <w:t xml:space="preserve">. </w:t>
      </w:r>
      <w:r w:rsidRPr="00F87793">
        <w:t>Конечно же, богатство внутри каждой страны распределено</w:t>
      </w:r>
      <w:r w:rsidR="00490954" w:rsidRPr="00F87793">
        <w:t xml:space="preserve"> </w:t>
      </w:r>
      <w:r w:rsidRPr="00F87793">
        <w:t>неравномерно</w:t>
      </w:r>
      <w:r w:rsidR="00F87793" w:rsidRPr="00F87793">
        <w:t xml:space="preserve">. </w:t>
      </w:r>
      <w:r w:rsidRPr="00F87793">
        <w:t>От 10 до 15</w:t>
      </w:r>
      <w:r w:rsidR="00F87793" w:rsidRPr="00F87793">
        <w:t>%</w:t>
      </w:r>
      <w:r w:rsidRPr="00F87793">
        <w:t xml:space="preserve"> людей в развитых странах относятся к разряду</w:t>
      </w:r>
      <w:r w:rsidR="00490954" w:rsidRPr="00F87793">
        <w:t xml:space="preserve"> </w:t>
      </w:r>
      <w:r w:rsidRPr="00F87793">
        <w:t>бедных, а 10%</w:t>
      </w:r>
      <w:r w:rsidR="00F87793" w:rsidRPr="00F87793">
        <w:t xml:space="preserve"> </w:t>
      </w:r>
      <w:r w:rsidRPr="00F87793">
        <w:t>населения развивающихся стран считаются богатыми</w:t>
      </w:r>
      <w:r w:rsidR="00F87793" w:rsidRPr="00F87793">
        <w:t xml:space="preserve">. </w:t>
      </w:r>
      <w:r w:rsidRPr="00F87793">
        <w:t>Недоедание и</w:t>
      </w:r>
      <w:r w:rsidR="00490954" w:rsidRPr="00F87793">
        <w:t xml:space="preserve"> </w:t>
      </w:r>
      <w:r w:rsidRPr="00F87793">
        <w:t>смерть от голода широко распространены среди народов Африки и Азии, особенно</w:t>
      </w:r>
      <w:r w:rsidR="00490954" w:rsidRPr="00F87793">
        <w:t xml:space="preserve"> </w:t>
      </w:r>
      <w:r w:rsidRPr="00F87793">
        <w:t>среди младенцев и детей</w:t>
      </w:r>
      <w:r w:rsidR="00F87793" w:rsidRPr="00F87793">
        <w:t>.</w:t>
      </w:r>
    </w:p>
    <w:p w:rsidR="00F87793" w:rsidRDefault="00D53716" w:rsidP="00F87793">
      <w:r w:rsidRPr="00F87793">
        <w:t>Несмотря на то, что по сравнению с прошлым веком детская смертность в России снизилась в 17</w:t>
      </w:r>
      <w:r w:rsidR="00F87793">
        <w:t xml:space="preserve"> </w:t>
      </w:r>
      <w:r w:rsidRPr="00F87793">
        <w:t>раз, этот показатель все еще остается выше, чем в большинстве стран Европы</w:t>
      </w:r>
      <w:r w:rsidR="00F87793" w:rsidRPr="00F87793">
        <w:t xml:space="preserve">. </w:t>
      </w:r>
      <w:r w:rsidRPr="00F87793">
        <w:t>Эти данные были предоставлены Российской академией наук информационному агентству Reuters Health</w:t>
      </w:r>
      <w:r w:rsidR="00F87793" w:rsidRPr="00F87793">
        <w:t>.</w:t>
      </w:r>
    </w:p>
    <w:p w:rsidR="00F87793" w:rsidRDefault="00D53716" w:rsidP="00F87793">
      <w:r w:rsidRPr="00F87793">
        <w:t>Среди прич</w:t>
      </w:r>
      <w:r w:rsidR="00490954" w:rsidRPr="00F87793">
        <w:t>ин младенческой смертности в</w:t>
      </w:r>
      <w:r w:rsidRPr="00F87793">
        <w:t xml:space="preserve"> году лидировали перинатальные причины</w:t>
      </w:r>
      <w:r w:rsidR="00F87793">
        <w:t xml:space="preserve"> (</w:t>
      </w:r>
      <w:r w:rsidRPr="00F87793">
        <w:t>42,4%</w:t>
      </w:r>
      <w:r w:rsidR="00F87793" w:rsidRPr="00F87793">
        <w:t xml:space="preserve">) </w:t>
      </w:r>
      <w:r w:rsidRPr="00F87793">
        <w:t>и врожденные пороки развития</w:t>
      </w:r>
      <w:r w:rsidR="00F87793">
        <w:t xml:space="preserve"> (</w:t>
      </w:r>
      <w:r w:rsidRPr="00F87793">
        <w:t>24,6%</w:t>
      </w:r>
      <w:r w:rsidR="00F87793" w:rsidRPr="00F87793">
        <w:t>).</w:t>
      </w:r>
    </w:p>
    <w:p w:rsidR="00F87793" w:rsidRDefault="00D53716" w:rsidP="00F87793">
      <w:r w:rsidRPr="00F87793">
        <w:t>Детская смертность от болезней органов дыхания и инфекционных и паразитарных заболеваний составила 12% и 6,3% соответственно, что существенно выше, чем в США и Франции</w:t>
      </w:r>
      <w:r w:rsidR="00F87793" w:rsidRPr="00F87793">
        <w:t>.</w:t>
      </w:r>
    </w:p>
    <w:p w:rsidR="00F87793" w:rsidRDefault="00F87793" w:rsidP="00F87793"/>
    <w:p w:rsidR="00490954" w:rsidRPr="00F87793" w:rsidRDefault="00490954" w:rsidP="00F87793">
      <w:pPr>
        <w:pStyle w:val="2"/>
      </w:pPr>
      <w:bookmarkStart w:id="2" w:name="_Toc237640372"/>
      <w:r w:rsidRPr="00F87793">
        <w:t>Глава 2</w:t>
      </w:r>
      <w:r w:rsidR="00F87793" w:rsidRPr="00F87793">
        <w:t xml:space="preserve">. </w:t>
      </w:r>
      <w:r w:rsidRPr="00F87793">
        <w:t>Материнская смертность</w:t>
      </w:r>
      <w:bookmarkEnd w:id="2"/>
    </w:p>
    <w:p w:rsidR="00F87793" w:rsidRDefault="00F87793" w:rsidP="00F87793"/>
    <w:p w:rsidR="00F87793" w:rsidRDefault="00D53716" w:rsidP="00F87793">
      <w:r w:rsidRPr="00F87793">
        <w:t>В России проблема материнской смертности остается чрезвычайно актуальной и её показатели на порядок превышают аналогичные показатели в развитых странах</w:t>
      </w:r>
      <w:r w:rsidR="00F87793" w:rsidRPr="00F87793">
        <w:t xml:space="preserve">. </w:t>
      </w:r>
      <w:r w:rsidRPr="00F87793">
        <w:t>При этом во многих регионах отсутствует единый подход к проведению интенсивной терапии и анестезиологического пособия у больных акушерского профиля, а именно качество интенсивного этапа лечения в большинстве случаев определяет исход беременности как для матери, так и для новорождённого</w:t>
      </w:r>
      <w:r w:rsidR="00F87793" w:rsidRPr="00F87793">
        <w:t>.</w:t>
      </w:r>
    </w:p>
    <w:p w:rsidR="00F87793" w:rsidRDefault="00D53716" w:rsidP="00F87793">
      <w:r w:rsidRPr="00F87793">
        <w:t>Материнская смертность</w:t>
      </w:r>
      <w:r w:rsidR="00F87793" w:rsidRPr="00F87793">
        <w:t xml:space="preserve"> - </w:t>
      </w:r>
      <w:r w:rsidRPr="00F87793">
        <w:t>статистический показатель, характеризующий частоту случаев смерти женщин, наступившей в период беременности или в течение 42</w:t>
      </w:r>
      <w:r w:rsidR="00F87793">
        <w:t xml:space="preserve"> </w:t>
      </w:r>
      <w:r w:rsidRPr="00F87793">
        <w:t>дней после ее окончания от любого патологического состояния, связанного с беременностью</w:t>
      </w:r>
      <w:r w:rsidR="00F87793">
        <w:t xml:space="preserve"> (</w:t>
      </w:r>
      <w:r w:rsidRPr="00F87793">
        <w:t>не учитываются несчастные случаи или группа случайных причин</w:t>
      </w:r>
      <w:r w:rsidR="00F87793" w:rsidRPr="00F87793">
        <w:t>).</w:t>
      </w:r>
    </w:p>
    <w:p w:rsidR="00F87793" w:rsidRDefault="00D53716" w:rsidP="00F87793">
      <w:r w:rsidRPr="00F87793">
        <w:t>Коэффициент материнской смертности</w:t>
      </w:r>
      <w:r w:rsidR="00F87793" w:rsidRPr="00F87793">
        <w:t xml:space="preserve"> -</w:t>
      </w:r>
      <w:r w:rsidR="00F87793">
        <w:t xml:space="preserve"> (</w:t>
      </w:r>
      <w:r w:rsidRPr="00F87793">
        <w:t>maternal mortality rate</w:t>
      </w:r>
      <w:r w:rsidR="00F87793" w:rsidRPr="00F87793">
        <w:t xml:space="preserve">) - </w:t>
      </w:r>
      <w:r w:rsidRPr="00F87793">
        <w:t>число смертельных исходов, развившихся в результате осложнений во время беременности, родов и в послеродовой период, по отношению к общему числу родов</w:t>
      </w:r>
      <w:r w:rsidR="00F87793">
        <w:t xml:space="preserve"> (т.е.</w:t>
      </w:r>
      <w:r w:rsidR="00F87793" w:rsidRPr="00F87793">
        <w:t xml:space="preserve"> </w:t>
      </w:r>
      <w:r w:rsidRPr="00F87793">
        <w:t>включая мертворожденных детей</w:t>
      </w:r>
      <w:r w:rsidR="00F87793" w:rsidRPr="00F87793">
        <w:t xml:space="preserve">). </w:t>
      </w:r>
      <w:r w:rsidRPr="00F87793">
        <w:t>Ранее этот коэффициент представлял число смертельных исходов, приходящееся на 1000 родов, однако так как в таком выражении он является очень низким, в настоящее время обычно он отражает число смертельных исходов,</w:t>
      </w:r>
      <w:r w:rsidR="00490954" w:rsidRPr="00F87793">
        <w:t xml:space="preserve"> приходящееся на 100 000 родов</w:t>
      </w:r>
      <w:r w:rsidR="00F87793" w:rsidRPr="00F87793">
        <w:t>.</w:t>
      </w:r>
    </w:p>
    <w:p w:rsidR="00F87793" w:rsidRDefault="00D53716" w:rsidP="00F87793">
      <w:r w:rsidRPr="00F87793">
        <w:t xml:space="preserve">В структуре причин </w:t>
      </w:r>
      <w:r w:rsidR="00490954" w:rsidRPr="00F87793">
        <w:t xml:space="preserve">материнской смертности </w:t>
      </w:r>
      <w:r w:rsidRPr="00F87793">
        <w:t>преобладают маточные кровотечения, экстрагенитальные заболевания, токсикозы беременных</w:t>
      </w:r>
      <w:r w:rsidR="00F87793">
        <w:t xml:space="preserve"> (</w:t>
      </w:r>
      <w:r w:rsidRPr="00F87793">
        <w:t>в основном тяжелые формы</w:t>
      </w:r>
      <w:r w:rsidR="00F87793" w:rsidRPr="00F87793">
        <w:t>),</w:t>
      </w:r>
      <w:r w:rsidRPr="00F87793">
        <w:t xml:space="preserve"> разрывы матки, послеродовые септические заболевания</w:t>
      </w:r>
      <w:r w:rsidR="00F87793" w:rsidRPr="00F87793">
        <w:t xml:space="preserve">. </w:t>
      </w:r>
      <w:r w:rsidRPr="00F87793">
        <w:t xml:space="preserve">Большинство случаев </w:t>
      </w:r>
      <w:r w:rsidR="00490954" w:rsidRPr="00F87793">
        <w:t xml:space="preserve">материнской смертности </w:t>
      </w:r>
      <w:r w:rsidRPr="00F87793">
        <w:t>в результате кровотечений приходится на последовый и ранний послеродовой периоды</w:t>
      </w:r>
      <w:r w:rsidR="00F87793" w:rsidRPr="00F87793">
        <w:t xml:space="preserve">. </w:t>
      </w:r>
      <w:r w:rsidRPr="00F87793">
        <w:t>Среди экстрагенитальных заболеваний значительный удельный вес занимают заболевания сердечно-сосудистой системы</w:t>
      </w:r>
      <w:r w:rsidR="00F87793" w:rsidRPr="00F87793">
        <w:t xml:space="preserve">: </w:t>
      </w:r>
      <w:r w:rsidRPr="00F87793">
        <w:t>гипертоническая болезнь, пороки сердца, миокардит, ишемическая болезнь сердца и др</w:t>
      </w:r>
      <w:r w:rsidR="00F87793" w:rsidRPr="00F87793">
        <w:t>.</w:t>
      </w:r>
    </w:p>
    <w:p w:rsidR="00F87793" w:rsidRDefault="00D53716" w:rsidP="00F87793">
      <w:r w:rsidRPr="00F87793">
        <w:t xml:space="preserve">Наибольший удельный вес </w:t>
      </w:r>
      <w:r w:rsidR="00490954" w:rsidRPr="00F87793">
        <w:t xml:space="preserve">материнской смертности </w:t>
      </w:r>
      <w:r w:rsidRPr="00F87793">
        <w:t>приходится на возраст самой высокой плодовитости</w:t>
      </w:r>
      <w:r w:rsidR="00F87793">
        <w:t xml:space="preserve"> (</w:t>
      </w:r>
      <w:r w:rsidRPr="00F87793">
        <w:t>20</w:t>
      </w:r>
      <w:r w:rsidR="00F87793" w:rsidRPr="00F87793">
        <w:t>-</w:t>
      </w:r>
      <w:r w:rsidRPr="00F87793">
        <w:t>34</w:t>
      </w:r>
      <w:r w:rsidR="00F87793">
        <w:t xml:space="preserve"> </w:t>
      </w:r>
      <w:r w:rsidRPr="00F87793">
        <w:t>года</w:t>
      </w:r>
      <w:r w:rsidR="00F87793" w:rsidRPr="00F87793">
        <w:t xml:space="preserve">). </w:t>
      </w:r>
      <w:r w:rsidRPr="00F87793">
        <w:t xml:space="preserve">Наименьший показатель </w:t>
      </w:r>
      <w:r w:rsidR="00490954" w:rsidRPr="00F87793">
        <w:t>материнской смертности</w:t>
      </w:r>
      <w:r w:rsidR="00F87793" w:rsidRPr="00F87793">
        <w:t xml:space="preserve"> - </w:t>
      </w:r>
      <w:r w:rsidRPr="00F87793">
        <w:t>у первородящих</w:t>
      </w:r>
      <w:r w:rsidR="00F87793" w:rsidRPr="00F87793">
        <w:t xml:space="preserve">; </w:t>
      </w:r>
      <w:r w:rsidRPr="00F87793">
        <w:t>с увеличением количества родов он нарастает</w:t>
      </w:r>
      <w:r w:rsidR="00F87793" w:rsidRPr="00F87793">
        <w:t>.</w:t>
      </w:r>
    </w:p>
    <w:p w:rsidR="00F87793" w:rsidRDefault="00D53716" w:rsidP="00F87793">
      <w:r w:rsidRPr="00F87793">
        <w:t xml:space="preserve">В предотвращении </w:t>
      </w:r>
      <w:r w:rsidR="00490954" w:rsidRPr="00F87793">
        <w:t xml:space="preserve">материнской смертности </w:t>
      </w:r>
      <w:r w:rsidRPr="00F87793">
        <w:t>большую роль играет правильная организация медицинской помощи беременным</w:t>
      </w:r>
      <w:r w:rsidR="00F87793" w:rsidRPr="00F87793">
        <w:t xml:space="preserve">: </w:t>
      </w:r>
      <w:r w:rsidRPr="00F87793">
        <w:t>тщательное врачебное наблюдение и при необходимости своевременная госпитализация беременных с отягощенным акушерским анамнезом</w:t>
      </w:r>
      <w:r w:rsidR="00F87793">
        <w:t xml:space="preserve"> (</w:t>
      </w:r>
      <w:r w:rsidRPr="00F87793">
        <w:t xml:space="preserve">неоднократные аборты, кесарево сечение и </w:t>
      </w:r>
      <w:r w:rsidR="00F87793">
        <w:t>др.)</w:t>
      </w:r>
      <w:r w:rsidR="00F87793" w:rsidRPr="00F87793">
        <w:t>,</w:t>
      </w:r>
      <w:r w:rsidRPr="00F87793">
        <w:t xml:space="preserve"> аномалиями положения и увеличении размеров плода, экстрагенитальными заболеваниями</w:t>
      </w:r>
      <w:r w:rsidR="00F87793" w:rsidRPr="00F87793">
        <w:t xml:space="preserve">. </w:t>
      </w:r>
      <w:r w:rsidRPr="00F87793">
        <w:t>Беременных с нарушениями кровообращения госпитализируют и оставляют в стационаре до клинического выздоровления или до родоразрешения</w:t>
      </w:r>
      <w:r w:rsidR="00F87793" w:rsidRPr="00F87793">
        <w:t xml:space="preserve">. </w:t>
      </w:r>
      <w:r w:rsidRPr="00F87793">
        <w:t>Всех беременных с сердечно-сосудистыми заболеваниями независимо от состояния здоровья помещают в родильный дом за 2</w:t>
      </w:r>
      <w:r w:rsidR="00F87793">
        <w:t xml:space="preserve"> </w:t>
      </w:r>
      <w:r w:rsidRPr="00F87793">
        <w:t>нед</w:t>
      </w:r>
      <w:r w:rsidR="00F87793" w:rsidRPr="00F87793">
        <w:t xml:space="preserve">. </w:t>
      </w:r>
      <w:r w:rsidRPr="00F87793">
        <w:t>до родов</w:t>
      </w:r>
      <w:r w:rsidR="00F87793" w:rsidRPr="00F87793">
        <w:t>.</w:t>
      </w:r>
    </w:p>
    <w:p w:rsidR="00F87793" w:rsidRDefault="00D53716" w:rsidP="00F87793">
      <w:r w:rsidRPr="00F87793">
        <w:t>Для повышения качества неотложной помощи в акушерстве нами разработана и внедрена в г</w:t>
      </w:r>
      <w:r w:rsidR="00F87793" w:rsidRPr="00F87793">
        <w:t xml:space="preserve">. </w:t>
      </w:r>
      <w:r w:rsidRPr="00F87793">
        <w:t>Екатеринбурге система интенсивного этапа лечения, включающая</w:t>
      </w:r>
      <w:r w:rsidR="00F87793" w:rsidRPr="00F87793">
        <w:t>:</w:t>
      </w:r>
    </w:p>
    <w:p w:rsidR="00F87793" w:rsidRDefault="00D53716" w:rsidP="00F87793">
      <w:r w:rsidRPr="00F87793">
        <w:t>1</w:t>
      </w:r>
      <w:r w:rsidR="00F87793" w:rsidRPr="00F87793">
        <w:t xml:space="preserve">. </w:t>
      </w:r>
      <w:r w:rsidRPr="00F87793">
        <w:t>Организационный раздел</w:t>
      </w:r>
      <w:r w:rsidR="00F87793">
        <w:t xml:space="preserve"> (</w:t>
      </w:r>
      <w:r w:rsidRPr="00F87793">
        <w:t>выделение самостоятельных служб анестезиологии и реанимации при родильных домах, их оснащение и организация консультативной работы</w:t>
      </w:r>
      <w:r w:rsidR="00F87793" w:rsidRPr="00F87793">
        <w:t>).</w:t>
      </w:r>
    </w:p>
    <w:p w:rsidR="00F87793" w:rsidRDefault="00D53716" w:rsidP="00F87793">
      <w:r w:rsidRPr="00F87793">
        <w:t>2</w:t>
      </w:r>
      <w:r w:rsidR="00F87793" w:rsidRPr="00F87793">
        <w:t xml:space="preserve">. </w:t>
      </w:r>
      <w:r w:rsidRPr="00F87793">
        <w:t>Методический раздел</w:t>
      </w:r>
      <w:r w:rsidR="00F87793">
        <w:t xml:space="preserve"> (</w:t>
      </w:r>
      <w:r w:rsidRPr="00F87793">
        <w:t>разработка стандартов неотложной помощи больным акушерского профиля в критических состояниях, создание сайта по проблемам интенсивной терапии и анестезии в акушерстве и неонатологии</w:t>
      </w:r>
      <w:r w:rsidR="00F87793" w:rsidRPr="00F87793">
        <w:t>).</w:t>
      </w:r>
    </w:p>
    <w:p w:rsidR="00F87793" w:rsidRDefault="00D53716" w:rsidP="00F87793">
      <w:r w:rsidRPr="00F87793">
        <w:t>3</w:t>
      </w:r>
      <w:r w:rsidR="00F87793" w:rsidRPr="00F87793">
        <w:t xml:space="preserve">. </w:t>
      </w:r>
      <w:r w:rsidRPr="00F87793">
        <w:t>Учебный раздел</w:t>
      </w:r>
      <w:r w:rsidR="00F87793">
        <w:t xml:space="preserve"> (</w:t>
      </w:r>
      <w:r w:rsidRPr="00F87793">
        <w:t>обучение врачей и среднего медицинского персонала по вопросам анестезии и интенсивной терапии в акушерстве</w:t>
      </w:r>
      <w:r w:rsidR="00F87793" w:rsidRPr="00F87793">
        <w:t>).</w:t>
      </w:r>
    </w:p>
    <w:p w:rsidR="00F87793" w:rsidRDefault="00D53716" w:rsidP="00F87793">
      <w:r w:rsidRPr="00F87793">
        <w:t>4</w:t>
      </w:r>
      <w:r w:rsidR="00F87793" w:rsidRPr="00F87793">
        <w:t xml:space="preserve">. </w:t>
      </w:r>
      <w:r w:rsidRPr="00F87793">
        <w:t>Научный раздел</w:t>
      </w:r>
      <w:r w:rsidR="00F87793" w:rsidRPr="00F87793">
        <w:t>.</w:t>
      </w:r>
    </w:p>
    <w:p w:rsidR="00F87793" w:rsidRDefault="00D53716" w:rsidP="00F87793">
      <w:r w:rsidRPr="00F87793">
        <w:t>Благодаря внедрению этой системы значительно изменилась структура анестезиологических пособий при операции кесарева сечения</w:t>
      </w:r>
      <w:r w:rsidR="00F87793" w:rsidRPr="00F87793">
        <w:t xml:space="preserve">: </w:t>
      </w:r>
      <w:r w:rsidRPr="00F87793">
        <w:t>в настоящее время более 70% операций проводится в условиях регионарной анестезии</w:t>
      </w:r>
      <w:r w:rsidR="00F87793" w:rsidRPr="00F87793">
        <w:t>.</w:t>
      </w:r>
    </w:p>
    <w:p w:rsidR="00F87793" w:rsidRDefault="00D53716" w:rsidP="00F87793">
      <w:r w:rsidRPr="00F87793">
        <w:t>Наряду с комплексными мероприятиями по оказанию медицинской помощи беременным женщинам группы высокого риска на амбулаторном этапе лечения внедрение данной системы позволило избежать случаев материнской смертности, связанной с анестезией, а также с острым пиелонефритом в течение 10 лет, связанной с гестозом и с массивными кровотечениями в роддомах в течение 5 лет</w:t>
      </w:r>
      <w:r w:rsidR="00F87793" w:rsidRPr="00F87793">
        <w:t xml:space="preserve">. </w:t>
      </w:r>
      <w:r w:rsidRPr="00F87793">
        <w:t>В г</w:t>
      </w:r>
      <w:r w:rsidR="00F87793" w:rsidRPr="00F87793">
        <w:t xml:space="preserve">. </w:t>
      </w:r>
      <w:r w:rsidRPr="00F87793">
        <w:t>Екатеринбурге на сегодняшний день в структуре материнской смертности преобладает экстрагенитальная патология</w:t>
      </w:r>
      <w:r w:rsidR="00F87793" w:rsidRPr="00F87793">
        <w:t>.</w:t>
      </w:r>
    </w:p>
    <w:p w:rsidR="00F87793" w:rsidRDefault="00D53716" w:rsidP="00F87793">
      <w:r w:rsidRPr="00F87793">
        <w:t>Более половины всех материнских потерь в России обусловлены тремя основными причинами</w:t>
      </w:r>
      <w:r w:rsidR="00F87793" w:rsidRPr="00F87793">
        <w:t xml:space="preserve">: </w:t>
      </w:r>
      <w:r w:rsidRPr="00F87793">
        <w:t>кровотечениями при беременности, в родах и послеродовом периоде, токсикозом беременности и абортами</w:t>
      </w:r>
      <w:r w:rsidR="00F87793" w:rsidRPr="00F87793">
        <w:t xml:space="preserve">. </w:t>
      </w:r>
      <w:r w:rsidRPr="00F87793">
        <w:t>Демографам трудно судить о первых двух причинах</w:t>
      </w:r>
      <w:r w:rsidR="00F87793">
        <w:t xml:space="preserve"> (</w:t>
      </w:r>
      <w:r w:rsidRPr="00F87793">
        <w:t>, а вот снизить вредные последствия абортов представляется вполне реальной задачей</w:t>
      </w:r>
      <w:r w:rsidR="00F87793" w:rsidRPr="00F87793">
        <w:t>.</w:t>
      </w:r>
    </w:p>
    <w:p w:rsidR="00F87793" w:rsidRDefault="00F87793" w:rsidP="00F87793"/>
    <w:p w:rsidR="00D53716" w:rsidRPr="00F87793" w:rsidRDefault="00490954" w:rsidP="00F87793">
      <w:r w:rsidRPr="00F87793">
        <w:t>Таблица 1</w:t>
      </w:r>
      <w:r w:rsidR="00F87793" w:rsidRPr="00F87793">
        <w:t xml:space="preserve">. </w:t>
      </w:r>
      <w:r w:rsidR="00D53716" w:rsidRPr="00F87793">
        <w:t>Материнска</w:t>
      </w:r>
      <w:r w:rsidRPr="00F87793">
        <w:t>я смертность в России</w:t>
      </w:r>
      <w:r w:rsidR="00F87793">
        <w:t>. 19</w:t>
      </w:r>
      <w:r w:rsidRPr="00F87793">
        <w:t>98-2006</w:t>
      </w:r>
      <w:r w:rsidR="00D53716" w:rsidRPr="00F87793">
        <w:t xml:space="preserve"> годы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D53716" w:rsidRPr="00F87793" w:rsidTr="00936CDC">
        <w:trPr>
          <w:jc w:val="center"/>
        </w:trPr>
        <w:tc>
          <w:tcPr>
            <w:tcW w:w="1981" w:type="pct"/>
            <w:vMerge w:val="restart"/>
            <w:shd w:val="clear" w:color="auto" w:fill="auto"/>
            <w:vAlign w:val="center"/>
          </w:tcPr>
          <w:p w:rsidR="00D53716" w:rsidRPr="00F87793" w:rsidRDefault="00F87793" w:rsidP="00F87793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199</w:t>
            </w:r>
            <w:r w:rsidR="00490954" w:rsidRPr="00F87793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199</w:t>
            </w:r>
            <w:r w:rsidR="00490954" w:rsidRPr="00F87793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2001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2002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200</w:t>
            </w:r>
            <w:r w:rsidR="00490954" w:rsidRPr="00F87793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200</w:t>
            </w:r>
            <w:r w:rsidR="00490954" w:rsidRPr="00F87793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200</w:t>
            </w:r>
            <w:r w:rsidR="00490954" w:rsidRPr="00F87793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2006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vMerge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На 100000 родившихся живыми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Все причины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31,3</w:t>
            </w:r>
          </w:p>
        </w:tc>
      </w:tr>
      <w:tr w:rsidR="00D53716" w:rsidRPr="00F87793" w:rsidTr="00936CDC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53716" w:rsidRPr="00F87793" w:rsidRDefault="00F87793" w:rsidP="00F87793">
            <w:pPr>
              <w:pStyle w:val="af9"/>
            </w:pPr>
            <w:r w:rsidRPr="00F87793">
              <w:t xml:space="preserve"> </w:t>
            </w:r>
            <w:r w:rsidR="00D53716" w:rsidRPr="00F87793">
              <w:t>в том числе</w:t>
            </w:r>
            <w:r w:rsidRPr="00F87793">
              <w:t xml:space="preserve">: 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внематочная беременность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1,6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искусственный медицинский аборт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0,7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аборт вне лечебного учреждения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4,5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кровотечения при беременности, в родах и в послеродовом периоде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7,2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токсикоз беременности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4,1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сепсис во время родов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1,2</w:t>
            </w:r>
          </w:p>
        </w:tc>
      </w:tr>
      <w:tr w:rsidR="00D53716" w:rsidRPr="00F87793" w:rsidTr="00936CDC">
        <w:trPr>
          <w:jc w:val="center"/>
        </w:trPr>
        <w:tc>
          <w:tcPr>
            <w:tcW w:w="1981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другие осложнения беременности и родов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12,0</w:t>
            </w:r>
          </w:p>
        </w:tc>
      </w:tr>
    </w:tbl>
    <w:p w:rsidR="00F87793" w:rsidRDefault="00F87793" w:rsidP="00F87793"/>
    <w:p w:rsidR="00F87793" w:rsidRDefault="00D53716" w:rsidP="00F87793">
      <w:r w:rsidRPr="00F87793">
        <w:t>Источник</w:t>
      </w:r>
      <w:r w:rsidR="00F87793" w:rsidRPr="00F87793">
        <w:t xml:space="preserve">: </w:t>
      </w:r>
      <w:r w:rsidRPr="00F87793">
        <w:t>Федеральная служба государственной статистики РФ</w:t>
      </w:r>
      <w:r w:rsidR="00F87793" w:rsidRPr="00F87793">
        <w:t>.</w:t>
      </w:r>
    </w:p>
    <w:p w:rsidR="00F87793" w:rsidRDefault="00D53716" w:rsidP="00F87793">
      <w:r w:rsidRPr="00F87793">
        <w:t>Аборты составляют стабильно большую долю в структуре причин материнской в стране</w:t>
      </w:r>
      <w:r w:rsidR="00F87793" w:rsidRPr="00F87793">
        <w:t xml:space="preserve">. </w:t>
      </w:r>
      <w:r w:rsidRPr="00F87793">
        <w:t>При этом большинство умер</w:t>
      </w:r>
      <w:r w:rsidR="00490954" w:rsidRPr="00F87793">
        <w:t>ших от аборта женщин</w:t>
      </w:r>
      <w:r w:rsidR="00F87793">
        <w:t xml:space="preserve"> (</w:t>
      </w:r>
      <w:r w:rsidR="00490954" w:rsidRPr="00F87793">
        <w:t>87% в 2006</w:t>
      </w:r>
      <w:r w:rsidRPr="00F87793">
        <w:t xml:space="preserve"> году</w:t>
      </w:r>
      <w:r w:rsidR="00F87793" w:rsidRPr="00F87793">
        <w:t xml:space="preserve">) - </w:t>
      </w:r>
      <w:r w:rsidRPr="00F87793">
        <w:t>это женщины, перенесшие внебольничные аборты</w:t>
      </w:r>
      <w:r w:rsidR="00F87793" w:rsidRPr="00F87793">
        <w:t>.</w:t>
      </w:r>
    </w:p>
    <w:p w:rsidR="00F87793" w:rsidRDefault="00F87793" w:rsidP="00F87793"/>
    <w:p w:rsidR="00D53716" w:rsidRPr="00F87793" w:rsidRDefault="00D53716" w:rsidP="00F87793">
      <w:pPr>
        <w:ind w:left="708" w:firstLine="12"/>
      </w:pPr>
      <w:r w:rsidRPr="00F87793">
        <w:t>Таблица 3</w:t>
      </w:r>
      <w:r w:rsidR="00F87793" w:rsidRPr="00F87793">
        <w:t xml:space="preserve">. </w:t>
      </w:r>
      <w:r w:rsidRPr="00F87793">
        <w:t>Материнская смертность, в том числе по причине аборта</w:t>
      </w:r>
      <w:r w:rsidR="00F87793" w:rsidRPr="00F87793">
        <w:t xml:space="preserve">. </w:t>
      </w:r>
      <w:r w:rsidRPr="00F87793">
        <w:t>Россия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1"/>
      </w:tblGrid>
      <w:tr w:rsidR="00D53716" w:rsidRPr="00F87793" w:rsidTr="00936CDC">
        <w:trPr>
          <w:jc w:val="center"/>
        </w:trPr>
        <w:tc>
          <w:tcPr>
            <w:tcW w:w="1584" w:type="pct"/>
            <w:shd w:val="clear" w:color="auto" w:fill="auto"/>
            <w:vAlign w:val="center"/>
          </w:tcPr>
          <w:p w:rsidR="00D53716" w:rsidRPr="00F87793" w:rsidRDefault="00F87793" w:rsidP="00F87793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199</w:t>
            </w:r>
            <w:r w:rsidR="00490954" w:rsidRPr="00F87793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199</w:t>
            </w:r>
            <w:r w:rsidR="00490954" w:rsidRPr="00F87793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1999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2001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490954" w:rsidP="00F87793">
            <w:pPr>
              <w:pStyle w:val="af9"/>
            </w:pPr>
            <w:r w:rsidRPr="00F87793">
              <w:t>2002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200</w:t>
            </w:r>
            <w:r w:rsidR="00490954" w:rsidRPr="00F87793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200</w:t>
            </w:r>
            <w:r w:rsidR="00490954" w:rsidRPr="00F87793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200</w:t>
            </w:r>
            <w:r w:rsidR="00490954" w:rsidRPr="00F87793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200</w:t>
            </w:r>
            <w:r w:rsidR="00490954" w:rsidRPr="00F87793">
              <w:t>6</w:t>
            </w:r>
          </w:p>
        </w:tc>
      </w:tr>
      <w:tr w:rsidR="00D53716" w:rsidRPr="00F87793" w:rsidTr="00936CDC">
        <w:trPr>
          <w:jc w:val="center"/>
        </w:trPr>
        <w:tc>
          <w:tcPr>
            <w:tcW w:w="1584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Всего умерло женщин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943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727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463</w:t>
            </w:r>
          </w:p>
        </w:tc>
      </w:tr>
      <w:tr w:rsidR="00D53716" w:rsidRPr="00F87793" w:rsidTr="00936CDC">
        <w:trPr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D53716" w:rsidRPr="00F87793" w:rsidRDefault="00F87793" w:rsidP="00F87793">
            <w:pPr>
              <w:pStyle w:val="af9"/>
            </w:pPr>
            <w:r w:rsidRPr="00F87793">
              <w:t xml:space="preserve"> </w:t>
            </w:r>
            <w:r w:rsidR="00D53716" w:rsidRPr="00F87793">
              <w:t>в том числе по причине</w:t>
            </w:r>
            <w:r w:rsidRPr="00F87793">
              <w:t xml:space="preserve">: </w:t>
            </w:r>
          </w:p>
        </w:tc>
      </w:tr>
      <w:tr w:rsidR="00D53716" w:rsidRPr="00F87793" w:rsidTr="00936CDC">
        <w:trPr>
          <w:jc w:val="center"/>
        </w:trPr>
        <w:tc>
          <w:tcPr>
            <w:tcW w:w="1584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искусственный медицинский аборт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10</w:t>
            </w:r>
          </w:p>
        </w:tc>
      </w:tr>
      <w:tr w:rsidR="00D53716" w:rsidRPr="00F87793" w:rsidTr="00936CDC">
        <w:trPr>
          <w:jc w:val="center"/>
        </w:trPr>
        <w:tc>
          <w:tcPr>
            <w:tcW w:w="1584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аборт вне лечебного учреждения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67</w:t>
            </w:r>
          </w:p>
        </w:tc>
      </w:tr>
      <w:tr w:rsidR="00D53716" w:rsidRPr="00F87793" w:rsidTr="00936CDC">
        <w:trPr>
          <w:jc w:val="center"/>
        </w:trPr>
        <w:tc>
          <w:tcPr>
            <w:tcW w:w="1584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аборт</w:t>
            </w:r>
            <w:r w:rsidR="00F87793" w:rsidRPr="00F87793">
              <w:t xml:space="preserve"> - </w:t>
            </w:r>
            <w:r w:rsidRPr="00F87793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77</w:t>
            </w:r>
          </w:p>
        </w:tc>
      </w:tr>
      <w:tr w:rsidR="00D53716" w:rsidRPr="00F87793" w:rsidTr="00936CDC">
        <w:trPr>
          <w:jc w:val="center"/>
        </w:trPr>
        <w:tc>
          <w:tcPr>
            <w:tcW w:w="1584" w:type="pct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Доля умерших от аборта в МС,</w:t>
            </w:r>
            <w:r w:rsidR="00F87793" w:rsidRPr="00F87793"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21,1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3716" w:rsidRPr="00F87793" w:rsidRDefault="00D53716" w:rsidP="00F87793">
            <w:pPr>
              <w:pStyle w:val="af9"/>
            </w:pPr>
            <w:r w:rsidRPr="00F87793">
              <w:t>16,6</w:t>
            </w:r>
          </w:p>
        </w:tc>
      </w:tr>
    </w:tbl>
    <w:p w:rsidR="00F87793" w:rsidRDefault="00F87793" w:rsidP="00F87793"/>
    <w:p w:rsidR="00F87793" w:rsidRDefault="00D53716" w:rsidP="00F87793">
      <w:r w:rsidRPr="00F87793">
        <w:t>Источник</w:t>
      </w:r>
      <w:r w:rsidR="00F87793" w:rsidRPr="00F87793">
        <w:t xml:space="preserve">: </w:t>
      </w:r>
      <w:r w:rsidRPr="00F87793">
        <w:t>Федеральная служба государственной статистики РФ</w:t>
      </w:r>
      <w:r w:rsidR="00F87793" w:rsidRPr="00F87793">
        <w:t>.</w:t>
      </w:r>
    </w:p>
    <w:p w:rsidR="00F87793" w:rsidRDefault="00D53716" w:rsidP="00F87793">
      <w:r w:rsidRPr="00F87793">
        <w:t>Согласно исследованию, проведенному специалистами Научного центра акушерства, гинекологии и перинатологии РАМН</w:t>
      </w:r>
      <w:r w:rsidRPr="00FC0B85">
        <w:t>2</w:t>
      </w:r>
      <w:r w:rsidRPr="00F87793">
        <w:t>, половина женщин, погибших</w:t>
      </w:r>
      <w:r w:rsidR="00490954" w:rsidRPr="00F87793">
        <w:t xml:space="preserve"> от внебольничного аборта в 2006</w:t>
      </w:r>
      <w:r w:rsidRPr="00F87793">
        <w:t xml:space="preserve"> году, были в возрасте от 30 до 40 лет и имели до этого беременности, в том числе прерванные</w:t>
      </w:r>
      <w:r w:rsidR="00F87793" w:rsidRPr="00F87793">
        <w:t xml:space="preserve">. </w:t>
      </w:r>
      <w:r w:rsidRPr="00F87793">
        <w:t>Иными словами, нельзя сказать, что проблема криминальных абортов в России затрагивает прежде всего самых молодых, незамужних женщин</w:t>
      </w:r>
      <w:r w:rsidR="00F87793">
        <w:t xml:space="preserve"> (</w:t>
      </w:r>
      <w:r w:rsidRPr="00F87793">
        <w:t>как это имеет место во многих других странах</w:t>
      </w:r>
      <w:r w:rsidR="00F87793" w:rsidRPr="00F87793">
        <w:t>).</w:t>
      </w:r>
    </w:p>
    <w:p w:rsidR="00C55E70" w:rsidRDefault="00D53716" w:rsidP="00F87793">
      <w:r w:rsidRPr="00F87793">
        <w:t>Это же исследование показало, что 78% умерших от последствий внебольничного аборта женщин были на поздних сроках беременности</w:t>
      </w:r>
      <w:r w:rsidR="00F87793">
        <w:t xml:space="preserve"> (</w:t>
      </w:r>
      <w:r w:rsidRPr="00F87793">
        <w:t>более 12 недель</w:t>
      </w:r>
      <w:r w:rsidR="00F87793" w:rsidRPr="00F87793">
        <w:t xml:space="preserve">). </w:t>
      </w:r>
    </w:p>
    <w:p w:rsidR="00F87793" w:rsidRDefault="00D53716" w:rsidP="00F87793">
      <w:r w:rsidRPr="00F87793">
        <w:t>Возможно, женщины затягивают с решением о прерывании беременности и в результате упускают возможность сделать легальный аборт в медицинском учреждении</w:t>
      </w:r>
      <w:r w:rsidR="00F87793" w:rsidRPr="00F87793">
        <w:t xml:space="preserve">. </w:t>
      </w:r>
      <w:r w:rsidRPr="00F87793">
        <w:t>А риск смерти от операции на поздних сроках гораздо выше, чем в первом триместре беременности</w:t>
      </w:r>
      <w:r w:rsidR="00F87793" w:rsidRPr="00F87793">
        <w:t>.</w:t>
      </w:r>
    </w:p>
    <w:p w:rsidR="00F87793" w:rsidRDefault="00D53716" w:rsidP="00F87793">
      <w:r w:rsidRPr="00F87793">
        <w:t>По данным Минздравсоцразвития, ведущей причиной смерти женщин после аборта, начатого или начавшегося вне лечебного учреждения, является их позднее обращение за медицинской помощью, хотя имеют место и случаи задержки в получении помощи или неправильного лечения уже в медицинском учреждении</w:t>
      </w:r>
      <w:r w:rsidR="00F87793" w:rsidRPr="00F87793">
        <w:t xml:space="preserve">. </w:t>
      </w:r>
      <w:r w:rsidRPr="00F87793">
        <w:t>Женщины умирают в большинстве случаев</w:t>
      </w:r>
      <w:r w:rsidR="00F87793">
        <w:t xml:space="preserve"> (</w:t>
      </w:r>
      <w:r w:rsidRPr="00F87793">
        <w:t>более 80%</w:t>
      </w:r>
      <w:r w:rsidR="00F87793" w:rsidRPr="00F87793">
        <w:t xml:space="preserve">) </w:t>
      </w:r>
      <w:r w:rsidRPr="00F87793">
        <w:t>из-за полученной инфекции</w:t>
      </w:r>
      <w:r w:rsidR="00F87793" w:rsidRPr="00F87793">
        <w:t>.</w:t>
      </w:r>
    </w:p>
    <w:p w:rsidR="00490954" w:rsidRPr="00F87793" w:rsidRDefault="00F87793" w:rsidP="00F87793">
      <w:pPr>
        <w:pStyle w:val="2"/>
      </w:pPr>
      <w:r>
        <w:br w:type="page"/>
      </w:r>
      <w:bookmarkStart w:id="3" w:name="_Toc237640373"/>
      <w:r w:rsidR="00490954" w:rsidRPr="00F87793">
        <w:t>Заключение</w:t>
      </w:r>
      <w:bookmarkEnd w:id="3"/>
    </w:p>
    <w:p w:rsidR="00F87793" w:rsidRDefault="00F87793" w:rsidP="00F87793"/>
    <w:p w:rsidR="00F87793" w:rsidRDefault="00490954" w:rsidP="00F87793">
      <w:r w:rsidRPr="00F87793">
        <w:t>Итак, неравенство в распределении материальных ценностей между этим группами стран и их гражданами ошеломляет</w:t>
      </w:r>
      <w:r w:rsidR="00F87793" w:rsidRPr="00F87793">
        <w:t xml:space="preserve">. </w:t>
      </w:r>
      <w:r w:rsidRPr="00F87793">
        <w:t>В высоко развитых странах проживает 25% мирового населения, которое при этом владеет 80% мирового богатства</w:t>
      </w:r>
      <w:r w:rsidR="00F87793" w:rsidRPr="00F87793">
        <w:t xml:space="preserve">. </w:t>
      </w:r>
      <w:r w:rsidRPr="00F87793">
        <w:t>Конечно же, богатство внутри каждой страны распределено неравномерно</w:t>
      </w:r>
      <w:r w:rsidR="00F87793" w:rsidRPr="00F87793">
        <w:t xml:space="preserve">. </w:t>
      </w:r>
      <w:r w:rsidRPr="00F87793">
        <w:t>От 10 до 15</w:t>
      </w:r>
      <w:r w:rsidR="00F87793" w:rsidRPr="00F87793">
        <w:t>%</w:t>
      </w:r>
      <w:r w:rsidRPr="00F87793">
        <w:t xml:space="preserve"> людей в развитых странах относятся к разряду бедных, а 10%</w:t>
      </w:r>
      <w:r w:rsidR="00F87793" w:rsidRPr="00F87793">
        <w:t xml:space="preserve"> </w:t>
      </w:r>
      <w:r w:rsidRPr="00F87793">
        <w:t>населения развивающихся стран считаются богатыми</w:t>
      </w:r>
      <w:r w:rsidR="00F87793" w:rsidRPr="00F87793">
        <w:t xml:space="preserve">. </w:t>
      </w:r>
      <w:r w:rsidRPr="00F87793">
        <w:t>Недоедание и смерть от голода широко распространены среди народов Африки и Азии, особенно среди младенцев и детей</w:t>
      </w:r>
      <w:r w:rsidR="00F87793" w:rsidRPr="00F87793">
        <w:t>.</w:t>
      </w:r>
    </w:p>
    <w:p w:rsidR="00F87793" w:rsidRDefault="00490954" w:rsidP="00F87793">
      <w:r w:rsidRPr="00F87793">
        <w:t>Несмотря на то, что по сравнению с прошлым веком детская смертность в России снизилась в 17</w:t>
      </w:r>
      <w:r w:rsidR="00F87793">
        <w:t xml:space="preserve"> </w:t>
      </w:r>
      <w:r w:rsidRPr="00F87793">
        <w:t>раз, этот показатель все еще остается выше, чем в большинстве стран Европы</w:t>
      </w:r>
      <w:r w:rsidR="00F87793" w:rsidRPr="00F87793">
        <w:t>.</w:t>
      </w:r>
    </w:p>
    <w:p w:rsidR="00F87793" w:rsidRDefault="00490954" w:rsidP="00F87793">
      <w:r w:rsidRPr="00F87793">
        <w:t>В предотвращении материнской смертности большую роль играет правильная организация медицинской помощи беременным</w:t>
      </w:r>
      <w:r w:rsidR="00F87793" w:rsidRPr="00F87793">
        <w:t xml:space="preserve">: </w:t>
      </w:r>
      <w:r w:rsidRPr="00F87793">
        <w:t>тщательное врачебное наблюдение и при необходимости своевременная госпитализация беременных с отягощенным акушерским анамнезом</w:t>
      </w:r>
      <w:r w:rsidR="00F87793">
        <w:t xml:space="preserve"> (</w:t>
      </w:r>
      <w:r w:rsidRPr="00F87793">
        <w:t xml:space="preserve">неоднократные аборты, кесарево сечение и </w:t>
      </w:r>
      <w:r w:rsidR="00F87793">
        <w:t>др.)</w:t>
      </w:r>
      <w:r w:rsidR="00F87793" w:rsidRPr="00F87793">
        <w:t>,</w:t>
      </w:r>
      <w:r w:rsidRPr="00F87793">
        <w:t xml:space="preserve"> аномалиями положения и увеличении размеров плода, экстрагенитальными заболеваниями</w:t>
      </w:r>
      <w:r w:rsidR="00F87793" w:rsidRPr="00F87793">
        <w:t xml:space="preserve">. </w:t>
      </w:r>
      <w:r w:rsidR="00E800E1" w:rsidRPr="00F87793">
        <w:t>В России проблема материнской смертности остается чрезвычайно актуальной и её показатели на порядок превышают аналогичные показатели в развитых странах</w:t>
      </w:r>
      <w:r w:rsidR="00F87793" w:rsidRPr="00F87793">
        <w:t xml:space="preserve">. </w:t>
      </w:r>
      <w:r w:rsidR="00E800E1" w:rsidRPr="00F87793">
        <w:t>При этом во многих регионах отсутствует единый подход к проведению интенсивной терапии и анестезиологического пособия у больных акушерского профиля, а именно качество интенсивного этапа лечения в большинстве случаев определяет исход беременности как для матери, так и для новорождённого</w:t>
      </w:r>
      <w:r w:rsidR="00F87793" w:rsidRPr="00F87793">
        <w:t xml:space="preserve">. </w:t>
      </w:r>
      <w:r w:rsidRPr="00F87793">
        <w:t>Ведущей причиной смерти женщин после аборта, начатого или начавшегося вне лечебного учреждения, является их позднее обращение за медицинской помощью, хотя имеют место и случаи задержки в получении помощи или неправильного лечения уже в медицинском учреждении</w:t>
      </w:r>
      <w:r w:rsidR="00F87793" w:rsidRPr="00F87793">
        <w:t>.</w:t>
      </w:r>
    </w:p>
    <w:p w:rsidR="004F407B" w:rsidRPr="00F87793" w:rsidRDefault="00F87793" w:rsidP="00F87793">
      <w:pPr>
        <w:pStyle w:val="2"/>
      </w:pPr>
      <w:r>
        <w:br w:type="page"/>
      </w:r>
      <w:bookmarkStart w:id="4" w:name="_Toc237640374"/>
      <w:r w:rsidR="004F407B" w:rsidRPr="00F87793">
        <w:t>Список использованной литературы</w:t>
      </w:r>
      <w:bookmarkEnd w:id="4"/>
    </w:p>
    <w:p w:rsidR="00F87793" w:rsidRDefault="00F87793" w:rsidP="00F87793"/>
    <w:p w:rsidR="00F87793" w:rsidRDefault="004F407B" w:rsidP="00F87793">
      <w:pPr>
        <w:pStyle w:val="a1"/>
        <w:tabs>
          <w:tab w:val="left" w:pos="420"/>
        </w:tabs>
      </w:pPr>
      <w:r w:rsidRPr="00F87793">
        <w:t>Борисов В</w:t>
      </w:r>
      <w:r w:rsidR="00F87793">
        <w:t xml:space="preserve">.А. </w:t>
      </w:r>
      <w:r w:rsidRPr="00F87793">
        <w:t>Демография</w:t>
      </w:r>
      <w:r w:rsidR="00F87793" w:rsidRPr="00F87793">
        <w:t xml:space="preserve">. </w:t>
      </w:r>
      <w:r w:rsidRPr="00F87793">
        <w:t>М</w:t>
      </w:r>
      <w:r w:rsidR="00F87793">
        <w:t>.:</w:t>
      </w:r>
      <w:r w:rsidR="00F87793" w:rsidRPr="00F87793">
        <w:t xml:space="preserve"> </w:t>
      </w:r>
      <w:r w:rsidRPr="00F87793">
        <w:t>НОТА-БЕНЕ, 2003</w:t>
      </w:r>
      <w:r w:rsidR="00F87793" w:rsidRPr="00F87793">
        <w:t xml:space="preserve">. </w:t>
      </w:r>
      <w:r w:rsidR="00F87793">
        <w:t>-</w:t>
      </w:r>
      <w:r w:rsidRPr="00F87793">
        <w:t xml:space="preserve"> 344с</w:t>
      </w:r>
      <w:r w:rsidR="00F87793" w:rsidRPr="00F87793">
        <w:t>.</w:t>
      </w:r>
    </w:p>
    <w:p w:rsidR="00F87793" w:rsidRDefault="004F407B" w:rsidP="00F87793">
      <w:pPr>
        <w:pStyle w:val="a1"/>
        <w:tabs>
          <w:tab w:val="left" w:pos="420"/>
        </w:tabs>
      </w:pPr>
      <w:r w:rsidRPr="00F87793">
        <w:t>Бутов В</w:t>
      </w:r>
      <w:r w:rsidR="00F87793">
        <w:t xml:space="preserve">.И. </w:t>
      </w:r>
      <w:r w:rsidRPr="00F87793">
        <w:t>Демография</w:t>
      </w:r>
      <w:r w:rsidR="00F87793" w:rsidRPr="00F87793">
        <w:t xml:space="preserve">. </w:t>
      </w:r>
      <w:r w:rsidRPr="00F87793">
        <w:t>Ростов н</w:t>
      </w:r>
      <w:r w:rsidR="00F87793" w:rsidRPr="00F87793">
        <w:t xml:space="preserve">. </w:t>
      </w:r>
      <w:r w:rsidRPr="00F87793">
        <w:t>/ Д</w:t>
      </w:r>
      <w:r w:rsidR="00F87793">
        <w:t>.:</w:t>
      </w:r>
      <w:r w:rsidR="00F87793" w:rsidRPr="00F87793">
        <w:t xml:space="preserve"> </w:t>
      </w:r>
      <w:r w:rsidRPr="00F87793">
        <w:t>МарТ, 2003</w:t>
      </w:r>
      <w:r w:rsidR="00F87793" w:rsidRPr="00F87793">
        <w:t xml:space="preserve">. </w:t>
      </w:r>
      <w:r w:rsidR="00F87793">
        <w:t>-</w:t>
      </w:r>
      <w:r w:rsidRPr="00F87793">
        <w:t xml:space="preserve"> 592с</w:t>
      </w:r>
      <w:r w:rsidR="00F87793" w:rsidRPr="00F87793">
        <w:t>.</w:t>
      </w:r>
    </w:p>
    <w:p w:rsidR="00F87793" w:rsidRDefault="004F407B" w:rsidP="00F87793">
      <w:pPr>
        <w:pStyle w:val="a1"/>
        <w:tabs>
          <w:tab w:val="left" w:pos="420"/>
        </w:tabs>
      </w:pPr>
      <w:r w:rsidRPr="00F87793">
        <w:t>Демография</w:t>
      </w:r>
      <w:r w:rsidR="00F87793" w:rsidRPr="00F87793">
        <w:t xml:space="preserve">. </w:t>
      </w:r>
      <w:r w:rsidRPr="00F87793">
        <w:t>/ Под ред</w:t>
      </w:r>
      <w:r w:rsidR="00F87793" w:rsidRPr="00F87793">
        <w:t xml:space="preserve">. </w:t>
      </w:r>
      <w:r w:rsidRPr="00F87793">
        <w:t>Н</w:t>
      </w:r>
      <w:r w:rsidR="00F87793">
        <w:t xml:space="preserve">.А. </w:t>
      </w:r>
      <w:r w:rsidRPr="00F87793">
        <w:t>Волгина</w:t>
      </w:r>
      <w:r w:rsidR="00F87793" w:rsidRPr="00F87793">
        <w:t xml:space="preserve">. </w:t>
      </w:r>
      <w:r w:rsidR="00F87793">
        <w:t>-</w:t>
      </w:r>
      <w:r w:rsidRPr="00F87793">
        <w:t xml:space="preserve"> М</w:t>
      </w:r>
      <w:r w:rsidR="00F87793">
        <w:t>.:</w:t>
      </w:r>
      <w:r w:rsidR="00F87793" w:rsidRPr="00F87793">
        <w:t xml:space="preserve"> </w:t>
      </w:r>
      <w:r w:rsidRPr="00F87793">
        <w:t>РАГС</w:t>
      </w:r>
      <w:r w:rsidR="00F87793">
        <w:t>, 20</w:t>
      </w:r>
      <w:r w:rsidRPr="00F87793">
        <w:t>03</w:t>
      </w:r>
      <w:r w:rsidR="00F87793" w:rsidRPr="00F87793">
        <w:t xml:space="preserve">. </w:t>
      </w:r>
      <w:r w:rsidR="00F87793">
        <w:t>-</w:t>
      </w:r>
      <w:r w:rsidRPr="00F87793">
        <w:t xml:space="preserve"> 384с</w:t>
      </w:r>
      <w:r w:rsidR="00F87793" w:rsidRPr="00F87793">
        <w:t>.</w:t>
      </w:r>
    </w:p>
    <w:p w:rsidR="00F87793" w:rsidRDefault="004F407B" w:rsidP="00F87793">
      <w:pPr>
        <w:pStyle w:val="a1"/>
        <w:tabs>
          <w:tab w:val="left" w:pos="420"/>
        </w:tabs>
      </w:pPr>
      <w:r w:rsidRPr="00F87793">
        <w:t>Копылов В</w:t>
      </w:r>
      <w:r w:rsidR="00F87793">
        <w:t xml:space="preserve">.А. </w:t>
      </w:r>
      <w:r w:rsidRPr="00F87793">
        <w:t>География населения</w:t>
      </w:r>
      <w:r w:rsidR="00F87793" w:rsidRPr="00F87793">
        <w:t xml:space="preserve">. </w:t>
      </w:r>
      <w:r w:rsidR="005A0433" w:rsidRPr="00F87793">
        <w:t>М</w:t>
      </w:r>
      <w:r w:rsidR="00F87793">
        <w:t>.:</w:t>
      </w:r>
      <w:r w:rsidR="00F87793" w:rsidRPr="00F87793">
        <w:t xml:space="preserve"> </w:t>
      </w:r>
      <w:r w:rsidR="005A0433" w:rsidRPr="00F87793">
        <w:t>Финансы и статистика, 2005</w:t>
      </w:r>
      <w:r w:rsidR="00F87793" w:rsidRPr="00F87793">
        <w:t xml:space="preserve">. </w:t>
      </w:r>
      <w:r w:rsidR="00F87793">
        <w:t>-</w:t>
      </w:r>
      <w:r w:rsidRPr="00F87793">
        <w:t xml:space="preserve"> 244с</w:t>
      </w:r>
      <w:r w:rsidR="00F87793" w:rsidRPr="00F87793">
        <w:t>.</w:t>
      </w:r>
    </w:p>
    <w:p w:rsidR="00F87793" w:rsidRDefault="004F407B" w:rsidP="00F87793">
      <w:pPr>
        <w:pStyle w:val="a1"/>
        <w:tabs>
          <w:tab w:val="left" w:pos="420"/>
        </w:tabs>
      </w:pPr>
      <w:r w:rsidRPr="00F87793">
        <w:t>Экономи</w:t>
      </w:r>
      <w:r w:rsidR="005A0433" w:rsidRPr="00F87793">
        <w:t>ка народонаселения и демография</w:t>
      </w:r>
      <w:r w:rsidR="00F87793" w:rsidRPr="00F87793">
        <w:t xml:space="preserve">. </w:t>
      </w:r>
      <w:r w:rsidR="005A0433" w:rsidRPr="00F87793">
        <w:t>/ П</w:t>
      </w:r>
      <w:r w:rsidRPr="00F87793">
        <w:t>од ред</w:t>
      </w:r>
      <w:r w:rsidR="00F87793">
        <w:t xml:space="preserve">. В.А. </w:t>
      </w:r>
      <w:r w:rsidRPr="00F87793">
        <w:t>Ионцева</w:t>
      </w:r>
      <w:r w:rsidR="00F87793" w:rsidRPr="00F87793">
        <w:t xml:space="preserve">. </w:t>
      </w:r>
      <w:r w:rsidR="00F87793">
        <w:t>-</w:t>
      </w:r>
      <w:r w:rsidR="005A0433" w:rsidRPr="00F87793">
        <w:t xml:space="preserve"> М</w:t>
      </w:r>
      <w:r w:rsidR="00F87793">
        <w:t>.:</w:t>
      </w:r>
      <w:r w:rsidR="00F87793" w:rsidRPr="00F87793">
        <w:t xml:space="preserve"> </w:t>
      </w:r>
      <w:r w:rsidR="005A0433" w:rsidRPr="00F87793">
        <w:t>Финансы и статистика, 2004</w:t>
      </w:r>
      <w:r w:rsidR="00F87793" w:rsidRPr="00F87793">
        <w:t xml:space="preserve">. </w:t>
      </w:r>
      <w:r w:rsidR="00F87793">
        <w:t>-</w:t>
      </w:r>
      <w:r w:rsidR="005A0433" w:rsidRPr="00F87793">
        <w:t xml:space="preserve"> 245с</w:t>
      </w:r>
      <w:r w:rsidR="00F87793" w:rsidRPr="00F87793">
        <w:t>.</w:t>
      </w:r>
    </w:p>
    <w:p w:rsidR="000E72AD" w:rsidRPr="00F87793" w:rsidRDefault="000E72AD" w:rsidP="00F87793">
      <w:bookmarkStart w:id="5" w:name="_GoBack"/>
      <w:bookmarkEnd w:id="5"/>
    </w:p>
    <w:sectPr w:rsidR="000E72AD" w:rsidRPr="00F87793" w:rsidSect="00F877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DC" w:rsidRDefault="00936CDC">
      <w:r>
        <w:separator/>
      </w:r>
    </w:p>
  </w:endnote>
  <w:endnote w:type="continuationSeparator" w:id="0">
    <w:p w:rsidR="00936CDC" w:rsidRDefault="0093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70" w:rsidRDefault="00C55E7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70" w:rsidRDefault="00C55E7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DC" w:rsidRDefault="00936CDC">
      <w:r>
        <w:separator/>
      </w:r>
    </w:p>
  </w:footnote>
  <w:footnote w:type="continuationSeparator" w:id="0">
    <w:p w:rsidR="00936CDC" w:rsidRDefault="0093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70" w:rsidRDefault="00FC0B85" w:rsidP="00E800E1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C55E70" w:rsidRDefault="00C55E70" w:rsidP="0070264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70" w:rsidRDefault="00C55E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96376A"/>
    <w:multiLevelType w:val="hybridMultilevel"/>
    <w:tmpl w:val="2B32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68E"/>
    <w:rsid w:val="000100F2"/>
    <w:rsid w:val="000E72AD"/>
    <w:rsid w:val="0027687D"/>
    <w:rsid w:val="00490954"/>
    <w:rsid w:val="004F407B"/>
    <w:rsid w:val="005A0433"/>
    <w:rsid w:val="00702643"/>
    <w:rsid w:val="00702B54"/>
    <w:rsid w:val="00936CDC"/>
    <w:rsid w:val="009541A0"/>
    <w:rsid w:val="00A3268E"/>
    <w:rsid w:val="00AC7F02"/>
    <w:rsid w:val="00BA2E1D"/>
    <w:rsid w:val="00BB4A3C"/>
    <w:rsid w:val="00C55E70"/>
    <w:rsid w:val="00CF627D"/>
    <w:rsid w:val="00D53716"/>
    <w:rsid w:val="00E800E1"/>
    <w:rsid w:val="00F87793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C26046-DF82-4BC3-B3B2-077A490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877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779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779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8779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779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779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779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779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779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F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1">
    <w:name w:val="Обычный (веб)1"/>
    <w:basedOn w:val="a2"/>
    <w:uiPriority w:val="99"/>
    <w:rsid w:val="005A0433"/>
    <w:pPr>
      <w:spacing w:before="158" w:after="158"/>
    </w:pPr>
  </w:style>
  <w:style w:type="paragraph" w:styleId="a6">
    <w:name w:val="Normal (Web)"/>
    <w:basedOn w:val="a2"/>
    <w:uiPriority w:val="99"/>
    <w:rsid w:val="00F87793"/>
    <w:pPr>
      <w:spacing w:before="100" w:beforeAutospacing="1" w:after="100" w:afterAutospacing="1"/>
    </w:pPr>
    <w:rPr>
      <w:lang w:val="uk-UA" w:eastAsia="uk-UA"/>
    </w:rPr>
  </w:style>
  <w:style w:type="character" w:customStyle="1" w:styleId="accented">
    <w:name w:val="accented"/>
    <w:uiPriority w:val="99"/>
    <w:rsid w:val="00D53716"/>
  </w:style>
  <w:style w:type="paragraph" w:customStyle="1" w:styleId="aj">
    <w:name w:val="aj"/>
    <w:basedOn w:val="a2"/>
    <w:uiPriority w:val="99"/>
    <w:rsid w:val="00D53716"/>
    <w:pPr>
      <w:spacing w:before="79" w:after="63" w:line="312" w:lineRule="auto"/>
      <w:ind w:left="16" w:right="16" w:firstLine="475"/>
    </w:pPr>
    <w:rPr>
      <w:rFonts w:ascii="Verdana" w:hAnsi="Verdana" w:cs="Verdana"/>
      <w:color w:val="330000"/>
      <w:sz w:val="18"/>
      <w:szCs w:val="18"/>
    </w:rPr>
  </w:style>
  <w:style w:type="character" w:styleId="a7">
    <w:name w:val="Hyperlink"/>
    <w:uiPriority w:val="99"/>
    <w:rsid w:val="00F87793"/>
    <w:rPr>
      <w:color w:val="0000FF"/>
      <w:u w:val="single"/>
    </w:rPr>
  </w:style>
  <w:style w:type="paragraph" w:customStyle="1" w:styleId="p2">
    <w:name w:val="p2"/>
    <w:basedOn w:val="a2"/>
    <w:uiPriority w:val="99"/>
    <w:rsid w:val="00D5371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z1">
    <w:name w:val="z1"/>
    <w:basedOn w:val="a2"/>
    <w:uiPriority w:val="99"/>
    <w:rsid w:val="00D53716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paragraph" w:styleId="a8">
    <w:name w:val="header"/>
    <w:basedOn w:val="a2"/>
    <w:next w:val="a9"/>
    <w:link w:val="aa"/>
    <w:uiPriority w:val="99"/>
    <w:rsid w:val="00F877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F87793"/>
    <w:rPr>
      <w:vertAlign w:val="superscript"/>
    </w:rPr>
  </w:style>
  <w:style w:type="character" w:styleId="ac">
    <w:name w:val="page number"/>
    <w:uiPriority w:val="99"/>
    <w:rsid w:val="00F87793"/>
  </w:style>
  <w:style w:type="table" w:styleId="-1">
    <w:name w:val="Table Web 1"/>
    <w:basedOn w:val="a4"/>
    <w:uiPriority w:val="99"/>
    <w:rsid w:val="00F877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F87793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877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F877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8779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F877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F8779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F87793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F87793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F87793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8779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8779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F87793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F8779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877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779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779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7793"/>
    <w:pPr>
      <w:ind w:left="958"/>
    </w:pPr>
  </w:style>
  <w:style w:type="paragraph" w:styleId="23">
    <w:name w:val="Body Text Indent 2"/>
    <w:basedOn w:val="a2"/>
    <w:link w:val="24"/>
    <w:uiPriority w:val="99"/>
    <w:rsid w:val="00F8779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8779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877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877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779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779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F8779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8779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877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7793"/>
    <w:rPr>
      <w:i/>
      <w:iCs/>
    </w:rPr>
  </w:style>
  <w:style w:type="paragraph" w:customStyle="1" w:styleId="af9">
    <w:name w:val="ТАБЛИЦА"/>
    <w:next w:val="a2"/>
    <w:autoRedefine/>
    <w:uiPriority w:val="99"/>
    <w:rsid w:val="00F8779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87793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F87793"/>
  </w:style>
  <w:style w:type="table" w:customStyle="1" w:styleId="16">
    <w:name w:val="Стиль таблицы1"/>
    <w:basedOn w:val="a4"/>
    <w:uiPriority w:val="99"/>
    <w:rsid w:val="00F877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8779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8779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8779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877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7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7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702">
      <w:marLeft w:val="158"/>
      <w:marRight w:val="158"/>
      <w:marTop w:val="158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9706">
              <w:marLeft w:val="3481"/>
              <w:marRight w:val="50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703">
                  <w:marLeft w:val="3481"/>
                  <w:marRight w:val="50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9701">
                      <w:marLeft w:val="3481"/>
                      <w:marRight w:val="50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969708">
      <w:marLeft w:val="0"/>
      <w:marRight w:val="0"/>
      <w:marTop w:val="0"/>
      <w:marBottom w:val="3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azat</dc:creator>
  <cp:keywords/>
  <dc:description/>
  <cp:lastModifiedBy>admin</cp:lastModifiedBy>
  <cp:revision>2</cp:revision>
  <dcterms:created xsi:type="dcterms:W3CDTF">2014-02-21T19:18:00Z</dcterms:created>
  <dcterms:modified xsi:type="dcterms:W3CDTF">2014-02-21T19:18:00Z</dcterms:modified>
</cp:coreProperties>
</file>