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29" w:rsidRPr="00E24B1E" w:rsidRDefault="00270629" w:rsidP="003500F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B1E">
        <w:rPr>
          <w:b/>
          <w:bCs/>
          <w:sz w:val="28"/>
          <w:szCs w:val="28"/>
        </w:rPr>
        <w:t>Содержание</w:t>
      </w:r>
    </w:p>
    <w:p w:rsidR="00270629" w:rsidRPr="00E24B1E" w:rsidRDefault="00270629" w:rsidP="003500F5">
      <w:pPr>
        <w:spacing w:line="360" w:lineRule="auto"/>
        <w:ind w:firstLine="709"/>
        <w:jc w:val="both"/>
        <w:rPr>
          <w:sz w:val="28"/>
          <w:szCs w:val="28"/>
        </w:rPr>
      </w:pPr>
    </w:p>
    <w:p w:rsidR="00270629" w:rsidRPr="00E24B1E" w:rsidRDefault="004317FC" w:rsidP="004317F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24B1E">
        <w:rPr>
          <w:noProof/>
          <w:sz w:val="28"/>
          <w:szCs w:val="28"/>
        </w:rPr>
        <w:t xml:space="preserve">Задача 1 </w:t>
      </w:r>
    </w:p>
    <w:p w:rsidR="00270629" w:rsidRPr="00E24B1E" w:rsidRDefault="004317FC" w:rsidP="004317FC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E24B1E">
        <w:rPr>
          <w:noProof/>
          <w:sz w:val="28"/>
          <w:szCs w:val="28"/>
        </w:rPr>
        <w:t xml:space="preserve">Задача 2 </w:t>
      </w:r>
    </w:p>
    <w:p w:rsidR="004317FC" w:rsidRPr="00E24B1E" w:rsidRDefault="00270629" w:rsidP="004317FC">
      <w:pPr>
        <w:pStyle w:val="11"/>
        <w:tabs>
          <w:tab w:val="right" w:leader="dot" w:pos="9345"/>
        </w:tabs>
        <w:spacing w:line="360" w:lineRule="auto"/>
        <w:jc w:val="both"/>
        <w:rPr>
          <w:sz w:val="28"/>
          <w:szCs w:val="28"/>
        </w:rPr>
      </w:pPr>
      <w:r w:rsidRPr="00E24B1E">
        <w:rPr>
          <w:noProof/>
          <w:sz w:val="28"/>
          <w:szCs w:val="28"/>
          <w:lang w:eastAsia="en-US"/>
        </w:rPr>
        <w:t>Список литературы</w:t>
      </w:r>
      <w:bookmarkStart w:id="0" w:name="_Toc244887583"/>
    </w:p>
    <w:p w:rsidR="00270629" w:rsidRPr="00E24B1E" w:rsidRDefault="004317FC" w:rsidP="004317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24B1E">
        <w:br w:type="page"/>
      </w:r>
      <w:r w:rsidR="006C4994" w:rsidRPr="00E24B1E">
        <w:rPr>
          <w:b/>
          <w:bCs/>
          <w:sz w:val="28"/>
          <w:szCs w:val="28"/>
        </w:rPr>
        <w:t>Задача 1</w:t>
      </w:r>
      <w:bookmarkEnd w:id="0"/>
    </w:p>
    <w:p w:rsidR="004317FC" w:rsidRPr="00E24B1E" w:rsidRDefault="004317FC" w:rsidP="004317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7154A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</w:t>
      </w:r>
      <w:r w:rsidR="00B7154A" w:rsidRPr="00E24B1E">
        <w:rPr>
          <w:sz w:val="28"/>
          <w:szCs w:val="28"/>
          <w:lang w:val="ru-RU"/>
        </w:rPr>
        <w:t xml:space="preserve">емеровский государственный университет закупил для дисплейного класса 20 компьютеров типа </w:t>
      </w:r>
      <w:r w:rsidR="00B7154A" w:rsidRPr="00E24B1E">
        <w:rPr>
          <w:sz w:val="28"/>
          <w:szCs w:val="28"/>
        </w:rPr>
        <w:t>IBM</w:t>
      </w:r>
      <w:r w:rsidR="00B7154A" w:rsidRPr="00E24B1E">
        <w:rPr>
          <w:sz w:val="28"/>
          <w:szCs w:val="28"/>
          <w:lang w:val="ru-RU"/>
        </w:rPr>
        <w:t xml:space="preserve"> у фирмы «Прогресс». Деньги были перечислены университетом через банк на расчетный счет фирмы, о чем банком на втором экземпляре платежного поручения была сделана соответствующая отметка. Проректор университета по административно-хозяйственной части поручил работнику отдела снабжения Михайлову получить компьютеры и доставить их в университет, для чего выдал еу доверенность, заверенную гербовой печатью университета. Михайлов предъявил фирме «Прогресс» копию платежного поручения с отметкой банка о оплате и доверенность, однако фирма отказалась выдать компьютеры Михайлову.</w:t>
      </w:r>
    </w:p>
    <w:p w:rsidR="00B7154A" w:rsidRPr="00E24B1E" w:rsidRDefault="00B7154A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Вопросы:</w:t>
      </w:r>
    </w:p>
    <w:p w:rsidR="00B7154A" w:rsidRPr="00E24B1E" w:rsidRDefault="00B7154A" w:rsidP="003500F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как решить указанную ситуацию?</w:t>
      </w:r>
    </w:p>
    <w:p w:rsidR="00B7154A" w:rsidRPr="00E24B1E" w:rsidRDefault="00B7154A" w:rsidP="003500F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почему фирма не выдала оплаченные университетом компьютеры?</w:t>
      </w:r>
    </w:p>
    <w:p w:rsidR="00B7154A" w:rsidRPr="00E24B1E" w:rsidRDefault="00B7154A" w:rsidP="003500F5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какими юридическими нормами следует руководствоваться в данном случае?</w:t>
      </w:r>
    </w:p>
    <w:p w:rsidR="00B7154A" w:rsidRPr="00E24B1E" w:rsidRDefault="00B7154A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Решение:</w:t>
      </w:r>
    </w:p>
    <w:p w:rsidR="007C1AF8" w:rsidRPr="00E24B1E" w:rsidRDefault="007C1AF8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В соответствии со статьей 506 ГК РФ по договору поставки поставщик-продавец, осуществляющий предпринимательскую деятельность,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</w:t>
      </w:r>
    </w:p>
    <w:p w:rsidR="00D8432B" w:rsidRPr="00E24B1E" w:rsidRDefault="00D8432B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Обязанностью покупателя, при исполнении со своей стороны договора поставки, является оплата полученного товара. При этом доказать осуществление платежа обычно не составляет особого труда, так как подобные операции в большинстве случаев осуществляются с участием банка, в документации которого отражается прохождение платежа. Фирма должна выдать компьютеры покупателю, так как деньги были перечислены университетом через банк на расчетный счет, о чем банком на втором экземпляре платежного поручения была сделана соответствующая отметка.</w:t>
      </w:r>
    </w:p>
    <w:p w:rsidR="00B7154A" w:rsidRPr="00E24B1E" w:rsidRDefault="004A3CEA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П</w:t>
      </w:r>
      <w:r w:rsidR="009F6303" w:rsidRPr="00E24B1E">
        <w:rPr>
          <w:sz w:val="28"/>
          <w:szCs w:val="28"/>
          <w:lang w:val="ru-RU"/>
        </w:rPr>
        <w:t xml:space="preserve">ри осуществлении поставки товаров продавцы и покупатели должны руководствоваться нормами </w:t>
      </w:r>
      <w:r w:rsidRPr="00E24B1E">
        <w:rPr>
          <w:sz w:val="28"/>
          <w:szCs w:val="28"/>
          <w:lang w:val="ru-RU"/>
        </w:rPr>
        <w:t>ГК</w:t>
      </w:r>
      <w:r w:rsidR="009F6303" w:rsidRPr="00E24B1E">
        <w:rPr>
          <w:sz w:val="28"/>
          <w:szCs w:val="28"/>
          <w:lang w:val="ru-RU"/>
        </w:rPr>
        <w:t xml:space="preserve"> </w:t>
      </w:r>
      <w:r w:rsidR="009F6303" w:rsidRPr="00E24B1E">
        <w:rPr>
          <w:caps/>
          <w:sz w:val="28"/>
          <w:szCs w:val="28"/>
          <w:lang w:val="ru-RU"/>
        </w:rPr>
        <w:t>рф.</w:t>
      </w:r>
      <w:r w:rsidR="009F6303" w:rsidRPr="00E24B1E">
        <w:rPr>
          <w:sz w:val="28"/>
          <w:szCs w:val="28"/>
          <w:lang w:val="ru-RU"/>
        </w:rPr>
        <w:t xml:space="preserve"> Согласно ст. 185 </w:t>
      </w:r>
      <w:r w:rsidRPr="00E24B1E">
        <w:rPr>
          <w:sz w:val="28"/>
          <w:szCs w:val="28"/>
          <w:lang w:val="ru-RU"/>
        </w:rPr>
        <w:t>ГК</w:t>
      </w:r>
      <w:r w:rsidR="009F6303" w:rsidRPr="00E24B1E">
        <w:rPr>
          <w:sz w:val="28"/>
          <w:szCs w:val="28"/>
          <w:lang w:val="ru-RU"/>
        </w:rPr>
        <w:t xml:space="preserve"> </w:t>
      </w:r>
      <w:r w:rsidRPr="00E24B1E">
        <w:rPr>
          <w:sz w:val="28"/>
          <w:szCs w:val="28"/>
          <w:lang w:val="ru-RU"/>
        </w:rPr>
        <w:t>РФ</w:t>
      </w:r>
      <w:r w:rsidR="009F6303" w:rsidRPr="00E24B1E">
        <w:rPr>
          <w:sz w:val="28"/>
          <w:szCs w:val="28"/>
          <w:lang w:val="ru-RU"/>
        </w:rPr>
        <w:t xml:space="preserve"> доверенностью признается письменное уполномочие, выдаваемое одним лицом другому лицу для представительства перед третьими лицами. Письменное уполномочие на совершение сделки представителем может быть представлено представляемым непосредственно соответствующему третьему лицу. В соответствии со ст. 506 </w:t>
      </w:r>
      <w:r w:rsidRPr="00E24B1E">
        <w:rPr>
          <w:sz w:val="28"/>
          <w:szCs w:val="28"/>
          <w:lang w:val="ru-RU"/>
        </w:rPr>
        <w:t>ГК</w:t>
      </w:r>
      <w:r w:rsidR="009F6303" w:rsidRPr="00E24B1E">
        <w:rPr>
          <w:sz w:val="28"/>
          <w:szCs w:val="28"/>
          <w:lang w:val="ru-RU"/>
        </w:rPr>
        <w:t xml:space="preserve"> </w:t>
      </w:r>
      <w:r w:rsidRPr="00E24B1E">
        <w:rPr>
          <w:sz w:val="28"/>
          <w:szCs w:val="28"/>
          <w:lang w:val="ru-RU"/>
        </w:rPr>
        <w:t>РФ</w:t>
      </w:r>
      <w:r w:rsidR="009F6303" w:rsidRPr="00E24B1E">
        <w:rPr>
          <w:sz w:val="28"/>
          <w:szCs w:val="28"/>
          <w:lang w:val="ru-RU"/>
        </w:rPr>
        <w:t xml:space="preserve"> по договору поставки поставщик-продавец, осуществляющий предпринимательскую деятельность, обязуется передать в обусловленный срок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использованием. Поставка товаров осуществляется поставщиком путем отгрузки (передачи) товаров покупателю, являющемуся стороной договора поставки, или лицу, указанному в договоре в качестве получателя (п.П. 1 и 2 ст. 509 </w:t>
      </w:r>
      <w:r w:rsidRPr="00E24B1E">
        <w:rPr>
          <w:sz w:val="28"/>
          <w:szCs w:val="28"/>
          <w:lang w:val="ru-RU"/>
        </w:rPr>
        <w:t>ГК</w:t>
      </w:r>
      <w:r w:rsidR="009F6303" w:rsidRPr="00E24B1E">
        <w:rPr>
          <w:sz w:val="28"/>
          <w:szCs w:val="28"/>
          <w:lang w:val="ru-RU"/>
        </w:rPr>
        <w:t xml:space="preserve"> </w:t>
      </w:r>
      <w:r w:rsidRPr="00E24B1E">
        <w:rPr>
          <w:sz w:val="28"/>
          <w:szCs w:val="28"/>
          <w:lang w:val="ru-RU"/>
        </w:rPr>
        <w:t>РФ</w:t>
      </w:r>
      <w:r w:rsidR="009F6303" w:rsidRPr="00E24B1E">
        <w:rPr>
          <w:sz w:val="28"/>
          <w:szCs w:val="28"/>
          <w:lang w:val="ru-RU"/>
        </w:rPr>
        <w:t xml:space="preserve">). </w:t>
      </w:r>
    </w:p>
    <w:p w:rsidR="009F6303" w:rsidRPr="00E24B1E" w:rsidRDefault="009F6303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Лицо, совершающее сделку от имени другого лица, должно обладать на это соответствующими полномочиями (ст. 182 ГК РФ). При отсутствии таких полномочий сделка считается заключенной от имени и в интересах совершившего ее лица, если только другое лицо (представляемый) впоследствии прямо не одобрит эту сделку.</w:t>
      </w:r>
    </w:p>
    <w:p w:rsidR="009F6303" w:rsidRPr="00E24B1E" w:rsidRDefault="009F6303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Порядок оформления и выдачи доверенностей на получение товарно-материальных ценностей и порядок отпуска ценностей по доверенности регламентируются действующей до сих пор Инструкцией Минфина СССР от 14.01.1967 N 17</w:t>
      </w:r>
      <w:r w:rsidR="004A3CEA" w:rsidRPr="00E24B1E">
        <w:rPr>
          <w:sz w:val="28"/>
          <w:szCs w:val="28"/>
          <w:lang w:val="ru-RU"/>
        </w:rPr>
        <w:t>.</w:t>
      </w:r>
    </w:p>
    <w:p w:rsidR="009F6303" w:rsidRPr="00E24B1E" w:rsidRDefault="009F6303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Доверенность должна быть подписана руководителем юридического лица или другим лицом, уполномоченным на это учредительными документами, и скреплена печатью организации. Доверенность должна быть полностью заполнена и иметь образец подписи лица, на имя которого выписана.</w:t>
      </w:r>
    </w:p>
    <w:p w:rsidR="009F6303" w:rsidRPr="00E24B1E" w:rsidRDefault="00EE25A3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 сожалению, доверенности на получение продукции у продавца, кот</w:t>
      </w:r>
      <w:r w:rsidR="00B65724" w:rsidRPr="00E24B1E">
        <w:rPr>
          <w:sz w:val="28"/>
          <w:szCs w:val="28"/>
          <w:lang w:val="ru-RU"/>
        </w:rPr>
        <w:t>орые выписывал проректор университета по административно – хозяйственной части</w:t>
      </w:r>
      <w:r w:rsidRPr="00E24B1E">
        <w:rPr>
          <w:sz w:val="28"/>
          <w:szCs w:val="28"/>
          <w:lang w:val="ru-RU"/>
        </w:rPr>
        <w:t>, не являются и не могут являться документами, подтверждающими факт передачи. Доверенность представляет собой поручение одного лица другому выполнить какое-то действие, например, получить продукцию со склада поставщика. И только. Доверенность не подтверждает факта реал</w:t>
      </w:r>
      <w:r w:rsidR="00552E3B" w:rsidRPr="00E24B1E">
        <w:rPr>
          <w:sz w:val="28"/>
          <w:szCs w:val="28"/>
          <w:lang w:val="ru-RU"/>
        </w:rPr>
        <w:t>ьного получения такой продукции.</w:t>
      </w:r>
    </w:p>
    <w:p w:rsidR="009F6303" w:rsidRPr="00E24B1E" w:rsidRDefault="009F6303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С учетом вышесказанного судебно-арбитражная практика акцентирует внимание то</w:t>
      </w:r>
      <w:r w:rsidR="00B65724" w:rsidRPr="00E24B1E">
        <w:rPr>
          <w:sz w:val="28"/>
          <w:szCs w:val="28"/>
          <w:lang w:val="ru-RU"/>
        </w:rPr>
        <w:t>ргующих организаций на следующем моменте:</w:t>
      </w:r>
      <w:r w:rsidRPr="00E24B1E">
        <w:rPr>
          <w:sz w:val="28"/>
          <w:szCs w:val="28"/>
          <w:lang w:val="ru-RU"/>
        </w:rPr>
        <w:t xml:space="preserve"> </w:t>
      </w:r>
      <w:r w:rsidR="00270629" w:rsidRPr="00E24B1E">
        <w:rPr>
          <w:sz w:val="28"/>
          <w:szCs w:val="28"/>
          <w:lang w:val="ru-RU"/>
        </w:rPr>
        <w:t>д</w:t>
      </w:r>
      <w:r w:rsidRPr="00E24B1E">
        <w:rPr>
          <w:sz w:val="28"/>
          <w:szCs w:val="28"/>
          <w:lang w:val="ru-RU"/>
        </w:rPr>
        <w:t>оверенность, выданная покупателем на получение продукции от продавца, не является документом первичного бухгалтерского учета и не подтверждает передачу товара (Определение ВАС РФ от 21.12.2007 N 16524/07).</w:t>
      </w:r>
    </w:p>
    <w:p w:rsidR="00B95F79" w:rsidRPr="00E24B1E" w:rsidRDefault="00B95F79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91038F" w:rsidRPr="00E24B1E" w:rsidRDefault="0091038F" w:rsidP="003500F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4887584"/>
      <w:r w:rsidRPr="00E24B1E">
        <w:rPr>
          <w:rFonts w:ascii="Times New Roman" w:hAnsi="Times New Roman" w:cs="Times New Roman"/>
          <w:sz w:val="28"/>
          <w:szCs w:val="28"/>
        </w:rPr>
        <w:t>Задача 2</w:t>
      </w:r>
      <w:bookmarkEnd w:id="1"/>
    </w:p>
    <w:p w:rsidR="009665A1" w:rsidRPr="00E24B1E" w:rsidRDefault="009665A1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</w:p>
    <w:p w:rsidR="0091038F" w:rsidRPr="00E24B1E" w:rsidRDefault="0091038F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Кемеровский торговый дом закупил у Прокопьевской швейной фабрики «</w:t>
      </w:r>
      <w:r w:rsidR="00386AAA" w:rsidRPr="00E24B1E">
        <w:rPr>
          <w:sz w:val="28"/>
          <w:szCs w:val="28"/>
          <w:lang w:val="ru-RU"/>
        </w:rPr>
        <w:t>Горнячка»</w:t>
      </w:r>
      <w:r w:rsidRPr="00E24B1E">
        <w:rPr>
          <w:sz w:val="28"/>
          <w:szCs w:val="28"/>
          <w:lang w:val="ru-RU"/>
        </w:rPr>
        <w:t xml:space="preserve"> 1000 мужских плащей 48 размера, 1500 плащей 50 размера, 2000 плащей 52 размера и 2500 плащей 54 размера, а всего</w:t>
      </w:r>
      <w:r w:rsidR="004317FC" w:rsidRPr="00E24B1E">
        <w:rPr>
          <w:sz w:val="28"/>
          <w:szCs w:val="28"/>
          <w:lang w:val="ru-RU"/>
        </w:rPr>
        <w:t xml:space="preserve"> </w:t>
      </w:r>
      <w:r w:rsidRPr="00E24B1E">
        <w:rPr>
          <w:sz w:val="28"/>
          <w:szCs w:val="28"/>
          <w:lang w:val="ru-RU"/>
        </w:rPr>
        <w:t>7 тысяч плащей. Фирма «Горнячка» в условленный срок доставила заказанную партию плащей, однако при приемке их по количеству и качеству оказалось, что 3500 плащей оказались 48 размера и 3500 плащей 54 размера. Плащей же 50-52 размера не оказалось. Кемеровский торговый дом уведомил фирму «Горнячка» об отказе в приемке не заказанного количества плащей 48 и 54 размера, о допоставке предусмотренного договором количества плащей 50 и 52 размеров и о возмещении убытков, вызванных ненадлежащим исполнением договора. Фирма «Горнячка» отказалась выполнить требования контрагента, заявив, что</w:t>
      </w:r>
      <w:r w:rsidR="00386AAA" w:rsidRPr="00E24B1E">
        <w:rPr>
          <w:sz w:val="28"/>
          <w:szCs w:val="28"/>
          <w:lang w:val="ru-RU"/>
        </w:rPr>
        <w:t xml:space="preserve"> </w:t>
      </w:r>
      <w:r w:rsidRPr="00E24B1E">
        <w:rPr>
          <w:sz w:val="28"/>
          <w:szCs w:val="28"/>
          <w:lang w:val="ru-RU"/>
        </w:rPr>
        <w:t>общее количество плащей поставлен</w:t>
      </w:r>
      <w:r w:rsidR="00386AAA" w:rsidRPr="00E24B1E">
        <w:rPr>
          <w:sz w:val="28"/>
          <w:szCs w:val="28"/>
          <w:lang w:val="ru-RU"/>
        </w:rPr>
        <w:t>о</w:t>
      </w:r>
      <w:r w:rsidRPr="00E24B1E">
        <w:rPr>
          <w:sz w:val="28"/>
          <w:szCs w:val="28"/>
          <w:lang w:val="ru-RU"/>
        </w:rPr>
        <w:t xml:space="preserve"> в полном объеме, а размеры большого значения не имеют.</w:t>
      </w:r>
    </w:p>
    <w:p w:rsidR="0091038F" w:rsidRPr="00E24B1E" w:rsidRDefault="0091038F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Вопросы:</w:t>
      </w:r>
    </w:p>
    <w:p w:rsidR="0091038F" w:rsidRPr="00E24B1E" w:rsidRDefault="0091038F" w:rsidP="003500F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права ли фирма «Горнячка»?</w:t>
      </w:r>
    </w:p>
    <w:p w:rsidR="0091038F" w:rsidRPr="00E24B1E" w:rsidRDefault="0091038F" w:rsidP="003500F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какие требования коммерческое право предъявляет к ассортименту товара?</w:t>
      </w:r>
    </w:p>
    <w:p w:rsidR="0091038F" w:rsidRPr="00E24B1E" w:rsidRDefault="0091038F" w:rsidP="003500F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куда следует обратиться за разрешением спора Кемеровскому торговому дому?</w:t>
      </w:r>
    </w:p>
    <w:p w:rsidR="0091038F" w:rsidRPr="00E24B1E" w:rsidRDefault="00386AAA" w:rsidP="003500F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как следует решить спор?</w:t>
      </w:r>
    </w:p>
    <w:p w:rsidR="00386AAA" w:rsidRPr="00E24B1E" w:rsidRDefault="00386AAA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Решение: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В соответствии со статьей 506 ГК РФ определяющей Договор поставки: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«По договору поставки поставщик-продавец, осуществляющий предпринимательскую деятельность, обязуется передать в обусловленный срок или сроки, производимые или закупаемые им товары покупателю для использования в предпринимательской деятельности или в иных целях, не связанных с личным, семейным, домашним и иным подобным использованием».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Одна из особенностей договора поставки его длящийся характер, в процессе исполнения нередко происходят нарушения условий договора одной из сторон. Так, например, наиболее часто встречающееся нарушение, невыполнение поставщиком условий о количестве и сроках поставки товара. Статьей 511 ГК РФ предусмотрены последствия таких нарушений. В частности установлены последствия на случай просрочки поставки, недопоставки товара, а также нарушения отгрузочной разнарядки.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 xml:space="preserve">Статья 511 ГК РФ устанавливает сроки восполнения допоставки, а статья 512 ГК РФ устанавливает порядок восполнения недопоставки. Эта статья посвящена ассортименту товаров при восполнении недопоставки товаров. В случае, недопоставки товаров, ассортимент товаров подлежащих восполнению, устанавливается соглашением сторон, а также установлен в договоре. При отсутствии соглашения поставщик обязан восполнить недопоставленное количество товаров в ассортименте, установленном для того периода, </w:t>
      </w:r>
      <w:r w:rsidR="006F42BF" w:rsidRPr="00E24B1E">
        <w:rPr>
          <w:sz w:val="28"/>
          <w:szCs w:val="28"/>
          <w:lang w:val="ru-RU"/>
        </w:rPr>
        <w:t>в котором допущена недопоставка.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Не засчитывается в покрытие недопоставки товаров другого наименования входящих в тот же ассортимент, поставка товаров одного наименования в большем количестве, чем предусмотрено договором поставки, и подлежит восполнению, кроме случаев, когда такая поставка произведена с предварительного письменного согласия покупателя.</w:t>
      </w:r>
    </w:p>
    <w:p w:rsidR="006C4994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Если договором сторон не предусмотрен порядок и сроки восполнения недопоставленной в установленный договором срок продукции, то обязанность такого восполнения за пределами срока поставки у поставщика наступает только с согласия покупателя.</w:t>
      </w:r>
    </w:p>
    <w:p w:rsidR="009E57A3" w:rsidRPr="00E24B1E" w:rsidRDefault="006C4994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При этом покупатель должен представить требование о восполнении недопоставленной продукции. Если доказательств требования восполнения недопоставленной в срок продукции покупателем не представлено, то, следовательно, обязательств по восполнению недопоставленного истцу товара в сроки, установленные договором, у ответчика не возникло, а потому неустойка за недопоставку по истечении указанного срока не подлежит начислению (Постановление ФАС Дальневосточного округа от 18 октября 2005 года №Ф03-А51/05-1/2621).</w:t>
      </w:r>
    </w:p>
    <w:p w:rsidR="00197997" w:rsidRPr="00E24B1E" w:rsidRDefault="00197997" w:rsidP="003500F5">
      <w:pPr>
        <w:pStyle w:val="a3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E24B1E">
        <w:rPr>
          <w:sz w:val="28"/>
          <w:szCs w:val="28"/>
          <w:lang w:val="ru-RU"/>
        </w:rPr>
        <w:t>Так, в случае, если товары переданы в ассортименте, не соответствующем договору, или продавец просрочил поставку товаров, покупатель вправе отказаться от принятия таких товаров. Следовательно, право собственности на данные товары у покупателя не возникает, поскольку в соответствии со статьей 223 ГК РФ право собственности у приобретателя вещи по договору возникает с момента ее передачи. Таким образом, в случае отказа покупателя от принятия товара перехода права собственности на товар не происходит. Учитывая тот факт, что в соответствии со статьей 39 НК РФ реализацией товара признается передача права собственности на товары, будет отсутствовать и реализация.</w:t>
      </w:r>
    </w:p>
    <w:p w:rsidR="009E57A3" w:rsidRPr="00E24B1E" w:rsidRDefault="009E57A3" w:rsidP="003500F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Споры, которые могут возникнуть п</w:t>
      </w:r>
      <w:r w:rsidR="00270629" w:rsidRPr="00E24B1E">
        <w:rPr>
          <w:sz w:val="28"/>
          <w:szCs w:val="28"/>
          <w:lang w:eastAsia="en-US"/>
        </w:rPr>
        <w:t>ри исполнении условий</w:t>
      </w:r>
      <w:r w:rsidR="004317FC" w:rsidRPr="00E24B1E">
        <w:rPr>
          <w:sz w:val="28"/>
          <w:szCs w:val="28"/>
          <w:lang w:eastAsia="en-US"/>
        </w:rPr>
        <w:t xml:space="preserve"> </w:t>
      </w:r>
      <w:r w:rsidRPr="00E24B1E">
        <w:rPr>
          <w:sz w:val="28"/>
          <w:szCs w:val="28"/>
          <w:lang w:eastAsia="en-US"/>
        </w:rPr>
        <w:t>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:rsidR="009E57A3" w:rsidRPr="00E24B1E" w:rsidRDefault="009E57A3" w:rsidP="003500F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При недостижении взаимоприемлемого решения стороны вправе передать спорный вопрос на разрешение в судебном порядке в соответствии с действующими в Российской Федерации положениями о порядке разрешения споров между сторонами (юридическими лицами) - участниками коммерческих, финансовых и иных отношений делового оборота.</w:t>
      </w:r>
    </w:p>
    <w:p w:rsidR="009E57A3" w:rsidRPr="00E24B1E" w:rsidRDefault="009E57A3" w:rsidP="003500F5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По всем вопросам, не нашедшим своего решени</w:t>
      </w:r>
      <w:r w:rsidR="00270629" w:rsidRPr="00E24B1E">
        <w:rPr>
          <w:sz w:val="28"/>
          <w:szCs w:val="28"/>
          <w:lang w:eastAsia="en-US"/>
        </w:rPr>
        <w:t>я в тексте и условиях</w:t>
      </w:r>
      <w:r w:rsidR="004317FC" w:rsidRPr="00E24B1E">
        <w:rPr>
          <w:sz w:val="28"/>
          <w:szCs w:val="28"/>
          <w:lang w:eastAsia="en-US"/>
        </w:rPr>
        <w:t xml:space="preserve"> </w:t>
      </w:r>
      <w:r w:rsidRPr="00E24B1E">
        <w:rPr>
          <w:sz w:val="28"/>
          <w:szCs w:val="28"/>
          <w:lang w:eastAsia="en-US"/>
        </w:rPr>
        <w:t>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C62B01" w:rsidRPr="00E24B1E" w:rsidRDefault="009665A1" w:rsidP="003500F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Toc244887585"/>
      <w:r w:rsidRPr="00E24B1E">
        <w:rPr>
          <w:rFonts w:ascii="Times New Roman" w:hAnsi="Times New Roman" w:cs="Times New Roman"/>
          <w:b w:val="0"/>
          <w:bCs w:val="0"/>
          <w:kern w:val="0"/>
          <w:sz w:val="28"/>
          <w:szCs w:val="28"/>
          <w:lang w:eastAsia="en-US"/>
        </w:rPr>
        <w:br w:type="page"/>
      </w:r>
      <w:r w:rsidR="00C62B01" w:rsidRPr="00E24B1E">
        <w:rPr>
          <w:rFonts w:ascii="Times New Roman" w:hAnsi="Times New Roman" w:cs="Times New Roman"/>
          <w:sz w:val="28"/>
          <w:szCs w:val="28"/>
          <w:lang w:eastAsia="en-US"/>
        </w:rPr>
        <w:t>Список литературы</w:t>
      </w:r>
      <w:bookmarkEnd w:id="2"/>
    </w:p>
    <w:p w:rsidR="009665A1" w:rsidRPr="00E24B1E" w:rsidRDefault="009665A1" w:rsidP="009665A1">
      <w:pPr>
        <w:spacing w:line="360" w:lineRule="auto"/>
        <w:jc w:val="both"/>
        <w:rPr>
          <w:sz w:val="28"/>
          <w:szCs w:val="28"/>
          <w:lang w:eastAsia="en-US"/>
        </w:rPr>
      </w:pPr>
    </w:p>
    <w:p w:rsidR="00C62B01" w:rsidRPr="00E24B1E" w:rsidRDefault="00C62B0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Обязательства, возникающие из договора поставки (В.</w:t>
      </w:r>
      <w:r w:rsidR="009665A1" w:rsidRPr="00E24B1E">
        <w:rPr>
          <w:sz w:val="28"/>
          <w:szCs w:val="28"/>
          <w:lang w:eastAsia="en-US"/>
        </w:rPr>
        <w:t xml:space="preserve"> </w:t>
      </w:r>
      <w:r w:rsidRPr="00E24B1E">
        <w:rPr>
          <w:sz w:val="28"/>
          <w:szCs w:val="28"/>
          <w:lang w:eastAsia="en-US"/>
        </w:rPr>
        <w:t>Трапезников, "Российская юстиция", N 4, апрель 2000)</w:t>
      </w:r>
      <w:r w:rsidR="009665A1" w:rsidRPr="00E24B1E">
        <w:rPr>
          <w:sz w:val="28"/>
          <w:szCs w:val="28"/>
          <w:lang w:eastAsia="en-US"/>
        </w:rPr>
        <w:t>.</w:t>
      </w:r>
    </w:p>
    <w:p w:rsidR="00C62B01" w:rsidRPr="00E24B1E" w:rsidRDefault="009665A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Белоусов И. “</w:t>
      </w:r>
      <w:r w:rsidR="00C62B01" w:rsidRPr="00E24B1E">
        <w:rPr>
          <w:sz w:val="28"/>
          <w:szCs w:val="28"/>
          <w:lang w:eastAsia="en-US"/>
        </w:rPr>
        <w:t>К вопросу о правовом регулировании отношений по договору по</w:t>
      </w:r>
      <w:r w:rsidR="00CC48A2" w:rsidRPr="00E24B1E">
        <w:rPr>
          <w:sz w:val="28"/>
          <w:szCs w:val="28"/>
          <w:lang w:eastAsia="en-US"/>
        </w:rPr>
        <w:t>ставки” (Хозяйство и право , 200</w:t>
      </w:r>
      <w:r w:rsidR="00C62B01" w:rsidRPr="00E24B1E">
        <w:rPr>
          <w:sz w:val="28"/>
          <w:szCs w:val="28"/>
          <w:lang w:eastAsia="en-US"/>
        </w:rPr>
        <w:t>5 , № 3)</w:t>
      </w:r>
      <w:r w:rsidRPr="00E24B1E">
        <w:rPr>
          <w:sz w:val="28"/>
          <w:szCs w:val="28"/>
          <w:lang w:eastAsia="en-US"/>
        </w:rPr>
        <w:t>.</w:t>
      </w:r>
    </w:p>
    <w:p w:rsidR="00C62B01" w:rsidRPr="00E24B1E" w:rsidRDefault="00C62B0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"Срок как существенное условие договоров купли-продажи и поставки" (Зави</w:t>
      </w:r>
      <w:r w:rsidR="00CC48A2" w:rsidRPr="00E24B1E">
        <w:rPr>
          <w:sz w:val="28"/>
          <w:szCs w:val="28"/>
          <w:lang w:eastAsia="en-US"/>
        </w:rPr>
        <w:t>дов Б., "Хозяйство и право", 200</w:t>
      </w:r>
      <w:r w:rsidRPr="00E24B1E">
        <w:rPr>
          <w:sz w:val="28"/>
          <w:szCs w:val="28"/>
          <w:lang w:eastAsia="en-US"/>
        </w:rPr>
        <w:t>7, № 7)</w:t>
      </w:r>
      <w:r w:rsidR="009665A1" w:rsidRPr="00E24B1E">
        <w:rPr>
          <w:sz w:val="28"/>
          <w:szCs w:val="28"/>
          <w:lang w:eastAsia="en-US"/>
        </w:rPr>
        <w:t>.</w:t>
      </w:r>
    </w:p>
    <w:p w:rsidR="00C62B01" w:rsidRPr="00E24B1E" w:rsidRDefault="00C62B0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 xml:space="preserve">Вахнин И. </w:t>
      </w:r>
      <w:r w:rsidR="009665A1" w:rsidRPr="00E24B1E">
        <w:rPr>
          <w:sz w:val="28"/>
          <w:szCs w:val="28"/>
          <w:lang w:eastAsia="en-US"/>
        </w:rPr>
        <w:t>«</w:t>
      </w:r>
      <w:r w:rsidRPr="00E24B1E">
        <w:rPr>
          <w:sz w:val="28"/>
          <w:szCs w:val="28"/>
          <w:lang w:eastAsia="en-US"/>
        </w:rPr>
        <w:t>Выбор формы расчетов</w:t>
      </w:r>
      <w:r w:rsidR="009665A1" w:rsidRPr="00E24B1E">
        <w:rPr>
          <w:sz w:val="28"/>
          <w:szCs w:val="28"/>
          <w:lang w:eastAsia="en-US"/>
        </w:rPr>
        <w:t xml:space="preserve"> в условиях договора поставки».</w:t>
      </w:r>
    </w:p>
    <w:p w:rsidR="00C62B01" w:rsidRPr="00E24B1E" w:rsidRDefault="00C62B0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Гончарова Н. “Новое гражданское законодательство: договор поставки и ответств</w:t>
      </w:r>
      <w:r w:rsidR="00CC48A2" w:rsidRPr="00E24B1E">
        <w:rPr>
          <w:sz w:val="28"/>
          <w:szCs w:val="28"/>
          <w:lang w:eastAsia="en-US"/>
        </w:rPr>
        <w:t>енность” (Хозяйство и право, 200</w:t>
      </w:r>
      <w:r w:rsidRPr="00E24B1E">
        <w:rPr>
          <w:sz w:val="28"/>
          <w:szCs w:val="28"/>
          <w:lang w:eastAsia="en-US"/>
        </w:rPr>
        <w:t>6 № 7)</w:t>
      </w:r>
      <w:r w:rsidR="009665A1" w:rsidRPr="00E24B1E">
        <w:rPr>
          <w:sz w:val="28"/>
          <w:szCs w:val="28"/>
          <w:lang w:eastAsia="en-US"/>
        </w:rPr>
        <w:t>.</w:t>
      </w:r>
    </w:p>
    <w:p w:rsidR="00C62B01" w:rsidRPr="00E24B1E" w:rsidRDefault="00C62B01" w:rsidP="009665A1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E24B1E">
        <w:rPr>
          <w:sz w:val="28"/>
          <w:szCs w:val="28"/>
          <w:lang w:eastAsia="en-US"/>
        </w:rPr>
        <w:t>Панкратов Ф.Г. Коммерческая деятельность. М.: ИВЦ "Маркетинг", 1996.</w:t>
      </w:r>
      <w:bookmarkStart w:id="3" w:name="_GoBack"/>
      <w:bookmarkEnd w:id="3"/>
    </w:p>
    <w:sectPr w:rsidR="00C62B01" w:rsidRPr="00E24B1E" w:rsidSect="006073C1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A9" w:rsidRDefault="00EC15A9">
      <w:r>
        <w:separator/>
      </w:r>
    </w:p>
  </w:endnote>
  <w:endnote w:type="continuationSeparator" w:id="0">
    <w:p w:rsidR="00EC15A9" w:rsidRDefault="00EC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A9" w:rsidRDefault="00EC15A9">
      <w:r>
        <w:separator/>
      </w:r>
    </w:p>
  </w:footnote>
  <w:footnote w:type="continuationSeparator" w:id="0">
    <w:p w:rsidR="00EC15A9" w:rsidRDefault="00EC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A63A4"/>
    <w:multiLevelType w:val="hybridMultilevel"/>
    <w:tmpl w:val="AD0897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7AD78CB"/>
    <w:multiLevelType w:val="hybridMultilevel"/>
    <w:tmpl w:val="2B1C5E7C"/>
    <w:lvl w:ilvl="0" w:tplc="6E623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A966A5"/>
    <w:multiLevelType w:val="hybridMultilevel"/>
    <w:tmpl w:val="494A17F8"/>
    <w:lvl w:ilvl="0" w:tplc="5B842C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00E88"/>
    <w:multiLevelType w:val="hybridMultilevel"/>
    <w:tmpl w:val="170C8F10"/>
    <w:lvl w:ilvl="0" w:tplc="5B842C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2F83221"/>
    <w:multiLevelType w:val="hybridMultilevel"/>
    <w:tmpl w:val="5BC89508"/>
    <w:lvl w:ilvl="0" w:tplc="E4A05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A639A0"/>
    <w:multiLevelType w:val="hybridMultilevel"/>
    <w:tmpl w:val="434C2048"/>
    <w:lvl w:ilvl="0" w:tplc="42A4EB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DFD2421"/>
    <w:multiLevelType w:val="hybridMultilevel"/>
    <w:tmpl w:val="33361A2A"/>
    <w:lvl w:ilvl="0" w:tplc="ADE82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D70"/>
    <w:rsid w:val="000823CA"/>
    <w:rsid w:val="00107FBD"/>
    <w:rsid w:val="00197997"/>
    <w:rsid w:val="001A2A7B"/>
    <w:rsid w:val="001A6268"/>
    <w:rsid w:val="002336F8"/>
    <w:rsid w:val="00270629"/>
    <w:rsid w:val="002951E6"/>
    <w:rsid w:val="003500F5"/>
    <w:rsid w:val="00386AAA"/>
    <w:rsid w:val="004317FC"/>
    <w:rsid w:val="004A3CEA"/>
    <w:rsid w:val="00552E3B"/>
    <w:rsid w:val="006073C1"/>
    <w:rsid w:val="006A229D"/>
    <w:rsid w:val="006C4994"/>
    <w:rsid w:val="006F42BF"/>
    <w:rsid w:val="007C1AF8"/>
    <w:rsid w:val="008D722C"/>
    <w:rsid w:val="0091038F"/>
    <w:rsid w:val="00912BFD"/>
    <w:rsid w:val="009665A1"/>
    <w:rsid w:val="009E57A3"/>
    <w:rsid w:val="009F6303"/>
    <w:rsid w:val="00B040F8"/>
    <w:rsid w:val="00B65724"/>
    <w:rsid w:val="00B7154A"/>
    <w:rsid w:val="00B90EDB"/>
    <w:rsid w:val="00B95F79"/>
    <w:rsid w:val="00C62B01"/>
    <w:rsid w:val="00C75D70"/>
    <w:rsid w:val="00CC48A2"/>
    <w:rsid w:val="00D44075"/>
    <w:rsid w:val="00D8432B"/>
    <w:rsid w:val="00E24B1E"/>
    <w:rsid w:val="00EC15A9"/>
    <w:rsid w:val="00EC4B33"/>
    <w:rsid w:val="00EE22F6"/>
    <w:rsid w:val="00EE25A3"/>
    <w:rsid w:val="00F7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8D5C0E-F897-4602-BC13-BE5A40A5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06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C75D70"/>
    <w:pPr>
      <w:ind w:left="720"/>
    </w:pPr>
    <w:rPr>
      <w:lang w:val="en-US" w:eastAsia="en-US"/>
    </w:rPr>
  </w:style>
  <w:style w:type="paragraph" w:styleId="a4">
    <w:name w:val="footer"/>
    <w:basedOn w:val="a"/>
    <w:link w:val="a5"/>
    <w:uiPriority w:val="99"/>
    <w:rsid w:val="002706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70629"/>
  </w:style>
  <w:style w:type="paragraph" w:styleId="11">
    <w:name w:val="toc 1"/>
    <w:basedOn w:val="a"/>
    <w:next w:val="a"/>
    <w:autoRedefine/>
    <w:uiPriority w:val="99"/>
    <w:semiHidden/>
    <w:rsid w:val="00270629"/>
  </w:style>
  <w:style w:type="paragraph" w:styleId="a7">
    <w:name w:val="header"/>
    <w:basedOn w:val="a"/>
    <w:link w:val="a8"/>
    <w:uiPriority w:val="99"/>
    <w:rsid w:val="00431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2014-03-06T02:51:00Z</dcterms:created>
  <dcterms:modified xsi:type="dcterms:W3CDTF">2014-03-06T02:51:00Z</dcterms:modified>
</cp:coreProperties>
</file>