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C7" w:rsidRPr="00E13F30" w:rsidRDefault="00CF30C7" w:rsidP="00E13F30">
      <w:pPr>
        <w:pStyle w:val="a8"/>
        <w:widowControl w:val="0"/>
        <w:spacing w:line="360" w:lineRule="auto"/>
        <w:ind w:firstLine="709"/>
        <w:rPr>
          <w:sz w:val="28"/>
        </w:rPr>
      </w:pPr>
      <w:r w:rsidRPr="00E13F30">
        <w:rPr>
          <w:sz w:val="28"/>
        </w:rPr>
        <w:t>Федеральное агентство по образованию</w:t>
      </w:r>
    </w:p>
    <w:p w:rsidR="00CF30C7" w:rsidRPr="00E13F30" w:rsidRDefault="00CF30C7" w:rsidP="00E13F30">
      <w:pPr>
        <w:pStyle w:val="a8"/>
        <w:widowControl w:val="0"/>
        <w:spacing w:line="360" w:lineRule="auto"/>
        <w:ind w:firstLine="709"/>
        <w:rPr>
          <w:sz w:val="28"/>
        </w:rPr>
      </w:pPr>
      <w:r w:rsidRPr="00E13F30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CF30C7" w:rsidRPr="00E13F30" w:rsidRDefault="00CF30C7" w:rsidP="00E13F30">
      <w:pPr>
        <w:pStyle w:val="a8"/>
        <w:widowControl w:val="0"/>
        <w:spacing w:line="360" w:lineRule="auto"/>
        <w:ind w:firstLine="709"/>
        <w:contextualSpacing/>
        <w:rPr>
          <w:sz w:val="28"/>
        </w:rPr>
      </w:pPr>
      <w:r w:rsidRPr="00E13F30">
        <w:rPr>
          <w:sz w:val="28"/>
        </w:rPr>
        <w:t>АМУРСКИЙ ГОСУДАРСТВЕННЫЙ УНИВЕРСИТЕТ</w:t>
      </w:r>
    </w:p>
    <w:p w:rsidR="00CF30C7" w:rsidRPr="00E13F30" w:rsidRDefault="00CF30C7" w:rsidP="00E13F30">
      <w:pPr>
        <w:pStyle w:val="a8"/>
        <w:widowControl w:val="0"/>
        <w:spacing w:line="360" w:lineRule="auto"/>
        <w:ind w:firstLine="709"/>
        <w:contextualSpacing/>
        <w:rPr>
          <w:sz w:val="28"/>
        </w:rPr>
      </w:pPr>
      <w:r w:rsidRPr="00E13F30">
        <w:rPr>
          <w:sz w:val="28"/>
        </w:rPr>
        <w:t>(ГОУВПО «АмГУ»)</w:t>
      </w:r>
    </w:p>
    <w:p w:rsidR="00CF30C7" w:rsidRPr="00E13F30" w:rsidRDefault="00CF30C7" w:rsidP="00E13F30">
      <w:pPr>
        <w:pStyle w:val="1"/>
        <w:widowControl w:val="0"/>
        <w:spacing w:before="0" w:after="0" w:line="360" w:lineRule="auto"/>
        <w:ind w:firstLine="709"/>
        <w:contextualSpacing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E13F30">
        <w:rPr>
          <w:rFonts w:ascii="Times New Roman" w:hAnsi="Times New Roman"/>
          <w:b w:val="0"/>
          <w:color w:val="auto"/>
          <w:sz w:val="28"/>
          <w:szCs w:val="28"/>
        </w:rPr>
        <w:t>Кафедра</w:t>
      </w:r>
      <w:r w:rsidR="00E13F3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13F30">
        <w:rPr>
          <w:rFonts w:ascii="Times New Roman" w:hAnsi="Times New Roman" w:cs="Times New Roman"/>
          <w:b w:val="0"/>
          <w:color w:val="auto"/>
          <w:sz w:val="28"/>
          <w:szCs w:val="28"/>
        </w:rPr>
        <w:t>ЭТиГУ</w:t>
      </w: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 w:rsidRPr="00E13F30">
        <w:rPr>
          <w:rFonts w:ascii="Times New Roman" w:hAnsi="Times New Roman"/>
          <w:sz w:val="28"/>
        </w:rPr>
        <w:t>КОНТРОЛЬНАЯ РАБОТА</w:t>
      </w: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E13F30" w:rsidP="00E13F3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CF30C7" w:rsidRPr="00E13F30">
        <w:rPr>
          <w:rFonts w:ascii="Times New Roman" w:hAnsi="Times New Roman"/>
          <w:sz w:val="28"/>
        </w:rPr>
        <w:t>а тему: Экономические объекты государственной собственности</w:t>
      </w:r>
    </w:p>
    <w:p w:rsidR="00E13F30" w:rsidRDefault="00E13F30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E13F30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CF30C7" w:rsidRPr="00E13F30">
        <w:rPr>
          <w:rFonts w:ascii="Times New Roman" w:hAnsi="Times New Roman"/>
          <w:sz w:val="28"/>
        </w:rPr>
        <w:t>о дисциплине Управление государственной собственностью</w:t>
      </w: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F30C7" w:rsidRPr="00E13F30" w:rsidRDefault="00CF30C7" w:rsidP="00E13F3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 w:rsidRPr="00E13F30">
        <w:rPr>
          <w:rFonts w:ascii="Times New Roman" w:hAnsi="Times New Roman"/>
          <w:sz w:val="28"/>
        </w:rPr>
        <w:t>Благовещенск 2011</w:t>
      </w:r>
      <w:r w:rsidR="00E13F30">
        <w:rPr>
          <w:rFonts w:ascii="Times New Roman" w:hAnsi="Times New Roman"/>
          <w:sz w:val="28"/>
        </w:rPr>
        <w:t>г.</w:t>
      </w:r>
    </w:p>
    <w:p w:rsidR="00CF30C7" w:rsidRPr="00E13F30" w:rsidRDefault="00E13F30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CF30C7" w:rsidRPr="00E13F30">
        <w:rPr>
          <w:rFonts w:ascii="Times New Roman" w:hAnsi="Times New Roman"/>
          <w:bCs/>
          <w:sz w:val="28"/>
          <w:szCs w:val="28"/>
        </w:rPr>
        <w:t>СОДЕРЖАНИЕ</w:t>
      </w:r>
    </w:p>
    <w:p w:rsidR="00CF30C7" w:rsidRPr="00E13F30" w:rsidRDefault="00CF30C7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4F99" w:rsidRPr="00E13F30" w:rsidRDefault="00244F99" w:rsidP="00E13F30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F30">
        <w:rPr>
          <w:rFonts w:ascii="Times New Roman" w:hAnsi="Times New Roman"/>
          <w:bCs/>
          <w:sz w:val="28"/>
          <w:szCs w:val="28"/>
        </w:rPr>
        <w:t>Введение</w:t>
      </w:r>
    </w:p>
    <w:p w:rsidR="00CF30C7" w:rsidRPr="00E13F30" w:rsidRDefault="00CF30C7" w:rsidP="00E13F30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E13F30">
        <w:rPr>
          <w:rFonts w:ascii="Times New Roman" w:hAnsi="Times New Roman"/>
          <w:bCs/>
          <w:sz w:val="28"/>
          <w:szCs w:val="28"/>
        </w:rPr>
        <w:t xml:space="preserve">1 </w:t>
      </w:r>
      <w:r w:rsidRPr="00E13F30">
        <w:rPr>
          <w:rFonts w:ascii="Times New Roman" w:hAnsi="Times New Roman"/>
          <w:sz w:val="28"/>
        </w:rPr>
        <w:t>Экономические объекты государственной собственности</w:t>
      </w:r>
    </w:p>
    <w:p w:rsidR="00CF30C7" w:rsidRPr="00E13F30" w:rsidRDefault="002319DD" w:rsidP="00E13F30">
      <w:pPr>
        <w:pStyle w:val="a3"/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 xml:space="preserve">1.1 </w:t>
      </w:r>
      <w:r w:rsidR="00CF30C7" w:rsidRPr="00E13F30">
        <w:rPr>
          <w:rFonts w:ascii="Times New Roman" w:hAnsi="Times New Roman"/>
          <w:sz w:val="28"/>
          <w:szCs w:val="28"/>
        </w:rPr>
        <w:t>Недвижимость</w:t>
      </w:r>
    </w:p>
    <w:p w:rsidR="00244F99" w:rsidRPr="00E13F30" w:rsidRDefault="002319DD" w:rsidP="00E13F30">
      <w:pPr>
        <w:pStyle w:val="a3"/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 xml:space="preserve">1.1.1 </w:t>
      </w:r>
      <w:r w:rsidR="00244F99" w:rsidRPr="00E13F30">
        <w:rPr>
          <w:rFonts w:ascii="Times New Roman" w:hAnsi="Times New Roman"/>
          <w:sz w:val="28"/>
          <w:szCs w:val="28"/>
        </w:rPr>
        <w:t>Понятие и состав недвижимости</w:t>
      </w:r>
    </w:p>
    <w:p w:rsidR="00665018" w:rsidRPr="00E13F30" w:rsidRDefault="002319DD" w:rsidP="00E13F30">
      <w:pPr>
        <w:pStyle w:val="a3"/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 xml:space="preserve">1.1.2 </w:t>
      </w:r>
      <w:r w:rsidR="00665018" w:rsidRPr="00E13F30">
        <w:rPr>
          <w:rFonts w:ascii="Times New Roman" w:hAnsi="Times New Roman"/>
          <w:sz w:val="28"/>
          <w:szCs w:val="28"/>
        </w:rPr>
        <w:t>Структура недвижимости</w:t>
      </w:r>
    </w:p>
    <w:p w:rsidR="00665018" w:rsidRPr="00E13F30" w:rsidRDefault="002319DD" w:rsidP="00E13F3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 xml:space="preserve">1.1.3 </w:t>
      </w:r>
      <w:r w:rsidR="00665018" w:rsidRPr="00E13F30">
        <w:rPr>
          <w:rFonts w:ascii="Times New Roman" w:hAnsi="Times New Roman"/>
          <w:sz w:val="28"/>
          <w:szCs w:val="28"/>
        </w:rPr>
        <w:t xml:space="preserve">Специфика рынков недвижимости для государственного </w:t>
      </w:r>
      <w:r w:rsidR="00A94482"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65018" w:rsidRPr="00E13F30">
        <w:rPr>
          <w:rFonts w:ascii="Times New Roman" w:hAnsi="Times New Roman"/>
          <w:sz w:val="28"/>
          <w:szCs w:val="28"/>
        </w:rPr>
        <w:t>муниципального собственников</w:t>
      </w:r>
    </w:p>
    <w:p w:rsidR="00665018" w:rsidRPr="00E13F30" w:rsidRDefault="002319DD" w:rsidP="00E13F30">
      <w:pPr>
        <w:pStyle w:val="a3"/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 xml:space="preserve">1.1.4 </w:t>
      </w:r>
      <w:r w:rsidR="00665018" w:rsidRPr="00E13F30">
        <w:rPr>
          <w:rFonts w:ascii="Times New Roman" w:hAnsi="Times New Roman"/>
          <w:sz w:val="28"/>
          <w:szCs w:val="28"/>
        </w:rPr>
        <w:t>Жизненные циклы недвижимости</w:t>
      </w:r>
    </w:p>
    <w:p w:rsidR="00CF30C7" w:rsidRPr="00E13F30" w:rsidRDefault="002319DD" w:rsidP="00E13F30">
      <w:pPr>
        <w:pStyle w:val="a3"/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 xml:space="preserve">1.2 </w:t>
      </w:r>
      <w:r w:rsidR="00CF30C7" w:rsidRPr="00E13F30">
        <w:rPr>
          <w:rFonts w:ascii="Times New Roman" w:hAnsi="Times New Roman"/>
          <w:sz w:val="28"/>
          <w:szCs w:val="28"/>
        </w:rPr>
        <w:t>Имуществен</w:t>
      </w:r>
      <w:r w:rsidR="00244F99" w:rsidRPr="00E13F30">
        <w:rPr>
          <w:rFonts w:ascii="Times New Roman" w:hAnsi="Times New Roman"/>
          <w:sz w:val="28"/>
          <w:szCs w:val="28"/>
        </w:rPr>
        <w:t>ные комплексы (предприятия)</w:t>
      </w:r>
    </w:p>
    <w:p w:rsidR="00A94482" w:rsidRPr="00E13F30" w:rsidRDefault="002319DD" w:rsidP="00E13F30">
      <w:pPr>
        <w:pStyle w:val="a3"/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 xml:space="preserve">1.2.1 </w:t>
      </w:r>
      <w:r w:rsidR="00A94482" w:rsidRPr="00E13F30">
        <w:rPr>
          <w:rFonts w:ascii="Times New Roman" w:hAnsi="Times New Roman"/>
          <w:sz w:val="28"/>
          <w:szCs w:val="28"/>
        </w:rPr>
        <w:t>Акционерные общества</w:t>
      </w:r>
    </w:p>
    <w:p w:rsidR="00A94482" w:rsidRPr="00E13F30" w:rsidRDefault="002319DD" w:rsidP="00E13F30">
      <w:pPr>
        <w:pStyle w:val="a3"/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 xml:space="preserve">1.2.2 </w:t>
      </w:r>
      <w:r w:rsidR="00A94482" w:rsidRPr="00E13F30">
        <w:rPr>
          <w:rFonts w:ascii="Times New Roman" w:hAnsi="Times New Roman"/>
          <w:sz w:val="28"/>
          <w:szCs w:val="28"/>
        </w:rPr>
        <w:t>Государственное унитарное предприятие</w:t>
      </w:r>
    </w:p>
    <w:p w:rsidR="00A94482" w:rsidRPr="00E13F30" w:rsidRDefault="00A94482" w:rsidP="00E13F30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Заключение</w:t>
      </w:r>
    </w:p>
    <w:p w:rsidR="00A94482" w:rsidRPr="00E13F30" w:rsidRDefault="00A94482" w:rsidP="00E13F30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CF30C7" w:rsidRPr="00E13F30" w:rsidRDefault="00CF30C7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F99" w:rsidRPr="00E13F30" w:rsidRDefault="00E13F30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44F99" w:rsidRPr="00E13F30">
        <w:rPr>
          <w:rFonts w:ascii="Times New Roman" w:hAnsi="Times New Roman"/>
          <w:sz w:val="28"/>
          <w:szCs w:val="28"/>
        </w:rPr>
        <w:t>ВВЕДЕНИЕ</w:t>
      </w:r>
    </w:p>
    <w:p w:rsidR="00E60E57" w:rsidRPr="00E13F30" w:rsidRDefault="00E60E57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048" w:rsidRPr="00E13F30" w:rsidRDefault="00AE7048" w:rsidP="00E13F30">
      <w:pPr>
        <w:pStyle w:val="bodytxt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13F30">
        <w:rPr>
          <w:sz w:val="28"/>
          <w:szCs w:val="28"/>
        </w:rPr>
        <w:t xml:space="preserve">Любое общество располагает некоторой совокупностью материальных благ, которые в рамках отдельного государства формируют его национальное богатство. Потребление национального богатства, осуществляемое для удовлетворения потребностей и интересов субъектов общества (граждан и различных общественных институтов), реализуется путем его присвоения. Присвоение в своем историческом развитии проходит различные формы, приобретая наиболее развитую - форму собственности. </w:t>
      </w:r>
    </w:p>
    <w:p w:rsidR="00AE7048" w:rsidRPr="00E13F30" w:rsidRDefault="00AE7048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 xml:space="preserve">Процесс этого развития закрепляется в системе юридических норм, которые в настоящее время рассматривают право собственности в триединстве владения, распоряжения и пользования. </w:t>
      </w:r>
    </w:p>
    <w:p w:rsidR="00AE7048" w:rsidRPr="00E13F30" w:rsidRDefault="00AE7048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 xml:space="preserve">С этой точки зрения понятие собственности прежде всего является юридическим и характеризует определенный перечень прав по отношению к отдельным элементам национального богатства. Другими словами, собственность - это отношение между человеком и группой или сообществом субъектов с одной стороны, и любой субстанцией материального мира (объектом), с другой стороны, заключающееся в постоянном или временном, частичном или полном отчуждении, отсоединении, присвоении объекта собственности. Реализация права собственности предполагает выделение субъекта и объекта этого процесса. </w:t>
      </w:r>
    </w:p>
    <w:p w:rsidR="00AE7048" w:rsidRPr="00E13F30" w:rsidRDefault="00AE7048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 xml:space="preserve">Объектом собственности является организационно-обособленная часть национального богатства, юридически закрепленная за конкретным собственником или группой собственников. В роли объекта собственности могут выступать: отдельная вещь; совокупность имущества; имущественный комплекс; земельный, водный или лесной участок; месторождение полезных ископаемых; зона воздушного пространства; частотный диапазон; обособленная доля в общей собственности и т.д. </w:t>
      </w:r>
    </w:p>
    <w:p w:rsidR="000D024D" w:rsidRPr="00E13F30" w:rsidRDefault="000D024D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41C3" w:rsidRPr="00E13F30" w:rsidRDefault="00E13F30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041C3" w:rsidRPr="00E13F30">
        <w:rPr>
          <w:rFonts w:ascii="Times New Roman" w:hAnsi="Times New Roman"/>
          <w:sz w:val="28"/>
          <w:szCs w:val="28"/>
        </w:rPr>
        <w:t>1 ЭКОНОМИЧЕСКИЕ ОБЪЕКТЫ ГОСУДАРСТВЕННОЙ СОБСТВЕННОСТИ</w:t>
      </w:r>
    </w:p>
    <w:p w:rsidR="004041C3" w:rsidRPr="00E13F30" w:rsidRDefault="004041C3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1C3" w:rsidRPr="00E13F30" w:rsidRDefault="004041C3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1.1 Недвижимость</w:t>
      </w:r>
    </w:p>
    <w:p w:rsidR="00E13F30" w:rsidRDefault="00E13F30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FBE" w:rsidRPr="00E13F30" w:rsidRDefault="004041C3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1.1.1 Понятие и состав недвижимости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Одним из наиболее компактных определений недвижимости является следующее: недвижимость - это земля и все, что неразрывно связано с нею по своей сущности, естественной или созданной человеком. Последующие детализации и расширения этого определения позволяют раскрыть и уточнить такие важные аспекты, как пространственная привязка местоположения, функциональное назначение, правовая принадлежность, стоимостная оценка, строительное состояние и т.д.</w:t>
      </w:r>
    </w:p>
    <w:p w:rsidR="00F31FF5" w:rsidRPr="00E13F30" w:rsidRDefault="00A41FBE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Поскольку недвижимость является объектом права, полезно указать логическое место недвижимости в общем ряду таких объектов.</w:t>
      </w:r>
    </w:p>
    <w:p w:rsidR="008605B2" w:rsidRPr="00E13F30" w:rsidRDefault="008605B2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В ст.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128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Гражданского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кодекса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РФ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дается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характеристика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классификация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гражданского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права:</w:t>
      </w:r>
    </w:p>
    <w:p w:rsidR="008605B2" w:rsidRPr="00E13F30" w:rsidRDefault="008605B2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а)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важнейший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гражданского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делятся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свою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очередь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индивидуально-определенные,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имеющие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какие-то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особые,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только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присущие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признаки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(например,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картина,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здание,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расположенное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такому-то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адресу,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автомобиль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таким-то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номерным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знаком),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определяемые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родовыми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признаками,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определяемые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числом,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мерой,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весом.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виды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вещей: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изъятые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из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оборота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находящиеся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обороте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(ст.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129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ГК),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движимые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(ст.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130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ГК),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делимые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неделимые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(ст.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133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ГК),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сложные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простые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(ст.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134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ГК)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т.д.;</w:t>
      </w:r>
    </w:p>
    <w:p w:rsidR="008605B2" w:rsidRPr="00E13F30" w:rsidRDefault="008605B2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б)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деньги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разновидность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случайно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выделены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самостоятельный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гражданского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Деньги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имеют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разновидности: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валюта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Российской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Федерации,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иностранная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валюта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СКВ,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валюта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СНГ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т.д.</w:t>
      </w:r>
      <w:r w:rsidR="008A6A7B" w:rsidRPr="00E13F30">
        <w:rPr>
          <w:rFonts w:ascii="Times New Roman" w:hAnsi="Times New Roman"/>
          <w:sz w:val="28"/>
          <w:szCs w:val="28"/>
        </w:rPr>
        <w:t>;</w:t>
      </w:r>
    </w:p>
    <w:p w:rsidR="008605B2" w:rsidRPr="00E13F30" w:rsidRDefault="008605B2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в)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валютные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разновидностью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(ст.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141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ГК);</w:t>
      </w:r>
    </w:p>
    <w:p w:rsidR="008605B2" w:rsidRPr="00E13F30" w:rsidRDefault="008605B2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г)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бумаги.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характеризуются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128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разновидность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вещей.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документы,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удостоверяющие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(при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соблюдении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определенных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требований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реквизитам)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осуществление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передача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возможны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только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предъявлении.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Различают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облигации,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векселя,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чеки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бумаги;</w:t>
      </w:r>
    </w:p>
    <w:p w:rsidR="008605B2" w:rsidRPr="00E13F30" w:rsidRDefault="008605B2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д)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разновидность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вещей.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отличается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денег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бумаг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тем,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обладает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присущими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последним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специфическими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признаками.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Примерами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служить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(ст.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132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ГК),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животные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(ст.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137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ГК)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т.д.;</w:t>
      </w:r>
    </w:p>
    <w:p w:rsidR="008605B2" w:rsidRPr="00E13F30" w:rsidRDefault="008605B2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е)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принадлежат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гражданам,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ЮЛ.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Примером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могут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служить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субъекта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требовать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предоставления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пожизненного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содержания,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требования,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скажем,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учредителя,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кредитора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обязательстве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т.д.</w:t>
      </w:r>
    </w:p>
    <w:p w:rsidR="008605B2" w:rsidRPr="00E13F30" w:rsidRDefault="008605B2" w:rsidP="00E13F3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вещам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(недвижимое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недвижимость)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относятся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земельные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участки,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участки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недр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прочно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связано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землей,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перемещение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без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несоразмерного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ущерба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назначению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невозможно,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числе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здания,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сооружения,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незавершенного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строительства</w:t>
      </w:r>
      <w:r w:rsidR="009A345E" w:rsidRPr="00E13F30">
        <w:rPr>
          <w:rStyle w:val="ad"/>
          <w:rFonts w:ascii="Times New Roman" w:hAnsi="Times New Roman"/>
          <w:sz w:val="28"/>
          <w:szCs w:val="28"/>
        </w:rPr>
        <w:footnoteReference w:id="1"/>
      </w:r>
      <w:r w:rsidRPr="00E13F30">
        <w:rPr>
          <w:rFonts w:ascii="Times New Roman" w:hAnsi="Times New Roman"/>
          <w:sz w:val="28"/>
          <w:szCs w:val="28"/>
        </w:rPr>
        <w:t>.</w:t>
      </w:r>
      <w:r w:rsidR="00E13F30">
        <w:rPr>
          <w:rFonts w:ascii="Times New Roman" w:hAnsi="Times New Roman"/>
          <w:sz w:val="28"/>
          <w:szCs w:val="28"/>
        </w:rPr>
        <w:t xml:space="preserve"> </w:t>
      </w:r>
    </w:p>
    <w:p w:rsidR="008605B2" w:rsidRPr="00E13F30" w:rsidRDefault="008605B2" w:rsidP="00E13F3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sub_13012"/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вещам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относятся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подлежащие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регистрации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воздушные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морские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суда,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внутреннего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плавания,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космические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объекты.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Законом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вещам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отнесено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имущество.</w:t>
      </w:r>
    </w:p>
    <w:p w:rsidR="008605B2" w:rsidRPr="00E13F30" w:rsidRDefault="008605B2" w:rsidP="00E13F3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3001"/>
      <w:bookmarkEnd w:id="0"/>
      <w:r w:rsidRPr="00E13F30">
        <w:rPr>
          <w:rFonts w:ascii="Times New Roman" w:hAnsi="Times New Roman"/>
          <w:sz w:val="28"/>
          <w:szCs w:val="28"/>
        </w:rPr>
        <w:t>Вещи,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относящиеся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включая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деньги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бумаги,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признаются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движимым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имуществом.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Регистрация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движимые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требуется,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кроме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случаев,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указанных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законе.</w:t>
      </w:r>
    </w:p>
    <w:bookmarkEnd w:id="1"/>
    <w:p w:rsidR="00A41FBE" w:rsidRPr="00E13F30" w:rsidRDefault="00A41FBE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Особое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место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ряду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занимают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трактуются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сложные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некоторые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комплексы</w:t>
      </w:r>
      <w:r w:rsidR="009A345E" w:rsidRPr="00E13F30">
        <w:rPr>
          <w:rStyle w:val="ad"/>
          <w:rFonts w:ascii="Times New Roman" w:hAnsi="Times New Roman"/>
          <w:sz w:val="28"/>
          <w:szCs w:val="28"/>
        </w:rPr>
        <w:footnoteReference w:id="2"/>
      </w:r>
      <w:r w:rsidRPr="00E13F30">
        <w:rPr>
          <w:rFonts w:ascii="Times New Roman" w:hAnsi="Times New Roman"/>
          <w:sz w:val="28"/>
          <w:szCs w:val="28"/>
        </w:rPr>
        <w:t>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состав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включаются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виды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движимого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обеспечивающие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деятельность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данного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8605B2" w:rsidRPr="00E13F30">
        <w:rPr>
          <w:rFonts w:ascii="Times New Roman" w:hAnsi="Times New Roman"/>
          <w:sz w:val="28"/>
          <w:szCs w:val="28"/>
        </w:rPr>
        <w:t>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компонентам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относятся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земельные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участки,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здания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сооружения;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движимым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оборудование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инвентарь,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продукция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сырье,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требования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долги;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обозначения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(как,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например: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название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фирмы,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торговая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марка),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следует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трактовать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нематериальные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блага.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Понятие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сложных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весьма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конструктивно.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Именно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позволяет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объединять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неразрывно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связанные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нём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различные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типы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например: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движимые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компоненты,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нематериальные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активы.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Тогда,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наряду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выделенными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РФ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предприятиями,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подобной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правовой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схеме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привести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объекты: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•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памятники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истории,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культуры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архитектуры,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•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охранные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зоны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(природные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городские),</w:t>
      </w:r>
    </w:p>
    <w:p w:rsidR="00A41FBE" w:rsidRPr="00E13F30" w:rsidRDefault="00A41FBE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•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ландшафтные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т.п.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При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общей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приведенного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перечня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неразрывная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связь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компонентов,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из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составлены:</w:t>
      </w:r>
    </w:p>
    <w:p w:rsidR="00A41FBE" w:rsidRPr="00E13F30" w:rsidRDefault="00A41FBE" w:rsidP="00E13F3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отдельные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(земельные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лесные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участки,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здания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сооружения,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обособленные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водные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многолетние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насаждения),</w:t>
      </w:r>
    </w:p>
    <w:p w:rsidR="00A41FBE" w:rsidRPr="00E13F30" w:rsidRDefault="00A41FBE" w:rsidP="00E13F3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движимые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(как,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например,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выдающиеся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художественные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элементы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интерьера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парковых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ансамблей,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культурные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внутри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объектов-памятников,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исторические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предметы,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уникальные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библиотеки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коллекции).</w:t>
      </w:r>
    </w:p>
    <w:p w:rsidR="00A41FBE" w:rsidRPr="00E13F30" w:rsidRDefault="00A41FBE" w:rsidP="00E13F3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именные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знаки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принадлежности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(как,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например: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усадьба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«Архангельское»,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дом-музей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Л.Н.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Толстого,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Новодевичий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монастырь).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Конструктивной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представляется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идея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распространения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приведенного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определения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сложного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крупномасштабные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(городское)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Тогда,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например,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города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было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трактовать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следующую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совокупность: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•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множество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отдельных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городской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числе: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городские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земельные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участки,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участки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недр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числе,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подземными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инженерными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коммуникациями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подземными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сооружениями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типа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метро,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пешеходных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переходов,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подземных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хранилищ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т.д.),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здания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сооружения,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городские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леса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многолетние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насаждения,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обособленные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водные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поверхностные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водные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являющиеся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объектами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составляющие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городом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единое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целое);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•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множество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отдельных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городских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сложных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комплексов,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таких,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как: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имущественные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различного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организаций,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имущественные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ландшафтных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культурно-исторических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охранных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зон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памятников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рамках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установленных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границ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города);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•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множество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движимых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нематериальных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активов,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числе:</w:t>
      </w:r>
    </w:p>
    <w:p w:rsidR="008605B2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движимые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составляющие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неотъемлемые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части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названных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выше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сложных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бумаги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др.,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уникальные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символы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обозначения: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исторические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названия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города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местностей,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торговые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марки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обозначения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отдельных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объектов,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включающих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символику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города.</w:t>
      </w:r>
    </w:p>
    <w:p w:rsidR="00E13F30" w:rsidRDefault="00E13F30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mallCaps/>
          <w:sz w:val="28"/>
          <w:szCs w:val="28"/>
        </w:rPr>
      </w:pPr>
    </w:p>
    <w:p w:rsidR="004041C3" w:rsidRPr="00E13F30" w:rsidRDefault="00E13F30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br w:type="page"/>
      </w:r>
      <w:r w:rsidR="004041C3" w:rsidRPr="00E13F30">
        <w:rPr>
          <w:rFonts w:ascii="Times New Roman" w:hAnsi="Times New Roman"/>
          <w:smallCaps/>
          <w:sz w:val="28"/>
          <w:szCs w:val="28"/>
        </w:rPr>
        <w:t>1.1.2</w:t>
      </w:r>
      <w:r>
        <w:rPr>
          <w:rFonts w:ascii="Times New Roman" w:hAnsi="Times New Roman"/>
          <w:smallCaps/>
          <w:sz w:val="28"/>
          <w:szCs w:val="28"/>
        </w:rPr>
        <w:t xml:space="preserve"> </w:t>
      </w:r>
      <w:r w:rsidR="004041C3" w:rsidRPr="00E13F30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4041C3" w:rsidRPr="00E13F30">
        <w:rPr>
          <w:rFonts w:ascii="Times New Roman" w:hAnsi="Times New Roman"/>
          <w:sz w:val="28"/>
          <w:szCs w:val="28"/>
        </w:rPr>
        <w:t>недвижимости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Напомним,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согласно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определениям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Гражданского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кодекса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Российской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Федерации,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понятие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включает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различной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отраслевой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принадлежности: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земельные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участки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участки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недр,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обособленные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водные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неразрывно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связано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землей: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здания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сооружения,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леса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многолетние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насаждения.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Подобная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многоотраслевая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множественность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порождает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самого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начала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разработок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систем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эффективного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необходимость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гибко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учитывать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традиционно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сложившиеся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безусловно,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весьма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обоснованные)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ведомственные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разделения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властных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структур,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имеющих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прямое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отношение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частности,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различные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региональные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комитеты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департаменты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лесному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хозяйству,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недрам,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земельным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вопросам,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охране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природы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памятников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т.д.</w:t>
      </w:r>
    </w:p>
    <w:p w:rsidR="00E13F30" w:rsidRDefault="00E13F30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mallCaps/>
          <w:sz w:val="28"/>
          <w:szCs w:val="28"/>
        </w:rPr>
      </w:pPr>
    </w:p>
    <w:p w:rsidR="00A41FBE" w:rsidRPr="00E13F30" w:rsidRDefault="004041C3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mallCaps/>
          <w:sz w:val="28"/>
          <w:szCs w:val="28"/>
        </w:rPr>
        <w:t>1.1.3</w:t>
      </w:r>
      <w:r w:rsidR="00E13F30">
        <w:rPr>
          <w:rFonts w:ascii="Times New Roman" w:hAnsi="Times New Roman"/>
          <w:smallCap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Специфика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рынков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собственников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результате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проводимых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реформ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отечественных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рынках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сложилась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весьма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специфическая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ситуация.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одной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стороны,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продолжая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(хотя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изменившимися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темпами)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процессы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приватизации,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еще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остаются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крупнейшими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собственниками,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занимая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особенно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влиятельные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позиции,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например,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первичных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рынках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жилья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нежилых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помещений.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закону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равноправными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участниками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рыночных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сделок,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особенно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заметно,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например,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вторичных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рынках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жилья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высококлассных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офисов.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стороны,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властные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структуры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устанавливают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основные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«правила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игры»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(инициируют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принимают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законодательные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нормативные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акты)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регулирования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рыночных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взаимодействий,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отношениями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целом.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результатам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регулирований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решаются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проблемы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эффективного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наполнения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центральных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местных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бюджетов.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счет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воздействия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отношения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регулируются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важнейшие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показатели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бюджетной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эффективности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целом.</w:t>
      </w:r>
    </w:p>
    <w:p w:rsidR="00E13F30" w:rsidRDefault="00E13F30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mallCaps/>
          <w:sz w:val="28"/>
          <w:szCs w:val="28"/>
        </w:rPr>
      </w:pPr>
    </w:p>
    <w:p w:rsidR="00A41FBE" w:rsidRPr="00E13F30" w:rsidRDefault="004041C3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mallCaps/>
          <w:sz w:val="28"/>
          <w:szCs w:val="28"/>
        </w:rPr>
        <w:t>1.1.4</w:t>
      </w:r>
      <w:r w:rsidR="00E13F30">
        <w:rPr>
          <w:rFonts w:ascii="Times New Roman" w:hAnsi="Times New Roman"/>
          <w:smallCap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Жизненные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циклы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</w:p>
    <w:p w:rsidR="00A41FBE" w:rsidRPr="00E13F30" w:rsidRDefault="00A41FBE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Жизненный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цикл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последовательно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распределенный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времени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многоэтапный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процесс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смены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состояний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формирования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окончания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(прекращения,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утраты,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расформирования,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уничтожения)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срока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жизни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данного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объекта.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При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примечательно,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последовательности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смен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состояний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затрагивают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вещные,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правовые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характеристики.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Поэтому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начальное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конечное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обрамление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жизненного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цикла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только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формирование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прекращение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правовое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оформление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явлений.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Так,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без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нормативного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юридического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оформления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вновь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созданный,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законченный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строительством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(здание,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сооружение,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выделенный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земельный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участок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т.д.)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состоится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момента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официальных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записей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—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регистрации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регистрации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него.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Точно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завершается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жизненный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цикл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—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регистрацией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прекращения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него.</w:t>
      </w:r>
    </w:p>
    <w:p w:rsidR="00E13F30" w:rsidRDefault="00E13F30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FBE" w:rsidRPr="00E13F30" w:rsidRDefault="004041C3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1.2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Имущественные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комплексы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(предприятия)</w:t>
      </w:r>
    </w:p>
    <w:p w:rsidR="00E13F30" w:rsidRDefault="00E13F30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FBE" w:rsidRPr="00E13F30" w:rsidRDefault="00C039CD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О</w:t>
      </w:r>
      <w:r w:rsidR="00A41FBE" w:rsidRPr="00E13F30">
        <w:rPr>
          <w:rFonts w:ascii="Times New Roman" w:hAnsi="Times New Roman"/>
          <w:sz w:val="28"/>
          <w:szCs w:val="28"/>
        </w:rPr>
        <w:t>сновные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виды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собственности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являются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объектом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разнообразного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государственного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регулирования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таковые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(например,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законодательства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землепользовании,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недрах,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недвижимости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т.д.).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Однако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конечно,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базисная,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фоновая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составляющая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отношений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Конкретная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экономическая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жизнь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протекает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где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действует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множество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субъектов.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называемые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единицы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(хозяйствующие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C039CD" w:rsidRPr="00E13F30">
        <w:rPr>
          <w:rFonts w:ascii="Times New Roman" w:hAnsi="Times New Roman"/>
          <w:sz w:val="28"/>
          <w:szCs w:val="28"/>
        </w:rPr>
        <w:t>субъекты)</w:t>
      </w:r>
      <w:r w:rsidRPr="00E13F30">
        <w:rPr>
          <w:rFonts w:ascii="Times New Roman" w:hAnsi="Times New Roman"/>
          <w:sz w:val="28"/>
          <w:szCs w:val="28"/>
        </w:rPr>
        <w:t>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Именно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вступая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отношения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здесь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лишь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первый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среди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равных),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представляют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агентов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экономической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деятельности,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охватывающей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все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виды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собственности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одновременно.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являются,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одной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стороны,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универсальными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имущественными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комплексами,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социальными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образованиями,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осуществляются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человеческой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жизнедеятельности,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клеточки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экономической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мере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социальной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жизни.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Поэтому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именно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выступают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первоочередным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после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природных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запасов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нашего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внимания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При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отраслевая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принадлежность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(промышленное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торговое,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поликлиника),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место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нахождения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Москве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Сахалине),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привычные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«разделители»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отходят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задний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план.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первое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место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выступают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состав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собственников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и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организационно-правовые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формы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предприятий.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Современным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гражданским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предусматривается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строго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определенный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ряд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организаций,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организационно-правовых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рамках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только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рамках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которых)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осуществлять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хозяйственную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деятельность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(табл.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086062" w:rsidRPr="00E13F30">
        <w:rPr>
          <w:rFonts w:ascii="Times New Roman" w:hAnsi="Times New Roman"/>
          <w:sz w:val="28"/>
          <w:szCs w:val="28"/>
        </w:rPr>
        <w:t>1</w:t>
      </w:r>
      <w:r w:rsidRPr="00E13F30">
        <w:rPr>
          <w:rFonts w:ascii="Times New Roman" w:hAnsi="Times New Roman"/>
          <w:sz w:val="28"/>
          <w:szCs w:val="28"/>
        </w:rPr>
        <w:t>)</w:t>
      </w:r>
      <w:r w:rsidR="00086B14" w:rsidRPr="00E13F30">
        <w:rPr>
          <w:rStyle w:val="ad"/>
          <w:rFonts w:ascii="Times New Roman" w:hAnsi="Times New Roman"/>
          <w:sz w:val="28"/>
          <w:szCs w:val="28"/>
        </w:rPr>
        <w:footnoteReference w:id="3"/>
      </w:r>
      <w:r w:rsidRPr="00E13F30">
        <w:rPr>
          <w:rFonts w:ascii="Times New Roman" w:hAnsi="Times New Roman"/>
          <w:sz w:val="28"/>
          <w:szCs w:val="28"/>
        </w:rPr>
        <w:t>.</w:t>
      </w:r>
    </w:p>
    <w:p w:rsidR="00E13F30" w:rsidRDefault="00E13F30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86062" w:rsidRPr="00E13F30" w:rsidRDefault="00086062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Таблица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Виды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организаций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РФ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1"/>
        <w:gridCol w:w="4325"/>
      </w:tblGrid>
      <w:tr w:rsidR="00A41FBE" w:rsidRPr="00E13F30" w:rsidTr="00E13F30">
        <w:trPr>
          <w:trHeight w:val="336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FBE" w:rsidRPr="00E13F30" w:rsidRDefault="00A41FBE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bCs/>
                <w:sz w:val="20"/>
                <w:szCs w:val="20"/>
              </w:rPr>
              <w:t>Коммерческие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FBE" w:rsidRPr="00E13F30" w:rsidRDefault="00A41FBE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Некоммерческие</w:t>
            </w:r>
          </w:p>
        </w:tc>
      </w:tr>
      <w:tr w:rsidR="00A41FBE" w:rsidRPr="00E13F30" w:rsidTr="00E13F30">
        <w:trPr>
          <w:trHeight w:val="1085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FBE" w:rsidRPr="00E13F30" w:rsidRDefault="00086062" w:rsidP="00E13F30">
            <w:pPr>
              <w:widowControl w:val="0"/>
              <w:shd w:val="clear" w:color="auto" w:fill="FFFFFF"/>
              <w:tabs>
                <w:tab w:val="left" w:pos="444"/>
                <w:tab w:val="left" w:pos="586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•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хозяйственные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товарищества</w:t>
            </w:r>
          </w:p>
          <w:p w:rsidR="00A41FBE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•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хозяйственные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общества</w:t>
            </w:r>
          </w:p>
          <w:p w:rsidR="00A41FBE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•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производственные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кооперативы,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государственные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и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унитарные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предприятия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FBE" w:rsidRPr="00E13F30" w:rsidRDefault="00A41FBE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•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потребительские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кооперативы</w:t>
            </w:r>
          </w:p>
          <w:p w:rsidR="00A41FBE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•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общественные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и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религиозные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FBE" w:rsidRPr="00E13F30">
              <w:rPr>
                <w:rFonts w:ascii="Times New Roman" w:hAnsi="Times New Roman"/>
                <w:sz w:val="20"/>
                <w:szCs w:val="20"/>
              </w:rPr>
              <w:t>(объединения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1FBE" w:rsidRPr="00E13F30" w:rsidRDefault="00A41FBE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•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благотворительные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(иные)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фонды</w:t>
            </w:r>
          </w:p>
          <w:p w:rsidR="00A41FBE" w:rsidRPr="00E13F30" w:rsidRDefault="00A41FBE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•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некоммерческие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партнерства</w:t>
            </w:r>
          </w:p>
          <w:p w:rsidR="00A41FBE" w:rsidRPr="00E13F30" w:rsidRDefault="00A41FBE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•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</w:tr>
    </w:tbl>
    <w:p w:rsidR="00E13F30" w:rsidRDefault="00E13F30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Сравнительные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характеристики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различных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организаций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приведены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табл.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086062" w:rsidRPr="00E13F30">
        <w:rPr>
          <w:rFonts w:ascii="Times New Roman" w:hAnsi="Times New Roman"/>
          <w:sz w:val="28"/>
          <w:szCs w:val="28"/>
        </w:rPr>
        <w:t>2</w:t>
      </w:r>
      <w:r w:rsidRPr="00E13F30">
        <w:rPr>
          <w:rFonts w:ascii="Times New Roman" w:hAnsi="Times New Roman"/>
          <w:sz w:val="28"/>
          <w:szCs w:val="28"/>
        </w:rPr>
        <w:t>.</w:t>
      </w:r>
    </w:p>
    <w:p w:rsidR="00E13F30" w:rsidRDefault="00E13F30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86062" w:rsidRPr="00E13F30" w:rsidRDefault="00086062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Таблица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общества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4"/>
        <w:gridCol w:w="1513"/>
        <w:gridCol w:w="1418"/>
        <w:gridCol w:w="1789"/>
      </w:tblGrid>
      <w:tr w:rsidR="00086062" w:rsidRPr="00E13F30" w:rsidTr="00BF0ABD">
        <w:trPr>
          <w:trHeight w:val="336"/>
          <w:jc w:val="center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BF0ABD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ООО/ОДО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bCs/>
                <w:sz w:val="20"/>
                <w:szCs w:val="20"/>
              </w:rPr>
              <w:t>ЗАО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bCs/>
                <w:sz w:val="20"/>
                <w:szCs w:val="20"/>
              </w:rPr>
              <w:t>ОАО</w:t>
            </w:r>
          </w:p>
        </w:tc>
      </w:tr>
      <w:tr w:rsidR="00086062" w:rsidRPr="00E13F30" w:rsidTr="00BF0ABD">
        <w:trPr>
          <w:trHeight w:val="192"/>
          <w:jc w:val="center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Число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учредителей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1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и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более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1-50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&gt;50</w:t>
            </w:r>
          </w:p>
        </w:tc>
      </w:tr>
      <w:tr w:rsidR="00086062" w:rsidRPr="00E13F30" w:rsidTr="00BF0ABD">
        <w:trPr>
          <w:trHeight w:val="365"/>
          <w:jc w:val="center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Величина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уставного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капитала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100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МЗП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100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bCs/>
                <w:sz w:val="20"/>
                <w:szCs w:val="20"/>
              </w:rPr>
              <w:t>МЗП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1000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МЗП</w:t>
            </w:r>
          </w:p>
        </w:tc>
      </w:tr>
      <w:tr w:rsidR="00086062" w:rsidRPr="00E13F30" w:rsidTr="00BF0ABD">
        <w:trPr>
          <w:trHeight w:val="365"/>
          <w:jc w:val="center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Ответственность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доля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УК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-</w:t>
            </w:r>
            <w:r w:rsid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доля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УК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х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0ABD" w:rsidRPr="00E13F3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доля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УК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доля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УК</w:t>
            </w:r>
          </w:p>
        </w:tc>
      </w:tr>
      <w:tr w:rsidR="00086062" w:rsidRPr="00E13F30" w:rsidTr="00BF0ABD">
        <w:trPr>
          <w:trHeight w:val="365"/>
          <w:jc w:val="center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Социальная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близость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очень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множественно-групповая</w:t>
            </w:r>
          </w:p>
        </w:tc>
      </w:tr>
      <w:tr w:rsidR="00086062" w:rsidRPr="00E13F30" w:rsidTr="00E13F30">
        <w:trPr>
          <w:trHeight w:val="243"/>
          <w:jc w:val="center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Защищенность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BF0ABD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F30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достаточная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постоянная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забота</w:t>
            </w:r>
          </w:p>
        </w:tc>
      </w:tr>
      <w:tr w:rsidR="00086062" w:rsidRPr="00E13F30" w:rsidTr="00BF0ABD">
        <w:trPr>
          <w:trHeight w:val="374"/>
          <w:jc w:val="center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Скорость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принятия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и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решений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BF0ABD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ниже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среднего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на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пороге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выживаемости</w:t>
            </w:r>
          </w:p>
        </w:tc>
      </w:tr>
      <w:tr w:rsidR="00086062" w:rsidRPr="00E13F30" w:rsidTr="00BF0ABD">
        <w:trPr>
          <w:trHeight w:val="547"/>
          <w:jc w:val="center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Доверие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рынка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(партнеров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и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инвесторов)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BF0ABD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→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6062" w:rsidRPr="00E13F30">
              <w:rPr>
                <w:rFonts w:ascii="Times New Roman" w:hAnsi="Times New Roman"/>
                <w:sz w:val="20"/>
                <w:szCs w:val="20"/>
              </w:rPr>
              <w:t>высокое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высокое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и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</w:tr>
      <w:tr w:rsidR="00086062" w:rsidRPr="00E13F30" w:rsidTr="00E13F30">
        <w:trPr>
          <w:trHeight w:val="169"/>
          <w:jc w:val="center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Масштабы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мелкий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бизнес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086062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средний</w:t>
            </w:r>
            <w:r w:rsidR="00E13F30" w:rsidRPr="00E13F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F30">
              <w:rPr>
                <w:rFonts w:ascii="Times New Roman" w:hAnsi="Times New Roman"/>
                <w:sz w:val="20"/>
                <w:szCs w:val="20"/>
              </w:rPr>
              <w:t>бизнес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062" w:rsidRPr="00E13F30" w:rsidRDefault="00E13F30" w:rsidP="00E1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30">
              <w:rPr>
                <w:rFonts w:ascii="Times New Roman" w:hAnsi="Times New Roman"/>
                <w:sz w:val="20"/>
                <w:szCs w:val="20"/>
              </w:rPr>
              <w:t>К</w:t>
            </w:r>
            <w:r w:rsidR="00086062" w:rsidRPr="00E13F30">
              <w:rPr>
                <w:rFonts w:ascii="Times New Roman" w:hAnsi="Times New Roman"/>
                <w:sz w:val="20"/>
                <w:szCs w:val="20"/>
              </w:rPr>
              <w:t>рупный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6062" w:rsidRPr="00E13F30">
              <w:rPr>
                <w:rFonts w:ascii="Times New Roman" w:hAnsi="Times New Roman"/>
                <w:sz w:val="20"/>
                <w:szCs w:val="20"/>
              </w:rPr>
              <w:t>бизнес</w:t>
            </w:r>
          </w:p>
        </w:tc>
      </w:tr>
    </w:tbl>
    <w:p w:rsidR="00086062" w:rsidRPr="00E13F30" w:rsidRDefault="00086062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13F30">
        <w:rPr>
          <w:rFonts w:ascii="Times New Roman" w:hAnsi="Times New Roman"/>
          <w:sz w:val="28"/>
          <w:szCs w:val="24"/>
        </w:rPr>
        <w:t>МЗП</w:t>
      </w:r>
      <w:r w:rsidR="00E13F30">
        <w:rPr>
          <w:rFonts w:ascii="Times New Roman" w:hAnsi="Times New Roman"/>
          <w:sz w:val="28"/>
          <w:szCs w:val="24"/>
        </w:rPr>
        <w:t xml:space="preserve"> </w:t>
      </w:r>
      <w:r w:rsidRPr="00E13F30">
        <w:rPr>
          <w:rFonts w:ascii="Times New Roman" w:hAnsi="Times New Roman"/>
          <w:sz w:val="28"/>
          <w:szCs w:val="24"/>
        </w:rPr>
        <w:t>-</w:t>
      </w:r>
      <w:r w:rsidR="00E13F30">
        <w:rPr>
          <w:rFonts w:ascii="Times New Roman" w:hAnsi="Times New Roman"/>
          <w:sz w:val="28"/>
          <w:szCs w:val="24"/>
        </w:rPr>
        <w:t xml:space="preserve"> </w:t>
      </w:r>
      <w:r w:rsidRPr="00E13F30">
        <w:rPr>
          <w:rFonts w:ascii="Times New Roman" w:hAnsi="Times New Roman"/>
          <w:sz w:val="28"/>
          <w:szCs w:val="24"/>
        </w:rPr>
        <w:t>минимальная</w:t>
      </w:r>
      <w:r w:rsidR="00E13F30">
        <w:rPr>
          <w:rFonts w:ascii="Times New Roman" w:hAnsi="Times New Roman"/>
          <w:sz w:val="28"/>
          <w:szCs w:val="24"/>
        </w:rPr>
        <w:t xml:space="preserve"> </w:t>
      </w:r>
      <w:r w:rsidRPr="00E13F30">
        <w:rPr>
          <w:rFonts w:ascii="Times New Roman" w:hAnsi="Times New Roman"/>
          <w:sz w:val="28"/>
          <w:szCs w:val="24"/>
        </w:rPr>
        <w:t>заработная</w:t>
      </w:r>
      <w:r w:rsidR="00E13F30">
        <w:rPr>
          <w:rFonts w:ascii="Times New Roman" w:hAnsi="Times New Roman"/>
          <w:sz w:val="28"/>
          <w:szCs w:val="24"/>
        </w:rPr>
        <w:t xml:space="preserve"> </w:t>
      </w:r>
      <w:r w:rsidRPr="00E13F30">
        <w:rPr>
          <w:rFonts w:ascii="Times New Roman" w:hAnsi="Times New Roman"/>
          <w:sz w:val="28"/>
          <w:szCs w:val="24"/>
        </w:rPr>
        <w:t>плата,</w:t>
      </w:r>
      <w:r w:rsidR="00E13F30">
        <w:rPr>
          <w:rFonts w:ascii="Times New Roman" w:hAnsi="Times New Roman"/>
          <w:sz w:val="28"/>
          <w:szCs w:val="24"/>
        </w:rPr>
        <w:t xml:space="preserve"> </w:t>
      </w:r>
      <w:r w:rsidRPr="00E13F30">
        <w:rPr>
          <w:rFonts w:ascii="Times New Roman" w:hAnsi="Times New Roman"/>
          <w:sz w:val="28"/>
          <w:szCs w:val="24"/>
        </w:rPr>
        <w:t>новая</w:t>
      </w:r>
      <w:r w:rsidR="00E13F30">
        <w:rPr>
          <w:rFonts w:ascii="Times New Roman" w:hAnsi="Times New Roman"/>
          <w:sz w:val="28"/>
          <w:szCs w:val="24"/>
        </w:rPr>
        <w:t xml:space="preserve"> </w:t>
      </w:r>
      <w:r w:rsidRPr="00E13F30">
        <w:rPr>
          <w:rFonts w:ascii="Times New Roman" w:hAnsi="Times New Roman"/>
          <w:sz w:val="28"/>
          <w:szCs w:val="24"/>
        </w:rPr>
        <w:t>единица</w:t>
      </w:r>
      <w:r w:rsidR="00E13F30">
        <w:rPr>
          <w:rFonts w:ascii="Times New Roman" w:hAnsi="Times New Roman"/>
          <w:sz w:val="28"/>
          <w:szCs w:val="24"/>
        </w:rPr>
        <w:t xml:space="preserve"> </w:t>
      </w:r>
      <w:r w:rsidRPr="00E13F30">
        <w:rPr>
          <w:rFonts w:ascii="Times New Roman" w:hAnsi="Times New Roman"/>
          <w:sz w:val="28"/>
          <w:szCs w:val="24"/>
        </w:rPr>
        <w:t>в</w:t>
      </w:r>
      <w:r w:rsidR="00E13F30">
        <w:rPr>
          <w:rFonts w:ascii="Times New Roman" w:hAnsi="Times New Roman"/>
          <w:sz w:val="28"/>
          <w:szCs w:val="24"/>
        </w:rPr>
        <w:t xml:space="preserve"> </w:t>
      </w:r>
      <w:r w:rsidRPr="00E13F30">
        <w:rPr>
          <w:rFonts w:ascii="Times New Roman" w:hAnsi="Times New Roman"/>
          <w:sz w:val="28"/>
          <w:szCs w:val="24"/>
        </w:rPr>
        <w:t>нашей</w:t>
      </w:r>
      <w:r w:rsidR="00E13F30">
        <w:rPr>
          <w:rFonts w:ascii="Times New Roman" w:hAnsi="Times New Roman"/>
          <w:sz w:val="28"/>
          <w:szCs w:val="24"/>
        </w:rPr>
        <w:t xml:space="preserve"> </w:t>
      </w:r>
      <w:r w:rsidRPr="00E13F30">
        <w:rPr>
          <w:rFonts w:ascii="Times New Roman" w:hAnsi="Times New Roman"/>
          <w:sz w:val="28"/>
          <w:szCs w:val="24"/>
        </w:rPr>
        <w:t>системе</w:t>
      </w:r>
      <w:r w:rsidR="00E13F30">
        <w:rPr>
          <w:rFonts w:ascii="Times New Roman" w:hAnsi="Times New Roman"/>
          <w:sz w:val="28"/>
          <w:szCs w:val="24"/>
        </w:rPr>
        <w:t xml:space="preserve"> </w:t>
      </w:r>
      <w:r w:rsidRPr="00E13F30">
        <w:rPr>
          <w:rFonts w:ascii="Times New Roman" w:hAnsi="Times New Roman"/>
          <w:sz w:val="28"/>
          <w:szCs w:val="24"/>
        </w:rPr>
        <w:t>мер</w:t>
      </w:r>
      <w:r w:rsidR="00E13F30">
        <w:rPr>
          <w:rFonts w:ascii="Times New Roman" w:hAnsi="Times New Roman"/>
          <w:sz w:val="28"/>
          <w:szCs w:val="24"/>
        </w:rPr>
        <w:t xml:space="preserve"> </w:t>
      </w:r>
      <w:r w:rsidRPr="00E13F30">
        <w:rPr>
          <w:rFonts w:ascii="Times New Roman" w:hAnsi="Times New Roman"/>
          <w:sz w:val="28"/>
          <w:szCs w:val="24"/>
        </w:rPr>
        <w:t>и</w:t>
      </w:r>
      <w:r w:rsidR="00E13F30">
        <w:rPr>
          <w:rFonts w:ascii="Times New Roman" w:hAnsi="Times New Roman"/>
          <w:sz w:val="28"/>
          <w:szCs w:val="24"/>
        </w:rPr>
        <w:t xml:space="preserve"> </w:t>
      </w:r>
      <w:r w:rsidRPr="00E13F30">
        <w:rPr>
          <w:rFonts w:ascii="Times New Roman" w:hAnsi="Times New Roman"/>
          <w:sz w:val="28"/>
          <w:szCs w:val="24"/>
        </w:rPr>
        <w:t>весов;</w:t>
      </w:r>
      <w:r w:rsidR="00E13F30">
        <w:rPr>
          <w:rFonts w:ascii="Times New Roman" w:hAnsi="Times New Roman"/>
          <w:sz w:val="28"/>
          <w:szCs w:val="24"/>
        </w:rPr>
        <w:t xml:space="preserve"> </w:t>
      </w:r>
    </w:p>
    <w:p w:rsidR="00086062" w:rsidRPr="00E13F30" w:rsidRDefault="00086062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13F30">
        <w:rPr>
          <w:rFonts w:ascii="Times New Roman" w:hAnsi="Times New Roman"/>
          <w:sz w:val="28"/>
          <w:szCs w:val="24"/>
        </w:rPr>
        <w:t>УК</w:t>
      </w:r>
      <w:r w:rsidR="00E13F30">
        <w:rPr>
          <w:rFonts w:ascii="Times New Roman" w:hAnsi="Times New Roman"/>
          <w:sz w:val="28"/>
          <w:szCs w:val="24"/>
        </w:rPr>
        <w:t xml:space="preserve"> </w:t>
      </w:r>
      <w:r w:rsidRPr="00E13F30">
        <w:rPr>
          <w:rFonts w:ascii="Times New Roman" w:hAnsi="Times New Roman"/>
          <w:sz w:val="28"/>
          <w:szCs w:val="24"/>
        </w:rPr>
        <w:t>-</w:t>
      </w:r>
      <w:r w:rsidR="00E13F30">
        <w:rPr>
          <w:rFonts w:ascii="Times New Roman" w:hAnsi="Times New Roman"/>
          <w:sz w:val="28"/>
          <w:szCs w:val="24"/>
        </w:rPr>
        <w:t xml:space="preserve"> </w:t>
      </w:r>
      <w:r w:rsidRPr="00E13F30">
        <w:rPr>
          <w:rFonts w:ascii="Times New Roman" w:hAnsi="Times New Roman"/>
          <w:sz w:val="28"/>
          <w:szCs w:val="24"/>
        </w:rPr>
        <w:t>уставный</w:t>
      </w:r>
      <w:r w:rsidR="00E13F30">
        <w:rPr>
          <w:rFonts w:ascii="Times New Roman" w:hAnsi="Times New Roman"/>
          <w:sz w:val="28"/>
          <w:szCs w:val="24"/>
        </w:rPr>
        <w:t xml:space="preserve"> </w:t>
      </w:r>
      <w:r w:rsidRPr="00E13F30">
        <w:rPr>
          <w:rFonts w:ascii="Times New Roman" w:hAnsi="Times New Roman"/>
          <w:sz w:val="28"/>
          <w:szCs w:val="24"/>
        </w:rPr>
        <w:t>капитал</w:t>
      </w:r>
      <w:r w:rsidR="00BF0ABD" w:rsidRPr="00E13F30">
        <w:rPr>
          <w:rFonts w:ascii="Times New Roman" w:hAnsi="Times New Roman"/>
          <w:sz w:val="28"/>
          <w:szCs w:val="24"/>
        </w:rPr>
        <w:t>.</w:t>
      </w:r>
    </w:p>
    <w:p w:rsidR="00A94482" w:rsidRPr="00E13F30" w:rsidRDefault="00A94482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Охарактеризуем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открытые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акционерные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общества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(ОАО).</w:t>
      </w:r>
    </w:p>
    <w:p w:rsidR="00E13F30" w:rsidRDefault="00E13F30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ABD" w:rsidRPr="00E13F30" w:rsidRDefault="004041C3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1.2.1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Акционерные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общества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Уже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из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обязательных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юридических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характеристик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ОАО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следует,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правило,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крупные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организации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числом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работников,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серьезной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финансовой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производственной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базой.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производят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львиную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долю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ВНП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обеспечивают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рабочие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места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части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работающих.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Словом,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оказывают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огромное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влияние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экономику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страны,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во-первых,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во-вторых,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будучи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средоточием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групп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взаимодействующих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людей,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самым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непосредственно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общественные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процессы.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Поэтому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ОАО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просто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единицы,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только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агенты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экономической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жизни,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степени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общественные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организации,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элементы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социума.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добавить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этому,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материальным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источникам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своего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формирования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покупают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разнообразные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организации,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называемые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физические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лица,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просто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люди,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живущие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пространстве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Балтики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Владивостока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рубежом)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работающие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где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угодно,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другими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словами,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оперируют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изначально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общественными,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сложенными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сообща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собственниками,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капиталами,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отношение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ОАО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универсальным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экономико-социальным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образованиям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будет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полностью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оправданно.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Иначе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говоря,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корпорации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-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основные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действующие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лица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социалистической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капиталистической,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корпоративной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экономики</w:t>
      </w:r>
      <w:r w:rsidR="00086B14" w:rsidRPr="00E13F30">
        <w:rPr>
          <w:rStyle w:val="ad"/>
          <w:rFonts w:ascii="Times New Roman" w:hAnsi="Times New Roman"/>
          <w:iCs/>
          <w:sz w:val="28"/>
          <w:szCs w:val="28"/>
        </w:rPr>
        <w:footnoteReference w:id="4"/>
      </w:r>
      <w:r w:rsidRPr="00E13F30">
        <w:rPr>
          <w:rFonts w:ascii="Times New Roman" w:hAnsi="Times New Roman"/>
          <w:iCs/>
          <w:sz w:val="28"/>
          <w:szCs w:val="28"/>
        </w:rPr>
        <w:t>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Даже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перед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ТНК,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корпорация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попроще,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равно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своими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целями,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внутренними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правилами,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правительством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вооруженными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(подчас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уровне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мировых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стандартов)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силами,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скромно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именуемыми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службой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безопасности.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деятельность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корпорации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вовлечено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заинтересованных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участников.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Прежде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всего,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учредители.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Большинство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действующих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приватизации.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Есть,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правда,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немало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акционерных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обществ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второго-третьего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поколений,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созданных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частными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лицами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организациями,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нажившими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капиталы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первой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волне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приватизации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время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предшествовавшей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короткой,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бурной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эпохи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кооперативов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НТТМ,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однако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большинства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еще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составляют.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За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малыми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исключениями,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приватизации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происходили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известным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схемам,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поэтому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большинство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учредителей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представленные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теперь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управляющими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пакетами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(долями)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контракту,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современный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директорат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(он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экс-советская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номенклатура)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называемые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трудовые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коллективы,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просто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частные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лица,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работники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пенсионеры.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После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созданное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начинает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действовать,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непосредственные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участники,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числе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учредители,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получают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статус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акционеры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владельцы</w:t>
      </w:r>
      <w:r w:rsidRPr="00E13F30">
        <w:rPr>
          <w:rFonts w:ascii="Times New Roman" w:hAnsi="Times New Roman"/>
          <w:sz w:val="28"/>
          <w:szCs w:val="28"/>
        </w:rPr>
        <w:t>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количества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простых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привилегированных,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облигаций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эмитированных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бумаг,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-независимо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того,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работают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нет.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Формально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корпорации,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помним,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означает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владеть,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распоряжаться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и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пользоваться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разделенном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виде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отношения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могут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распределяться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(обычно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распределяются),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формальные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оказываются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очень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далеко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выгод,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приносит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собственность.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возможность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совсем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связана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владением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акциями.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специфика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корпораций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состоит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само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понятие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отступает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задний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план,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размывается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понятием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контроля.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Мощными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группами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заинтересованных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лиц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поставщики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потребители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Даже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участвуя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процессе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непосредственно,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могут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сильно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даже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определяющим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влиять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принимаемые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решения,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особенно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современных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условиях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России.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Зависимость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потребителей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поставщиков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варьировать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равной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взаимной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односторонней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любую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сторону.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Особую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группу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интереса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представляет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государство.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Российское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еще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сложилось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целое,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поэтому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практике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взаимодействие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распадается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отношения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теми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органами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—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самых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болезненных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налоговой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полицией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самых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комплиментарных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мэрией.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Когда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выступает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еще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акционер,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двух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ипостасях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одновременно,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придает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большую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сложность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отношениям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государством,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поскольку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многом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противоположны.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Усиленный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обострений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интерес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деятельности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питают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должники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кредиторы,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хотя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интерес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противоположным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знаком: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конкретной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ситуации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могут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заинтересованы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процветании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банкротстве.</w:t>
      </w:r>
    </w:p>
    <w:p w:rsidR="00A41FBE" w:rsidRPr="00E13F30" w:rsidRDefault="00A41FBE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Еще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одна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группа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весьма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заинтересованных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субъектов,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окружающих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корпорацию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05157B"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конкуренты.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Основные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отношения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конкурентами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лишь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грубом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приближении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отношения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защиты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нападения.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грубом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потому,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перед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фаза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становления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рынка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(отрасли),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когда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бурлит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процессе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раздела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передела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связей,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следующая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период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стабильного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производства,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конкуренты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играют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очень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важную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положительную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роль: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вам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застояться,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поэтому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без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можете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погибнуть,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утонуть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монополистическом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чванстве.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Кроме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того,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конкуренты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всегда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вырабатывают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новые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идеи,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новые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продукты,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толчок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вашему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развитию.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Совершенно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очевидно,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являясь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центром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пересечения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разных,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вплоть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противоположных,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интересов,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корпорация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испытывает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постоянное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воздействие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мощных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центробежных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сил,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противопоставить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вопрос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выживания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только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способность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согласовывать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интересы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разных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групп,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умело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лавировать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между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сциллами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харибдами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российской,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мировой,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экономической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действительности.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тогда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оставить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стороне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патологическую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группу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«криминальная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среда»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сформулировать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главную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цель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корпорации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следующим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образом.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Для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принадлежащего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одному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лицу,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проблемы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разделения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контроля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существует: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владею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контролирую.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когда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много,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большее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значение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приобретает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участие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принятии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решений,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контроль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деятельностью.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владеть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называемым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контрольным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пакетом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(акций,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долей)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совершенно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влиять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события.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было,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например,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начале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середине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90-х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годов,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когда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большинство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формальным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признакам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оставалось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государственными,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практике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полностью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контролировалось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директоратом,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приводило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кризису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производства,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быстрому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обогащению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высшего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руководства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частных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лиц.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многом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положение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сохраняется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настоящее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время.</w:t>
      </w:r>
    </w:p>
    <w:p w:rsidR="00A41FBE" w:rsidRPr="00E13F30" w:rsidRDefault="00A41FBE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Чем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(распыленность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владения),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отделена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контроля,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следовательно,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меньшее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значение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имеет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большее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контроль.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Крайним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случаем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ряду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крупные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Разведение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контроля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находит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прямое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выражение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законодательстве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странах),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закрепляет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фактическое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неравенство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акционерных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пакетов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зависимости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величины.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Закон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РФ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«Об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акционерных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обществах»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предусматривает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различные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объемы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акционеров,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обладающих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1%,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2%,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10%</w:t>
      </w:r>
      <w:r w:rsidR="00227029" w:rsidRPr="00E13F30">
        <w:rPr>
          <w:rFonts w:ascii="Times New Roman" w:hAnsi="Times New Roman"/>
          <w:sz w:val="28"/>
          <w:szCs w:val="28"/>
        </w:rPr>
        <w:t>.</w:t>
      </w:r>
      <w:r w:rsidR="00E13F30">
        <w:rPr>
          <w:rFonts w:ascii="Times New Roman" w:hAnsi="Times New Roman"/>
          <w:sz w:val="28"/>
          <w:szCs w:val="28"/>
        </w:rPr>
        <w:t xml:space="preserve"> 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Один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процент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позволяет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предъявить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судебные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иски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2%-ный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пакет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позволяет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акционеру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группе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вносить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январям)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предложения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повестку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дня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годового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общего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собрания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акционеров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предлагать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51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%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более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кандидатур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совет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директоров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ревизионную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комиссию,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10%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позволяют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требовать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созыва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внеочередного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общего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собрания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желаемой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повестке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дня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созывать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самостоятельно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случае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отказа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стороны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совета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директоров.</w:t>
      </w:r>
    </w:p>
    <w:p w:rsidR="00A41FBE" w:rsidRPr="00E13F30" w:rsidRDefault="00227029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П</w:t>
      </w:r>
      <w:r w:rsidR="00A41FBE" w:rsidRPr="00E13F30">
        <w:rPr>
          <w:rFonts w:ascii="Times New Roman" w:hAnsi="Times New Roman"/>
          <w:sz w:val="28"/>
          <w:szCs w:val="28"/>
        </w:rPr>
        <w:t>акет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акций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менее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10%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предоставляет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акционеру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-будь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он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трижды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государственным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возможность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всего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лишь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подавать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свой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голос,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голос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этот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будет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тоньше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писка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(или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проводить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жизнь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судебных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коридорах: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этот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способ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«насолить»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АО,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вызывающий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остановку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жизнедеятельности,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широко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используется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акулами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бизнеса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дорого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обходится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общественной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A41FBE" w:rsidRPr="00E13F30">
        <w:rPr>
          <w:rFonts w:ascii="Times New Roman" w:hAnsi="Times New Roman"/>
          <w:sz w:val="28"/>
          <w:szCs w:val="28"/>
        </w:rPr>
        <w:t>экономике).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Пакет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10%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радикальный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контроля,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контроля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отрицательного.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Нельзя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провести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свои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решения,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полностью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дезорганизовать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жизнь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внеочередными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собраниями.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10%-му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акционеру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никто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даже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общее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собрание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диктовать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свои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условия,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только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договариваться.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сегодняшних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российских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10%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более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сплошь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рядом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принадлежит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как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частным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лицам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членам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совета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директоров,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значит,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общий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контроль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над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АО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принадлежит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совету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директоров.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Теоретически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полный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положительный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контроль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51%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голосующих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акций.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проводить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общие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собрания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даже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наедине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зеркалом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лично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формировать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совет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директоров.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практике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непозволительная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роскошь.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Сегодня,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когда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фондовый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рынок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лишь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обозначен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небольшой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группой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«китов»,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котировки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вовсе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отражают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реальную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стоимость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капитала,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как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бы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незаметно,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мере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формирования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настоящего,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массового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фондового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рынка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неизбежного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приближения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котировок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действительной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стоимости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(т.е.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скачкообразного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подорожания)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омертвление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столь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значительной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ликвидных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бумаг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позиции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станет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очевидной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глупостью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будут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проданы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инвесторам.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Реальный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положительный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контроль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над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большинством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сегодня,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зависимости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структуры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владельцев,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вполне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достижим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диапазоне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20-30%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акций.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реальная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«процентная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стоимость»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общих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собраний,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даже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распыленность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самая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большая,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составляет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60-80%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голосов,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ключевых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решений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требуется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2/3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голосов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участников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собрания,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25%-го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пакета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удваивается,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фактический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полный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контроль.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Таким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из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формальных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юридических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установлений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следует,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•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распыленность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акционерного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капитала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(чем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больше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мелких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акционеров),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меньше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величина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пакета,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обеспечивающего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реальный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положительный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контроль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над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корпорацией,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наоборот;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•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сегодня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приемлемый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положительный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контроль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обеспечивает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пакет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20-30%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акций.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сегодняшний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ориентир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владельца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корпоративных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бумаг.</w:t>
      </w:r>
    </w:p>
    <w:p w:rsidR="00E13F30" w:rsidRDefault="00E13F30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mallCaps/>
          <w:sz w:val="28"/>
          <w:szCs w:val="28"/>
        </w:rPr>
      </w:pPr>
    </w:p>
    <w:p w:rsidR="00D7159A" w:rsidRPr="00E13F30" w:rsidRDefault="00D7159A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mallCaps/>
          <w:sz w:val="28"/>
          <w:szCs w:val="28"/>
        </w:rPr>
        <w:t>1.2.2</w:t>
      </w:r>
      <w:r w:rsidR="00E13F30">
        <w:rPr>
          <w:rFonts w:ascii="Times New Roman" w:hAnsi="Times New Roman"/>
          <w:smallCap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Унитарное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особой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организационно-правовой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юридического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лица,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восходящей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своими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корнями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времена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социалистической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экономики</w:t>
      </w:r>
      <w:r w:rsidR="002319DD" w:rsidRPr="00E13F30">
        <w:rPr>
          <w:rStyle w:val="ad"/>
          <w:rFonts w:ascii="Times New Roman" w:hAnsi="Times New Roman"/>
          <w:sz w:val="28"/>
          <w:szCs w:val="28"/>
        </w:rPr>
        <w:footnoteReference w:id="5"/>
      </w:r>
      <w:r w:rsidRPr="00E13F30">
        <w:rPr>
          <w:rFonts w:ascii="Times New Roman" w:hAnsi="Times New Roman"/>
          <w:sz w:val="28"/>
          <w:szCs w:val="28"/>
        </w:rPr>
        <w:t>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Возникновение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обусловлено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необходимостью,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одной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стороны,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сохранить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государственную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средства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производства,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обеспечить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более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эффективное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имуществом.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Эта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задача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была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решена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путем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создания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особых,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неизвестных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странам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рыночной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экономикой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оперативного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ведения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(впоследствии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ведения).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состоит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выступает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качестве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«как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бы»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закрепленного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правомочия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использованию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распоряжению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ограничены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действительным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образованием.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Итак,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характеризуется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предприятие?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Прежде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всего,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нельзя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смешивать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учредившим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образованием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несмотря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учредитель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сохраняет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подразделением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образования.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самостоятельный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субъект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иметь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(правоспособность)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своими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действиями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приобретать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(дееспособность)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обязанности,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обладает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гражданской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правосубъектностью.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Основной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целью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деятельности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извлечение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прибыли,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поэтому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относится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коммерческим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организациям.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Вместе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обладает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рядом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специфических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черт,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заставляют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отвести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особое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место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среди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коммерческих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организаций.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Рассмотрим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подробнее.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Унитарное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учреждается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реорганизуется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решению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уполномоченного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образования.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Органом,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уполномоченным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создавать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казенные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только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Правительство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РФ.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Орган,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учреждающий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утверждает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устав.</w:t>
      </w:r>
    </w:p>
    <w:p w:rsidR="00A41FBE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Уставный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фонд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формируется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счет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передаваемого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учредителем.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Причем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уставный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фонд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основанного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ведения,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должен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оплачен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регистрации.</w:t>
      </w:r>
    </w:p>
    <w:p w:rsidR="006E4E07" w:rsidRPr="00E13F30" w:rsidRDefault="00A41FBE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Унитарное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имеет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называемую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специальную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правоспособность,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заниматься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только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теми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видами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деятельности,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указаны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учредительных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документах.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отличается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коммерческих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организаций: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товариществ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обществ.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случае,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</w:t>
      </w:r>
      <w:r w:rsidR="006E4E07" w:rsidRPr="00E13F30">
        <w:rPr>
          <w:rFonts w:ascii="Times New Roman" w:hAnsi="Times New Roman"/>
          <w:sz w:val="28"/>
          <w:szCs w:val="28"/>
        </w:rPr>
        <w:t>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заключит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сделку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противоречии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целями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деятельности,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указанными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учредительных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документах,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такая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сделка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может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быть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признана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недействительной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иску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самого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предприятия,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уполномоченного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органа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учредителя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(государства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муниципального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образования),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прокурора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государственного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органа,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осуществляющего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контроль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надзор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за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деятельностью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(например,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отраслевого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ведомства,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ведении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которого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оно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6E4E07" w:rsidRPr="00E13F30">
        <w:rPr>
          <w:rFonts w:ascii="Times New Roman" w:hAnsi="Times New Roman"/>
          <w:sz w:val="28"/>
          <w:szCs w:val="28"/>
        </w:rPr>
        <w:t>находится).</w:t>
      </w:r>
    </w:p>
    <w:p w:rsidR="006E4E07" w:rsidRPr="00E13F30" w:rsidRDefault="006E4E07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Согласно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113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227029" w:rsidRPr="00E13F30">
        <w:rPr>
          <w:rFonts w:ascii="Times New Roman" w:hAnsi="Times New Roman"/>
          <w:sz w:val="28"/>
          <w:szCs w:val="28"/>
        </w:rPr>
        <w:t>ГК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РФ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признается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коммерческая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организация,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наделенная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закрепленное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неделимым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распределено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вкладам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(долям,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паям),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числе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между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работниками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находится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соответственно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принадлежит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ведения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оперативного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управления.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отношении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приобретенного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самого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возникает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ведения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оперативного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зависимости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вида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предприятия),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образования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собственности.</w:t>
      </w:r>
    </w:p>
    <w:p w:rsidR="006E4E07" w:rsidRPr="00E13F30" w:rsidRDefault="006E4E07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Исходя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из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вида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принадлежащего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предприятию,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различают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вида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предприятий: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основанные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ведения,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основанные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оперативного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(казенные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предприятия).</w:t>
      </w:r>
    </w:p>
    <w:p w:rsidR="006E4E07" w:rsidRPr="00E13F30" w:rsidRDefault="006E4E07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При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форме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казенного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могут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создаваться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только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находится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федеральной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собственности.</w:t>
      </w:r>
    </w:p>
    <w:p w:rsidR="006E4E07" w:rsidRPr="00E13F30" w:rsidRDefault="006E4E07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ведения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оперативного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правами,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производными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было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указано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выше,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ведения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оперативного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максимально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приближаются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собственности.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общему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правилу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осуществляет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отношении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принадлежащего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правомочия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(владение,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пользование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распоряжение)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ограничениями,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установленными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законом.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Сделки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распоряжению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нарушение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ограничений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ничтожны,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есть,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недействительны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независимо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признания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таковыми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судом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порождают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никаких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правовых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последствий.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зависимости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степени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ограничений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распоряжаться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различаются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ведения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оперативного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управления.</w:t>
      </w:r>
    </w:p>
    <w:p w:rsidR="006E4E07" w:rsidRPr="00E13F30" w:rsidRDefault="006E4E07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Согласно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295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РФ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вправе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продавать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принадлежащее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ведения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сдавать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аренду,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отдавать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залог,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вносить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качестве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вклада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уставный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(складочный)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капитал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обществ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товариществ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способом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распоряжаться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без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согласия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собственника.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Остальным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принадлежащим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предприятию,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числе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денежными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средствами,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распоряжается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самостоятельно.</w:t>
      </w:r>
    </w:p>
    <w:p w:rsidR="006E4E07" w:rsidRPr="00E13F30" w:rsidRDefault="006E4E07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Объем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правомочий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отношении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принадлежащего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оперативного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значительно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уже.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Самостоятельно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(казенное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вправе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распоряжаться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лишь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производимой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продукцией.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Любым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принадлежащим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казенное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распорядиться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лишь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согласия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Российской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Федерации.</w:t>
      </w:r>
    </w:p>
    <w:p w:rsidR="006E4E07" w:rsidRPr="00E13F30" w:rsidRDefault="006E4E07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Еще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одним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существенным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отличием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оперативного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ведения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закрепленного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казенным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изъять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излишнее,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неиспользуемое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либо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используемое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назначению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распорядиться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своему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усмотрению.</w:t>
      </w:r>
    </w:p>
    <w:p w:rsidR="006E4E07" w:rsidRPr="00E13F30" w:rsidRDefault="006E4E07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Государство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образование,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помимо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указанных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выше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случаев,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вправе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распорядиться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комплексом.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Например,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Российская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Федерация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передать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федерального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субъекту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федерации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образованию.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Субъект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федерации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передать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Российской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Федерации,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субъекту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федерации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образованию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ведения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сохраняется.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Поскольку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могут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только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государственными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муниципальными,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передать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только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Российской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Федерации,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субъекту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федерации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предприятию.</w:t>
      </w:r>
    </w:p>
    <w:p w:rsidR="006E4E07" w:rsidRPr="00E13F30" w:rsidRDefault="006E4E07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причине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возможность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смены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собственника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имущественного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комплекса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унитарного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предприятия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существует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только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в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отношении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унитарных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предприятий,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основанных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на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праве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хозяйственного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ведения.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Чтобы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передать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казенного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субъекту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федерации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муниципальному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образованию,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необходимо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сначала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преобразовать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казенное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основанное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ведения,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уже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затем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передавать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имущественный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вновь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созданного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предприятия.</w:t>
      </w:r>
    </w:p>
    <w:p w:rsidR="006E4E07" w:rsidRPr="00E13F30" w:rsidRDefault="006E4E07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общему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правилу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отвечает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своим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обязательствам,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во-первых,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само,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во-вторых,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принадлежащим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ему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имуществом.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Однако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учетом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ограниченного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характера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вещных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специальной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правоспособности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особого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контроля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над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деятельностью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стороны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учредителя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законом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установлены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исключения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из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правила.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Исключения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состоят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возложении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учредителя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называемой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субсидиарной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iCs/>
          <w:sz w:val="28"/>
          <w:szCs w:val="28"/>
        </w:rPr>
        <w:t>ответственности.</w:t>
      </w:r>
      <w:r w:rsidR="00E13F30">
        <w:rPr>
          <w:rFonts w:ascii="Times New Roman" w:hAnsi="Times New Roman"/>
          <w:iCs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субсидиарной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ответственности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данном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случае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заключается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оказалось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недостаточно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удовлетворения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требований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кредиторов,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имеют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обратиться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иском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т.е.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государству.</w:t>
      </w:r>
    </w:p>
    <w:p w:rsidR="00A41FBE" w:rsidRPr="00E13F30" w:rsidRDefault="006E4E07" w:rsidP="00E13F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Применительно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основанным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хозяйственного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ведения,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субсидиарная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ответственность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предусмотрена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3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56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РФ.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(К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казенным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правило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применяется,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поскольку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закону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отношении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может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быть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возбуждено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дело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банкротстве.)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Учредителем,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лицом,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которое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имеет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давать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обязательные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указания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возможность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определять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действия,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является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образование.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Поэтому,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если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будет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доказано,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несостоятельность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унитарного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вызвана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учредившим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или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муниципальным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образованием,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учредителя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будет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возложена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субсидиарная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ответственность.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касается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казенного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227029"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Российской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Федерации,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всегда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субсидиарно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отвечает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обязательствам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казенного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недостаточности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его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этом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надо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доказывать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причинно-следственную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связь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между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недостаточностью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казенного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действиями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собственника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этого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имущества.</w:t>
      </w:r>
    </w:p>
    <w:p w:rsidR="00E60E57" w:rsidRPr="00E13F30" w:rsidRDefault="00E60E57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ЗАКЛЮЧЕНИЕ</w:t>
      </w:r>
    </w:p>
    <w:p w:rsidR="00AE7048" w:rsidRPr="00E13F30" w:rsidRDefault="00AE7048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048" w:rsidRPr="00E13F30" w:rsidRDefault="00AE7048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>Объекты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гражданского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права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классифицированы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ГК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РФ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следующей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последовательности: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виды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объектов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гражданского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права,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недвижимые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движимые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вещи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(ст.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128,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130,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132,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138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ГК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РФ).</w:t>
      </w:r>
      <w:r w:rsidR="00E13F30">
        <w:rPr>
          <w:sz w:val="28"/>
          <w:szCs w:val="28"/>
        </w:rPr>
        <w:t xml:space="preserve"> </w:t>
      </w:r>
    </w:p>
    <w:p w:rsidR="00AE7048" w:rsidRPr="00E13F30" w:rsidRDefault="00AE7048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>Структура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объектов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движимого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недвижимого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имущества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может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свою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очередь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классифицироваться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на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несколько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достаточно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крупных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блоков.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Это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позволяет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выделить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составляющие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движимого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недвижимого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имущества.</w:t>
      </w:r>
    </w:p>
    <w:p w:rsidR="00AE7048" w:rsidRPr="00E13F30" w:rsidRDefault="00AE7048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>Известно,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что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ГК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РФ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как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основополагающий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законодательный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документ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дает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только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базовые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определения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регулирующие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положения,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которые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при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необходимости,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более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подробно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раскрываются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других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законодательных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документах: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кодексах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законах.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числе: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водный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лесной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кодексы,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законы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недрах,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градостроительном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развитии,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строительстве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т.д.</w:t>
      </w:r>
      <w:r w:rsidR="00E13F30">
        <w:rPr>
          <w:sz w:val="28"/>
          <w:szCs w:val="28"/>
        </w:rPr>
        <w:t xml:space="preserve"> </w:t>
      </w:r>
    </w:p>
    <w:p w:rsidR="00AE7048" w:rsidRPr="00E13F30" w:rsidRDefault="004041C3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>И</w:t>
      </w:r>
      <w:r w:rsidR="00AE7048" w:rsidRPr="00E13F30">
        <w:rPr>
          <w:sz w:val="28"/>
          <w:szCs w:val="28"/>
        </w:rPr>
        <w:t>з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законодательных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определений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таких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объектов,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как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участки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недр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леса,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следует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их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тесная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взаимосвязь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с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земельными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участками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и,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соответственно,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с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регулирующими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положениями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фактически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первенствующего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для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всех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названных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типов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объектов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недвижимости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земельного</w:t>
      </w:r>
      <w:r w:rsidR="00E13F30">
        <w:rPr>
          <w:sz w:val="28"/>
          <w:szCs w:val="28"/>
        </w:rPr>
        <w:t xml:space="preserve"> </w:t>
      </w:r>
      <w:r w:rsidR="00AE7048" w:rsidRPr="00E13F30">
        <w:rPr>
          <w:sz w:val="28"/>
          <w:szCs w:val="28"/>
        </w:rPr>
        <w:t>законодательства.</w:t>
      </w:r>
      <w:r w:rsidR="00E13F30">
        <w:rPr>
          <w:sz w:val="28"/>
          <w:szCs w:val="28"/>
        </w:rPr>
        <w:t xml:space="preserve"> </w:t>
      </w:r>
    </w:p>
    <w:p w:rsidR="00AE7048" w:rsidRPr="00E13F30" w:rsidRDefault="00AE7048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>Движимые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вещи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Гражданским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кодексом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РФ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определены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как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вещи,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относящиеся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недвижимости.</w:t>
      </w:r>
      <w:r w:rsidR="00E13F30">
        <w:rPr>
          <w:sz w:val="28"/>
          <w:szCs w:val="28"/>
        </w:rPr>
        <w:t xml:space="preserve"> </w:t>
      </w:r>
    </w:p>
    <w:p w:rsidR="00AE7048" w:rsidRPr="00E13F30" w:rsidRDefault="00AE7048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>Очень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важным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является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определение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ГКРФ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(ст.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132)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предприятия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как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некоего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имущественного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комплекса.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состав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такого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имущественного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комплекса,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согласно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ГКРФ,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включают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все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виды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движимого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недвижимого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имущества,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обеспечивающие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деятельность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данного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предприятия.</w:t>
      </w:r>
    </w:p>
    <w:p w:rsidR="00AE7048" w:rsidRPr="00E13F30" w:rsidRDefault="00AE7048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>Понятие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имущественного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комплекса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как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сложной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вещи,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объединяющей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неразрывно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связанные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недвижимые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движимые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компоненты,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является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очень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важным.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подобной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схеме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можно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привести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такие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сложные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объекты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недвижимости,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как: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памятники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истории,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культуры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архитектуры,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охранные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зоны,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ландшафтные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комплексы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т.п.</w:t>
      </w:r>
      <w:r w:rsidR="00E13F30">
        <w:rPr>
          <w:sz w:val="28"/>
          <w:szCs w:val="28"/>
        </w:rPr>
        <w:t xml:space="preserve"> </w:t>
      </w:r>
    </w:p>
    <w:p w:rsidR="00AE7048" w:rsidRPr="00E13F30" w:rsidRDefault="00AE7048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>Общим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для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приведенного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перечня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может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быть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неразрывная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связь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составляющих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отдельных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объектов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недвижимости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(как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земельные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участки,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здания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сооружения,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обособленные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водные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объекты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многолетние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насаждения)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движимых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вещей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(как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выдающиеся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элементы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интерьера,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культурные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ценности,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исторические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вещи,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уникальные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библиотеки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коллекции,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именные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знаки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принадлежности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т.д.).</w:t>
      </w:r>
      <w:r w:rsidR="00E13F30">
        <w:rPr>
          <w:sz w:val="28"/>
          <w:szCs w:val="28"/>
        </w:rPr>
        <w:t xml:space="preserve"> </w:t>
      </w:r>
    </w:p>
    <w:p w:rsidR="00AE7048" w:rsidRPr="00E13F30" w:rsidRDefault="00AE7048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>Конструктивной,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нашему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мнению,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является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идея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распространения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приведенного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определения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сложного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имущественного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комплекса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на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такие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крупномасштабные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объекты,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как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Государственное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(федеральное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субъектов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Федерации)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муниципальное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(городское)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имущество.</w:t>
      </w:r>
      <w:r w:rsidR="00E13F30">
        <w:rPr>
          <w:sz w:val="28"/>
          <w:szCs w:val="28"/>
        </w:rPr>
        <w:t xml:space="preserve"> </w:t>
      </w:r>
    </w:p>
    <w:p w:rsidR="00AE7048" w:rsidRPr="00E13F30" w:rsidRDefault="00AE7048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>Тогда,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например,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комплекс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городского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имущества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можно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трактовать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как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следующую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совокупность:</w:t>
      </w:r>
      <w:r w:rsidR="00E13F30">
        <w:rPr>
          <w:sz w:val="28"/>
          <w:szCs w:val="28"/>
        </w:rPr>
        <w:t xml:space="preserve"> </w:t>
      </w:r>
    </w:p>
    <w:p w:rsidR="00AE7048" w:rsidRPr="00E13F30" w:rsidRDefault="00AE7048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>а)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множества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объектов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недвижимости,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том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числе:</w:t>
      </w:r>
      <w:r w:rsidR="00E13F30">
        <w:rPr>
          <w:sz w:val="28"/>
          <w:szCs w:val="28"/>
        </w:rPr>
        <w:t xml:space="preserve"> </w:t>
      </w:r>
    </w:p>
    <w:p w:rsidR="00AE7048" w:rsidRPr="00E13F30" w:rsidRDefault="00AE7048" w:rsidP="00E13F30">
      <w:pPr>
        <w:pStyle w:val="bodytxt"/>
        <w:widowControl w:val="0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>земельных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участков,</w:t>
      </w:r>
      <w:r w:rsidR="00E13F30">
        <w:rPr>
          <w:sz w:val="28"/>
          <w:szCs w:val="28"/>
        </w:rPr>
        <w:t xml:space="preserve"> </w:t>
      </w:r>
    </w:p>
    <w:p w:rsidR="00AE7048" w:rsidRPr="00E13F30" w:rsidRDefault="00AE7048" w:rsidP="00E13F30">
      <w:pPr>
        <w:pStyle w:val="bodytxt"/>
        <w:widowControl w:val="0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>участков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недр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(с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подземными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инженерными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коммуникациями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иными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подземными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сооружениями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типа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метро,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переходов,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хранилищ),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множества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зданий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сооружений,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городских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лесов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многолетних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насаждений,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обособленных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водных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объектов,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множества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сложных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имущественных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комплексов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(различного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рода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предприятий,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обществ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организаций,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ландшафтных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культурно-исторических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охранных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зон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памятников)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рамках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установленных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границ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города;</w:t>
      </w:r>
      <w:r w:rsidR="00E13F30">
        <w:rPr>
          <w:sz w:val="28"/>
          <w:szCs w:val="28"/>
        </w:rPr>
        <w:t xml:space="preserve"> </w:t>
      </w:r>
    </w:p>
    <w:p w:rsidR="00AE7048" w:rsidRPr="00E13F30" w:rsidRDefault="00AE7048" w:rsidP="00E13F3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3F30">
        <w:rPr>
          <w:sz w:val="28"/>
          <w:szCs w:val="28"/>
        </w:rPr>
        <w:t>б)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множества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движимых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вещей,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составляющих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неотъемлемые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части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отдельных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из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перечисленных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сложных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объектов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недвижимости,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уникальных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символов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обозначения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имен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городов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и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местностей,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отдельных</w:t>
      </w:r>
      <w:r w:rsidR="00E13F30">
        <w:rPr>
          <w:sz w:val="28"/>
          <w:szCs w:val="28"/>
        </w:rPr>
        <w:t xml:space="preserve"> </w:t>
      </w:r>
      <w:r w:rsidRPr="00E13F30">
        <w:rPr>
          <w:sz w:val="28"/>
          <w:szCs w:val="28"/>
        </w:rPr>
        <w:t>объектов.</w:t>
      </w:r>
    </w:p>
    <w:p w:rsidR="008F5A10" w:rsidRPr="007A1CC2" w:rsidRDefault="00A02AA3" w:rsidP="00A02AA3">
      <w:pPr>
        <w:pStyle w:val="bodytxt"/>
        <w:widowControl w:val="0"/>
        <w:spacing w:before="0" w:beforeAutospacing="0" w:after="0" w:afterAutospacing="0" w:line="360" w:lineRule="auto"/>
        <w:ind w:firstLine="709"/>
        <w:jc w:val="center"/>
        <w:rPr>
          <w:color w:val="FFFFFF"/>
          <w:sz w:val="28"/>
          <w:szCs w:val="28"/>
        </w:rPr>
      </w:pPr>
      <w:r w:rsidRPr="007A1CC2">
        <w:rPr>
          <w:color w:val="FFFFFF"/>
          <w:sz w:val="28"/>
          <w:szCs w:val="28"/>
        </w:rPr>
        <w:t>недвижимость государственный муниципальный собственник</w:t>
      </w:r>
    </w:p>
    <w:p w:rsidR="00E60E57" w:rsidRPr="00E13F30" w:rsidRDefault="006B172B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F5A10" w:rsidRPr="00E13F30">
        <w:rPr>
          <w:rFonts w:ascii="Times New Roman" w:hAnsi="Times New Roman"/>
          <w:sz w:val="28"/>
          <w:szCs w:val="28"/>
        </w:rPr>
        <w:t>БИБЛИОГРАФИЧЕСКИЙ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="008F5A10" w:rsidRPr="00E13F30">
        <w:rPr>
          <w:rFonts w:ascii="Times New Roman" w:hAnsi="Times New Roman"/>
          <w:sz w:val="28"/>
          <w:szCs w:val="28"/>
        </w:rPr>
        <w:t>СПИСОК</w:t>
      </w:r>
    </w:p>
    <w:p w:rsidR="008F5A10" w:rsidRPr="00E13F30" w:rsidRDefault="008F5A10" w:rsidP="00E13F3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345E" w:rsidRPr="00E13F30" w:rsidRDefault="009A345E" w:rsidP="006B172B">
      <w:pPr>
        <w:widowControl w:val="0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Артабаева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Л.С.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Некоторые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особенности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предприятия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имущественного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комплекса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//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Адвокат.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2009.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№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4.-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С.12-17.</w:t>
      </w:r>
    </w:p>
    <w:p w:rsidR="008F5A10" w:rsidRPr="00E13F30" w:rsidRDefault="008F5A10" w:rsidP="006B172B">
      <w:pPr>
        <w:widowControl w:val="0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Бандурин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В.В.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федеральной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собственностью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условиях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переходной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экономики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/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В.В.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Бандурин,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В.Ю.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Кузнецов.-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М.: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Наука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экономика,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1999.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337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с.</w:t>
      </w:r>
    </w:p>
    <w:p w:rsidR="009A345E" w:rsidRPr="00E13F30" w:rsidRDefault="009A345E" w:rsidP="006B172B">
      <w:pPr>
        <w:widowControl w:val="0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Дикусар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В.М.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Недвижимое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имущество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как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объект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гражданских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//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Жилищное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2009.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№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1.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С.7-11.</w:t>
      </w:r>
    </w:p>
    <w:p w:rsidR="008F5A10" w:rsidRPr="00E13F30" w:rsidRDefault="008F5A10" w:rsidP="006B172B">
      <w:pPr>
        <w:widowControl w:val="0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F30">
        <w:rPr>
          <w:rStyle w:val="aa"/>
          <w:rFonts w:ascii="Times New Roman" w:hAnsi="Times New Roman"/>
          <w:i w:val="0"/>
          <w:sz w:val="28"/>
          <w:szCs w:val="28"/>
        </w:rPr>
        <w:t>Кошкин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В.И.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Style w:val="aa"/>
          <w:rFonts w:ascii="Times New Roman" w:hAnsi="Times New Roman"/>
          <w:i w:val="0"/>
          <w:sz w:val="28"/>
          <w:szCs w:val="28"/>
        </w:rPr>
        <w:t>Управление</w:t>
      </w:r>
      <w:r w:rsidR="00E13F3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13F30">
        <w:rPr>
          <w:rStyle w:val="aa"/>
          <w:rFonts w:ascii="Times New Roman" w:hAnsi="Times New Roman"/>
          <w:i w:val="0"/>
          <w:sz w:val="28"/>
          <w:szCs w:val="28"/>
        </w:rPr>
        <w:t>государственной</w:t>
      </w:r>
      <w:r w:rsidR="00E13F3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13F30">
        <w:rPr>
          <w:rStyle w:val="aa"/>
          <w:rFonts w:ascii="Times New Roman" w:hAnsi="Times New Roman"/>
          <w:i w:val="0"/>
          <w:sz w:val="28"/>
          <w:szCs w:val="28"/>
        </w:rPr>
        <w:t>собственностью</w:t>
      </w:r>
      <w:r w:rsidR="00E13F3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13F30">
        <w:rPr>
          <w:rStyle w:val="aa"/>
          <w:rFonts w:ascii="Times New Roman" w:hAnsi="Times New Roman"/>
          <w:i w:val="0"/>
          <w:sz w:val="28"/>
          <w:szCs w:val="28"/>
        </w:rPr>
        <w:t>/</w:t>
      </w:r>
      <w:r w:rsidR="00E13F3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13F30">
        <w:rPr>
          <w:rStyle w:val="aa"/>
          <w:rFonts w:ascii="Times New Roman" w:hAnsi="Times New Roman"/>
          <w:i w:val="0"/>
          <w:sz w:val="28"/>
          <w:szCs w:val="28"/>
        </w:rPr>
        <w:t>В.И.Кошкин.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М.: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ЭКМОС,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2002.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664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с.</w:t>
      </w:r>
    </w:p>
    <w:p w:rsidR="002319DD" w:rsidRPr="00E13F30" w:rsidRDefault="002319DD" w:rsidP="006B172B">
      <w:pPr>
        <w:widowControl w:val="0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Лихачев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Г.Д.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Гражданское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/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Г.Д.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Лихачев.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М.: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Юстицинформ,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2005.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498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с.</w:t>
      </w:r>
    </w:p>
    <w:p w:rsidR="008F5A10" w:rsidRPr="00E13F30" w:rsidRDefault="008F5A10" w:rsidP="006B172B">
      <w:pPr>
        <w:widowControl w:val="0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Половинкин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П.Д.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Основы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собственностью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/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П.Д.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Половинкин,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А.В.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Савченко.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М.: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Экономика,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2000.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421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с.</w:t>
      </w:r>
    </w:p>
    <w:p w:rsidR="00086B14" w:rsidRPr="00E13F30" w:rsidRDefault="00086B14" w:rsidP="006B172B">
      <w:pPr>
        <w:widowControl w:val="0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Сумской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Д.А.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Статус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юридических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лиц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/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Д.А.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Сумской.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М.: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Юстицинформ,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2006.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341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с.</w:t>
      </w:r>
    </w:p>
    <w:p w:rsidR="008F5A10" w:rsidRPr="00E13F30" w:rsidRDefault="008F5A10" w:rsidP="006B172B">
      <w:pPr>
        <w:widowControl w:val="0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Талапина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Э.В.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Управление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государственной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собственностью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/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Э.В.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Талапина.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СПб.: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Юридический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центр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Пресс,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2002.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376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с.</w:t>
      </w:r>
    </w:p>
    <w:p w:rsidR="004041C3" w:rsidRPr="00E13F30" w:rsidRDefault="004041C3" w:rsidP="006B172B">
      <w:pPr>
        <w:widowControl w:val="0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Черковец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В.Н.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Государственная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собственность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экономике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России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других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стран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/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Черковца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В.Н.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М.: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ТЕИС,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2002.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263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с.</w:t>
      </w:r>
    </w:p>
    <w:p w:rsidR="00086B14" w:rsidRPr="00E13F30" w:rsidRDefault="00086B14" w:rsidP="006B172B">
      <w:pPr>
        <w:widowControl w:val="0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F30">
        <w:rPr>
          <w:rFonts w:ascii="Times New Roman" w:hAnsi="Times New Roman"/>
          <w:sz w:val="28"/>
          <w:szCs w:val="28"/>
        </w:rPr>
        <w:t>Шиткина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И.С.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Корпоративное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право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И.С.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Шиткина.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М.: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Волтерс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Клувер.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-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2008.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–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387</w:t>
      </w:r>
      <w:r w:rsidR="00E13F30">
        <w:rPr>
          <w:rFonts w:ascii="Times New Roman" w:hAnsi="Times New Roman"/>
          <w:sz w:val="28"/>
          <w:szCs w:val="28"/>
        </w:rPr>
        <w:t xml:space="preserve"> </w:t>
      </w:r>
      <w:r w:rsidRPr="00E13F30">
        <w:rPr>
          <w:rFonts w:ascii="Times New Roman" w:hAnsi="Times New Roman"/>
          <w:sz w:val="28"/>
          <w:szCs w:val="28"/>
        </w:rPr>
        <w:t>с.</w:t>
      </w:r>
    </w:p>
    <w:p w:rsidR="008F5A10" w:rsidRPr="007A1CC2" w:rsidRDefault="008F5A10" w:rsidP="006B172B">
      <w:pPr>
        <w:widowControl w:val="0"/>
        <w:tabs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2" w:name="_GoBack"/>
      <w:bookmarkEnd w:id="2"/>
    </w:p>
    <w:sectPr w:rsidR="008F5A10" w:rsidRPr="007A1CC2" w:rsidSect="00E13F30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CC2" w:rsidRDefault="007A1CC2" w:rsidP="00227029">
      <w:pPr>
        <w:spacing w:after="0" w:line="240" w:lineRule="auto"/>
      </w:pPr>
      <w:r>
        <w:separator/>
      </w:r>
    </w:p>
  </w:endnote>
  <w:endnote w:type="continuationSeparator" w:id="0">
    <w:p w:rsidR="007A1CC2" w:rsidRDefault="007A1CC2" w:rsidP="0022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CC2" w:rsidRDefault="007A1CC2" w:rsidP="00227029">
      <w:pPr>
        <w:spacing w:after="0" w:line="240" w:lineRule="auto"/>
      </w:pPr>
      <w:r>
        <w:separator/>
      </w:r>
    </w:p>
  </w:footnote>
  <w:footnote w:type="continuationSeparator" w:id="0">
    <w:p w:rsidR="007A1CC2" w:rsidRDefault="007A1CC2" w:rsidP="00227029">
      <w:pPr>
        <w:spacing w:after="0" w:line="240" w:lineRule="auto"/>
      </w:pPr>
      <w:r>
        <w:continuationSeparator/>
      </w:r>
    </w:p>
  </w:footnote>
  <w:footnote w:id="1">
    <w:p w:rsidR="007A1CC2" w:rsidRDefault="00E13F30" w:rsidP="009A345E">
      <w:pPr>
        <w:pStyle w:val="ae"/>
      </w:pPr>
      <w:r w:rsidRPr="009A345E">
        <w:rPr>
          <w:rStyle w:val="ad"/>
          <w:rFonts w:ascii="Times New Roman" w:hAnsi="Times New Roman"/>
        </w:rPr>
        <w:footnoteRef/>
      </w:r>
      <w:r w:rsidRPr="009A345E">
        <w:rPr>
          <w:rFonts w:ascii="Times New Roman" w:hAnsi="Times New Roman" w:cs="Times New Roman"/>
        </w:rPr>
        <w:t xml:space="preserve"> Дикусар В.М. Недвижимое имущество как объект гражданских прав // Жилищное право. – 2009. - № 1. – С.7-11.</w:t>
      </w:r>
    </w:p>
  </w:footnote>
  <w:footnote w:id="2">
    <w:p w:rsidR="007A1CC2" w:rsidRDefault="00E13F30" w:rsidP="009A345E">
      <w:pPr>
        <w:pStyle w:val="af"/>
        <w:ind w:left="139"/>
        <w:jc w:val="both"/>
      </w:pPr>
      <w:r>
        <w:rPr>
          <w:rStyle w:val="ad"/>
          <w:rFonts w:cs="Arial"/>
        </w:rPr>
        <w:footnoteRef/>
      </w:r>
      <w:r>
        <w:t xml:space="preserve"> </w:t>
      </w:r>
      <w:r w:rsidRPr="009A345E">
        <w:rPr>
          <w:rFonts w:ascii="Times New Roman" w:hAnsi="Times New Roman" w:cs="Times New Roman"/>
        </w:rPr>
        <w:t>Артабаева Л.С. Некоторые особенности предприятия как имущественного комплекса // Адвокат. – 2009. - № 4.- С.12-17.</w:t>
      </w:r>
    </w:p>
  </w:footnote>
  <w:footnote w:id="3">
    <w:p w:rsidR="007A1CC2" w:rsidRDefault="00E13F30" w:rsidP="00086B14">
      <w:pPr>
        <w:pStyle w:val="af"/>
        <w:ind w:left="139"/>
        <w:jc w:val="both"/>
      </w:pPr>
      <w:r w:rsidRPr="00086B14">
        <w:rPr>
          <w:rStyle w:val="ad"/>
          <w:rFonts w:ascii="Times New Roman" w:hAnsi="Times New Roman"/>
        </w:rPr>
        <w:footnoteRef/>
      </w:r>
      <w:r w:rsidRPr="00086B14">
        <w:rPr>
          <w:rFonts w:ascii="Times New Roman" w:hAnsi="Times New Roman" w:cs="Times New Roman"/>
        </w:rPr>
        <w:t xml:space="preserve"> Сумской Д.А. Статус юридических лиц / Д.А. Сумской. – М.: Юстицинформ, 2006. – 341 с.</w:t>
      </w:r>
    </w:p>
  </w:footnote>
  <w:footnote w:id="4">
    <w:p w:rsidR="007A1CC2" w:rsidRDefault="00E13F30" w:rsidP="00086B14">
      <w:pPr>
        <w:pStyle w:val="af"/>
        <w:ind w:left="139"/>
        <w:jc w:val="both"/>
      </w:pPr>
      <w:r>
        <w:rPr>
          <w:rStyle w:val="ad"/>
          <w:rFonts w:cs="Arial"/>
        </w:rPr>
        <w:footnoteRef/>
      </w:r>
      <w:r>
        <w:t xml:space="preserve"> </w:t>
      </w:r>
      <w:r w:rsidRPr="00086B14">
        <w:rPr>
          <w:rFonts w:ascii="Times New Roman" w:hAnsi="Times New Roman" w:cs="Times New Roman"/>
        </w:rPr>
        <w:t>Шиткина И.С. Корпоративное право // И.С. Шиткина. - М.: Волтерс Клувер. - 2008. – 387 с.</w:t>
      </w:r>
    </w:p>
  </w:footnote>
  <w:footnote w:id="5">
    <w:p w:rsidR="007A1CC2" w:rsidRDefault="00E13F30" w:rsidP="002319DD">
      <w:pPr>
        <w:pStyle w:val="af"/>
        <w:ind w:left="139"/>
        <w:jc w:val="both"/>
      </w:pPr>
      <w:r>
        <w:rPr>
          <w:rStyle w:val="ad"/>
          <w:rFonts w:cs="Arial"/>
        </w:rPr>
        <w:footnoteRef/>
      </w:r>
      <w:r>
        <w:t xml:space="preserve"> </w:t>
      </w:r>
      <w:r w:rsidRPr="002319DD">
        <w:rPr>
          <w:rFonts w:ascii="Times New Roman" w:hAnsi="Times New Roman" w:cs="Times New Roman"/>
        </w:rPr>
        <w:t>Лихачев Г.Д. Гражданское право / Г.Д. Лихачев. – М.: Юстицинформ, 2005. – 498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30" w:rsidRPr="00E13F30" w:rsidRDefault="00E13F30" w:rsidP="00E13F30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30" w:rsidRPr="00E13F30" w:rsidRDefault="00E13F30" w:rsidP="00E13F30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123E"/>
    <w:multiLevelType w:val="multilevel"/>
    <w:tmpl w:val="058C25D8"/>
    <w:lvl w:ilvl="0">
      <w:start w:val="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7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8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cs="Times New Roman" w:hint="default"/>
      </w:rPr>
    </w:lvl>
  </w:abstractNum>
  <w:abstractNum w:abstractNumId="1">
    <w:nsid w:val="150E6429"/>
    <w:multiLevelType w:val="hybridMultilevel"/>
    <w:tmpl w:val="38C099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41C497E"/>
    <w:multiLevelType w:val="hybridMultilevel"/>
    <w:tmpl w:val="32E2900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4286FE8"/>
    <w:multiLevelType w:val="hybridMultilevel"/>
    <w:tmpl w:val="C7FEE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9725C7"/>
    <w:multiLevelType w:val="multilevel"/>
    <w:tmpl w:val="F81E263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FBE"/>
    <w:rsid w:val="0005157B"/>
    <w:rsid w:val="00086062"/>
    <w:rsid w:val="00086B14"/>
    <w:rsid w:val="000D024D"/>
    <w:rsid w:val="00171B0D"/>
    <w:rsid w:val="00227029"/>
    <w:rsid w:val="002319DD"/>
    <w:rsid w:val="00244F99"/>
    <w:rsid w:val="004025C9"/>
    <w:rsid w:val="004041C3"/>
    <w:rsid w:val="005405A8"/>
    <w:rsid w:val="00665018"/>
    <w:rsid w:val="006B172B"/>
    <w:rsid w:val="006E4E07"/>
    <w:rsid w:val="007A1CC2"/>
    <w:rsid w:val="00813B7D"/>
    <w:rsid w:val="008605B2"/>
    <w:rsid w:val="008A6A7B"/>
    <w:rsid w:val="008F5A10"/>
    <w:rsid w:val="009A345E"/>
    <w:rsid w:val="00A02AA3"/>
    <w:rsid w:val="00A41FBE"/>
    <w:rsid w:val="00A94482"/>
    <w:rsid w:val="00AE7048"/>
    <w:rsid w:val="00B35F07"/>
    <w:rsid w:val="00B41647"/>
    <w:rsid w:val="00BF0ABD"/>
    <w:rsid w:val="00C039CD"/>
    <w:rsid w:val="00C04234"/>
    <w:rsid w:val="00C216DD"/>
    <w:rsid w:val="00C53C16"/>
    <w:rsid w:val="00CC1418"/>
    <w:rsid w:val="00CF30C7"/>
    <w:rsid w:val="00D33C9B"/>
    <w:rsid w:val="00D7159A"/>
    <w:rsid w:val="00DA28D6"/>
    <w:rsid w:val="00E06259"/>
    <w:rsid w:val="00E13F30"/>
    <w:rsid w:val="00E60E57"/>
    <w:rsid w:val="00F0529D"/>
    <w:rsid w:val="00F31FF5"/>
    <w:rsid w:val="00F706A4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E7AFD1-563B-471B-9E99-230ACE0A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F30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30C7"/>
    <w:rPr>
      <w:rFonts w:ascii="Arial" w:eastAsia="Times New Roman" w:hAnsi="Arial" w:cs="Arial"/>
      <w:b/>
      <w:bCs/>
      <w:color w:val="000080"/>
      <w:sz w:val="26"/>
      <w:szCs w:val="26"/>
    </w:rPr>
  </w:style>
  <w:style w:type="paragraph" w:styleId="a3">
    <w:name w:val="List Paragraph"/>
    <w:basedOn w:val="a"/>
    <w:uiPriority w:val="34"/>
    <w:qFormat/>
    <w:rsid w:val="008605B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22702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2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27029"/>
    <w:rPr>
      <w:rFonts w:cs="Times New Roman"/>
    </w:rPr>
  </w:style>
  <w:style w:type="paragraph" w:styleId="a8">
    <w:name w:val="Title"/>
    <w:basedOn w:val="a"/>
    <w:link w:val="a9"/>
    <w:uiPriority w:val="10"/>
    <w:qFormat/>
    <w:rsid w:val="00CF30C7"/>
    <w:pPr>
      <w:spacing w:after="0" w:line="240" w:lineRule="auto"/>
      <w:jc w:val="center"/>
    </w:pPr>
    <w:rPr>
      <w:rFonts w:ascii="Times New Roman" w:hAnsi="Times New Roman"/>
      <w:sz w:val="32"/>
      <w:szCs w:val="24"/>
      <w:lang w:eastAsia="ru-RU"/>
    </w:rPr>
  </w:style>
  <w:style w:type="character" w:customStyle="1" w:styleId="a9">
    <w:name w:val="Название Знак"/>
    <w:link w:val="a8"/>
    <w:uiPriority w:val="10"/>
    <w:locked/>
    <w:rsid w:val="00CF30C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Стиль1"/>
    <w:basedOn w:val="a"/>
    <w:rsid w:val="00E60E57"/>
    <w:pPr>
      <w:spacing w:after="0" w:line="24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paragraph" w:customStyle="1" w:styleId="bodytxt">
    <w:name w:val="bodytxt"/>
    <w:basedOn w:val="a"/>
    <w:rsid w:val="00AE7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8F5A10"/>
    <w:rPr>
      <w:rFonts w:cs="Times New Roman"/>
      <w:i/>
      <w:iCs/>
    </w:rPr>
  </w:style>
  <w:style w:type="paragraph" w:styleId="ab">
    <w:name w:val="footnote text"/>
    <w:basedOn w:val="a"/>
    <w:link w:val="ac"/>
    <w:uiPriority w:val="99"/>
    <w:semiHidden/>
    <w:unhideWhenUsed/>
    <w:rsid w:val="009A345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9A345E"/>
    <w:rPr>
      <w:rFonts w:cs="Times New Roman"/>
      <w:lang w:val="x-none" w:eastAsia="en-US"/>
    </w:rPr>
  </w:style>
  <w:style w:type="character" w:styleId="ad">
    <w:name w:val="footnote reference"/>
    <w:uiPriority w:val="99"/>
    <w:semiHidden/>
    <w:unhideWhenUsed/>
    <w:rsid w:val="009A345E"/>
    <w:rPr>
      <w:rFonts w:cs="Times New Roman"/>
      <w:vertAlign w:val="superscript"/>
    </w:rPr>
  </w:style>
  <w:style w:type="paragraph" w:customStyle="1" w:styleId="ae">
    <w:name w:val="Текст (справка)"/>
    <w:basedOn w:val="a"/>
    <w:next w:val="a"/>
    <w:uiPriority w:val="99"/>
    <w:rsid w:val="009A345E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A3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1E38-F80E-4402-B3FD-021CF66A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5694</Words>
  <Characters>32459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2014-03-26T08:32:00Z</dcterms:created>
  <dcterms:modified xsi:type="dcterms:W3CDTF">2014-03-26T08:32:00Z</dcterms:modified>
</cp:coreProperties>
</file>