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62" w:rsidRPr="00856983" w:rsidRDefault="00312362" w:rsidP="00C21A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6983">
        <w:rPr>
          <w:b/>
          <w:bCs/>
          <w:sz w:val="28"/>
          <w:szCs w:val="28"/>
        </w:rPr>
        <w:t>Содержание</w:t>
      </w:r>
    </w:p>
    <w:p w:rsidR="00312362" w:rsidRPr="00856983" w:rsidRDefault="00312362" w:rsidP="00C21AE4">
      <w:pPr>
        <w:spacing w:line="360" w:lineRule="auto"/>
        <w:ind w:firstLine="709"/>
        <w:jc w:val="both"/>
        <w:rPr>
          <w:sz w:val="28"/>
          <w:szCs w:val="28"/>
        </w:rPr>
      </w:pPr>
    </w:p>
    <w:p w:rsidR="00312362" w:rsidRPr="00856983" w:rsidRDefault="00312362" w:rsidP="00E24A03">
      <w:pPr>
        <w:spacing w:line="360" w:lineRule="auto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1. Экономическое содержание и функции бюджета государства</w:t>
      </w:r>
    </w:p>
    <w:p w:rsidR="00312362" w:rsidRPr="00856983" w:rsidRDefault="00FF2DB9" w:rsidP="00E24A03">
      <w:pPr>
        <w:spacing w:line="360" w:lineRule="auto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2. Аналитическая часть</w:t>
      </w:r>
    </w:p>
    <w:p w:rsidR="00312362" w:rsidRPr="00856983" w:rsidRDefault="00EA1249" w:rsidP="00E24A03">
      <w:pPr>
        <w:spacing w:line="360" w:lineRule="auto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Список используемой литературы</w:t>
      </w:r>
    </w:p>
    <w:p w:rsidR="00312362" w:rsidRPr="00856983" w:rsidRDefault="00E24A03" w:rsidP="00C21A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6983">
        <w:rPr>
          <w:sz w:val="28"/>
          <w:szCs w:val="28"/>
        </w:rPr>
        <w:br w:type="page"/>
      </w:r>
      <w:r w:rsidR="00312362" w:rsidRPr="00856983">
        <w:rPr>
          <w:b/>
          <w:bCs/>
          <w:sz w:val="28"/>
          <w:szCs w:val="28"/>
        </w:rPr>
        <w:t>1. Экономическое содержание и функции бюджета государства</w:t>
      </w:r>
    </w:p>
    <w:p w:rsidR="00312362" w:rsidRPr="00856983" w:rsidRDefault="00312362" w:rsidP="00C21AE4">
      <w:pPr>
        <w:spacing w:line="360" w:lineRule="auto"/>
        <w:ind w:firstLine="709"/>
        <w:jc w:val="both"/>
        <w:rPr>
          <w:sz w:val="28"/>
          <w:szCs w:val="28"/>
        </w:rPr>
      </w:pPr>
    </w:p>
    <w:p w:rsidR="00985B7F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В формировании и развитии экономической и социальной структуры общества большую роль играет государственное регулирование, осуществляемое в рамках принятой на каждом историческом этапе политики. Одним из механизмов, позволяющих государству проводить экономическую и социальную политику, является финансовая система общества и входящий в ее состав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государственный бюджет. Именно через государственный бюджет производится направленное воздействие на образование и использование централизо</w:t>
      </w:r>
      <w:r w:rsidR="00606455" w:rsidRPr="00856983">
        <w:rPr>
          <w:sz w:val="28"/>
          <w:szCs w:val="28"/>
        </w:rPr>
        <w:t>ванных и децентрализованных фон</w:t>
      </w:r>
      <w:r w:rsidRPr="00856983">
        <w:rPr>
          <w:sz w:val="28"/>
          <w:szCs w:val="28"/>
        </w:rPr>
        <w:t>дов денежных средств.</w:t>
      </w:r>
      <w:r w:rsidR="00985B7F" w:rsidRPr="00856983">
        <w:rPr>
          <w:sz w:val="28"/>
          <w:szCs w:val="28"/>
        </w:rPr>
        <w:t xml:space="preserve"> Основу финансовой базы государственного регулирования рыночной экономики составляет бюджет, состоящий из бюджета центрального правительства и бюджетов местных органов власти всех уровней. Государственный бюджет - это счетный план государства, позволяющий контролировать поступление доходов в форме налоговых и неналоговых платежей и займов, с одной стороны, и процесс использования бюджетных ресурсов согласно бюджетной росписи расходов - с другой. Роспись государственных доходов и расходов делается на определенный срок и утверждается в законодательном порядке.</w:t>
      </w:r>
    </w:p>
    <w:p w:rsidR="00985B7F" w:rsidRPr="00856983" w:rsidRDefault="00985B7F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Смысловым содержанием бюджета являются налоги и займы. Именно они определяют состояние бюджета, от них зависит объем доходов государства, концентрируемый в бюджете. Налоги и займы, в свою очередь, предопределены законами воспроизводства, т.е. размеры налоговых поступлений и займов зависят от качественных и количественных параметров совокупного дохода общества. Без доходных источников нет бюджета, тогда как потребности в самих этих источниках существуют всегда. Данные потребности удовлетворяются через налоги, а при их недостаточности - через займы. Поэтому государственный бюджет представляет собой крупнейший централизованный денежный фонд, аккумулируемый с помощью перераспределения национального дохода и расходуемый государством для осуществления своих функций.</w:t>
      </w:r>
    </w:p>
    <w:p w:rsidR="00985B7F" w:rsidRPr="00856983" w:rsidRDefault="00985B7F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Таким образом, все экономические проблемы в бюджете предопределены проблемами доходных источников, т.е. состоянием налоговых и кредитных отношений, которые зависят от производства и обмена и имеют объективную экономическую природу. Это значит, что, во-первых, любые кризисные процессы бюджета связаны с кризисом производства и обращения, во-вторых, важнейшим вопросом является правовое оформление бюджетно-налоговых отношений как единого системного комплекса. В государственном бюджете органически увязаны все основные финансовые операции доходов и расходов. Внешне самостоятельные, в бюджете они получают единую направленность, находящую отражение в проводимой государством политике.</w:t>
      </w:r>
    </w:p>
    <w:p w:rsidR="00985B7F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Бюджет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  <w:r w:rsidR="00985B7F" w:rsidRPr="00856983">
        <w:rPr>
          <w:sz w:val="28"/>
          <w:szCs w:val="28"/>
        </w:rPr>
        <w:t xml:space="preserve"> </w:t>
      </w:r>
      <w:r w:rsidR="002E10EC" w:rsidRPr="00856983">
        <w:rPr>
          <w:sz w:val="28"/>
          <w:szCs w:val="28"/>
        </w:rPr>
        <w:t xml:space="preserve">В бюджете ежегодно централизуется часть денежных доходов предприятий и населения. Аккумулированные средства распределяются и используются на финансирование затрат по осуществлению функций государства. За счет бюджетных средств удовлетворяются общегосударственные потребности, финансируются отдельные сферы деятельности </w:t>
      </w:r>
      <w:r w:rsidR="00D70DE3" w:rsidRPr="00856983">
        <w:rPr>
          <w:sz w:val="28"/>
          <w:szCs w:val="28"/>
        </w:rPr>
        <w:t>-</w:t>
      </w:r>
      <w:r w:rsidR="002E10EC" w:rsidRPr="00856983">
        <w:rPr>
          <w:sz w:val="28"/>
          <w:szCs w:val="28"/>
        </w:rPr>
        <w:t xml:space="preserve"> оборона, управление, охрана общественного порядка и безопасность государства, фундаментальная науками др. Кроме того, за счет бюджета удовлетворяются и коллективные потребности путем финансирования затрат на образование, здравоохранение культуру и искусство.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С помощью государственн</w:t>
      </w:r>
      <w:r w:rsidR="00606455" w:rsidRPr="00856983">
        <w:rPr>
          <w:sz w:val="28"/>
          <w:szCs w:val="28"/>
        </w:rPr>
        <w:t>ого бюджета государственные вла</w:t>
      </w:r>
      <w:r w:rsidRPr="00856983">
        <w:rPr>
          <w:sz w:val="28"/>
          <w:szCs w:val="28"/>
        </w:rPr>
        <w:t>сти получают финансовые ресурсы для содержания государс</w:t>
      </w:r>
      <w:r w:rsidR="00606455" w:rsidRPr="00856983">
        <w:rPr>
          <w:sz w:val="28"/>
          <w:szCs w:val="28"/>
        </w:rPr>
        <w:t>т</w:t>
      </w:r>
      <w:r w:rsidRPr="00856983">
        <w:rPr>
          <w:sz w:val="28"/>
          <w:szCs w:val="28"/>
        </w:rPr>
        <w:t>венного аппарата, армии, ос</w:t>
      </w:r>
      <w:r w:rsidR="00606455" w:rsidRPr="00856983">
        <w:rPr>
          <w:sz w:val="28"/>
          <w:szCs w:val="28"/>
        </w:rPr>
        <w:t>уществления социальных мероприя</w:t>
      </w:r>
      <w:r w:rsidRPr="00856983">
        <w:rPr>
          <w:sz w:val="28"/>
          <w:szCs w:val="28"/>
        </w:rPr>
        <w:t>тий, реализации экономических</w:t>
      </w:r>
      <w:r w:rsidR="00606455" w:rsidRPr="00856983">
        <w:rPr>
          <w:sz w:val="28"/>
          <w:szCs w:val="28"/>
        </w:rPr>
        <w:t xml:space="preserve"> задач, т.е. для выполнения го</w:t>
      </w:r>
      <w:r w:rsidRPr="00856983">
        <w:rPr>
          <w:sz w:val="28"/>
          <w:szCs w:val="28"/>
        </w:rPr>
        <w:t>сударством возложенных на него функций.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Государственный бюджет, являясь основным финансовым планом государства, дает органам власти ре</w:t>
      </w:r>
      <w:r w:rsidR="00606455" w:rsidRPr="00856983">
        <w:rPr>
          <w:sz w:val="28"/>
          <w:szCs w:val="28"/>
        </w:rPr>
        <w:t>альную экономиче</w:t>
      </w:r>
      <w:r w:rsidRPr="00856983">
        <w:rPr>
          <w:sz w:val="28"/>
          <w:szCs w:val="28"/>
        </w:rPr>
        <w:t>скую возможность осущест</w:t>
      </w:r>
      <w:r w:rsidR="00606455" w:rsidRPr="00856983">
        <w:rPr>
          <w:sz w:val="28"/>
          <w:szCs w:val="28"/>
        </w:rPr>
        <w:t>вления властных полномочий. Бюд</w:t>
      </w:r>
      <w:r w:rsidRPr="00856983">
        <w:rPr>
          <w:sz w:val="28"/>
          <w:szCs w:val="28"/>
        </w:rPr>
        <w:t>жет отражает размеры необходимых государству финансовых ресурсов и определяет тем самым налоговую политику в стране.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Бюджет фиксирует конкретные направления расходования средств, перераспределение</w:t>
      </w:r>
      <w:r w:rsidR="00606455" w:rsidRPr="00856983">
        <w:rPr>
          <w:sz w:val="28"/>
          <w:szCs w:val="28"/>
        </w:rPr>
        <w:t xml:space="preserve"> национального дохода и внутрен</w:t>
      </w:r>
      <w:r w:rsidRPr="00856983">
        <w:rPr>
          <w:sz w:val="28"/>
          <w:szCs w:val="28"/>
        </w:rPr>
        <w:t>него валового продукта, что позволяет ему выступать в качестве эффективного регулятора экономики.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В то же время бюджет пра</w:t>
      </w:r>
      <w:r w:rsidR="00606455" w:rsidRPr="00856983">
        <w:rPr>
          <w:sz w:val="28"/>
          <w:szCs w:val="28"/>
        </w:rPr>
        <w:t>вомерно рассматривать как эконо</w:t>
      </w:r>
      <w:r w:rsidRPr="00856983">
        <w:rPr>
          <w:sz w:val="28"/>
          <w:szCs w:val="28"/>
        </w:rPr>
        <w:t>мическую категорию, которая выражает определенные экономические отношения.</w:t>
      </w:r>
    </w:p>
    <w:p w:rsidR="006A0203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Бюджет </w:t>
      </w:r>
      <w:r w:rsidR="00985B7F" w:rsidRPr="00856983">
        <w:rPr>
          <w:sz w:val="28"/>
          <w:szCs w:val="28"/>
        </w:rPr>
        <w:t>-</w:t>
      </w:r>
      <w:r w:rsidR="00606455" w:rsidRPr="00856983">
        <w:rPr>
          <w:sz w:val="28"/>
          <w:szCs w:val="28"/>
        </w:rPr>
        <w:t xml:space="preserve"> категория свойственная различ</w:t>
      </w:r>
      <w:r w:rsidRPr="00856983">
        <w:rPr>
          <w:sz w:val="28"/>
          <w:szCs w:val="28"/>
        </w:rPr>
        <w:t>ным отношениям. Его возник</w:t>
      </w:r>
      <w:r w:rsidR="00606455" w:rsidRPr="00856983">
        <w:rPr>
          <w:sz w:val="28"/>
          <w:szCs w:val="28"/>
        </w:rPr>
        <w:t>новение и развитие связано с за</w:t>
      </w:r>
      <w:r w:rsidRPr="00856983">
        <w:rPr>
          <w:sz w:val="28"/>
          <w:szCs w:val="28"/>
        </w:rPr>
        <w:t xml:space="preserve">рождением и формированием </w:t>
      </w:r>
      <w:r w:rsidR="00606455" w:rsidRPr="00856983">
        <w:rPr>
          <w:sz w:val="28"/>
          <w:szCs w:val="28"/>
        </w:rPr>
        <w:t>государства. Государство исполь</w:t>
      </w:r>
      <w:r w:rsidRPr="00856983">
        <w:rPr>
          <w:sz w:val="28"/>
          <w:szCs w:val="28"/>
        </w:rPr>
        <w:t>зует бюджет в качестве одног</w:t>
      </w:r>
      <w:r w:rsidR="00606455" w:rsidRPr="00856983">
        <w:rPr>
          <w:sz w:val="28"/>
          <w:szCs w:val="28"/>
        </w:rPr>
        <w:t>о из основных инструментов обес</w:t>
      </w:r>
      <w:r w:rsidRPr="00856983">
        <w:rPr>
          <w:sz w:val="28"/>
          <w:szCs w:val="28"/>
        </w:rPr>
        <w:t>печения как непосредственн</w:t>
      </w:r>
      <w:r w:rsidR="00606455" w:rsidRPr="00856983">
        <w:rPr>
          <w:sz w:val="28"/>
          <w:szCs w:val="28"/>
        </w:rPr>
        <w:t>о своей деятельности, так и важ</w:t>
      </w:r>
      <w:r w:rsidRPr="00856983">
        <w:rPr>
          <w:sz w:val="28"/>
          <w:szCs w:val="28"/>
        </w:rPr>
        <w:t>нейшего элемента проведени</w:t>
      </w:r>
      <w:r w:rsidR="00606455" w:rsidRPr="00856983">
        <w:rPr>
          <w:sz w:val="28"/>
          <w:szCs w:val="28"/>
        </w:rPr>
        <w:t>я экономической и социальной по</w:t>
      </w:r>
      <w:r w:rsidRPr="00856983">
        <w:rPr>
          <w:sz w:val="28"/>
          <w:szCs w:val="28"/>
        </w:rPr>
        <w:t>литики.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Как экономическая кат</w:t>
      </w:r>
      <w:r w:rsidR="00606455" w:rsidRPr="00856983">
        <w:rPr>
          <w:sz w:val="28"/>
          <w:szCs w:val="28"/>
        </w:rPr>
        <w:t>егория бюджетные отношения явля</w:t>
      </w:r>
      <w:r w:rsidRPr="00856983">
        <w:rPr>
          <w:sz w:val="28"/>
          <w:szCs w:val="28"/>
        </w:rPr>
        <w:t>ются составной частью финансовых отношений, следовательно, им присуща денежная форма и основные функции финансов.</w:t>
      </w:r>
    </w:p>
    <w:p w:rsidR="001F74A9" w:rsidRPr="00856983" w:rsidRDefault="001F74A9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Существуют два метода формирования и использования бюджетных средств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собственно бюджетный и кредитный. Суть бюджетного метода состоит в том, что изъятие части денежных доходов предприятий и населения, с одной стороны, и предоставление финансовых ресурсов для расходования носят безвозмездный характер. Благодаря бюджетному методу аккумулируется и расходуется значительная часть бюджета. Другая часть бюджета формируется и используется на кредитной основе: поступления в форме внутренних займов, иностранных кредитов и расходы в форме бюджетных ссуд, кредитов иностранным государствам.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Бюджет РФ как финансовый план государства базируется на показателях прогноза социально-экономического развития страны на очередной год. Общие показатели и структура доходов и расходов органически связаны с объемами общественного продукта и национального дохода и определяются налоговой системой и бюджетно-финансовой политикой государства.</w:t>
      </w:r>
    </w:p>
    <w:p w:rsidR="006A0203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Бюджет выполняет следующие задачи:</w:t>
      </w:r>
    </w:p>
    <w:p w:rsidR="006A0203" w:rsidRPr="00856983" w:rsidRDefault="00606455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</w:t>
      </w:r>
      <w:r w:rsidR="006A0203" w:rsidRPr="00856983">
        <w:rPr>
          <w:sz w:val="28"/>
          <w:szCs w:val="28"/>
        </w:rPr>
        <w:t xml:space="preserve"> перераспределение ВВП;</w:t>
      </w:r>
    </w:p>
    <w:p w:rsidR="006A0203" w:rsidRPr="00856983" w:rsidRDefault="00606455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- </w:t>
      </w:r>
      <w:r w:rsidR="006A0203" w:rsidRPr="00856983">
        <w:rPr>
          <w:sz w:val="28"/>
          <w:szCs w:val="28"/>
        </w:rPr>
        <w:t>государственное регул</w:t>
      </w:r>
      <w:r w:rsidRPr="00856983">
        <w:rPr>
          <w:sz w:val="28"/>
          <w:szCs w:val="28"/>
        </w:rPr>
        <w:t>ирование и стимулирование эконо</w:t>
      </w:r>
      <w:r w:rsidR="006A0203" w:rsidRPr="00856983">
        <w:rPr>
          <w:sz w:val="28"/>
          <w:szCs w:val="28"/>
        </w:rPr>
        <w:t>мики;</w:t>
      </w:r>
    </w:p>
    <w:p w:rsidR="006A0203" w:rsidRPr="00856983" w:rsidRDefault="00606455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</w:t>
      </w:r>
      <w:r w:rsidR="006A0203" w:rsidRPr="00856983">
        <w:rPr>
          <w:sz w:val="28"/>
          <w:szCs w:val="28"/>
        </w:rPr>
        <w:t xml:space="preserve"> финансовое обеспеч</w:t>
      </w:r>
      <w:r w:rsidRPr="00856983">
        <w:rPr>
          <w:sz w:val="28"/>
          <w:szCs w:val="28"/>
        </w:rPr>
        <w:t>ение бюджетной сферы и осуществ</w:t>
      </w:r>
      <w:r w:rsidR="006A0203" w:rsidRPr="00856983">
        <w:rPr>
          <w:sz w:val="28"/>
          <w:szCs w:val="28"/>
        </w:rPr>
        <w:t>ления социальной политики государства;</w:t>
      </w:r>
    </w:p>
    <w:p w:rsidR="006A0203" w:rsidRPr="00856983" w:rsidRDefault="00606455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</w:t>
      </w:r>
      <w:r w:rsidR="006A0203" w:rsidRPr="00856983">
        <w:rPr>
          <w:sz w:val="28"/>
          <w:szCs w:val="28"/>
        </w:rPr>
        <w:t xml:space="preserve"> контроль за образован</w:t>
      </w:r>
      <w:r w:rsidRPr="00856983">
        <w:rPr>
          <w:sz w:val="28"/>
          <w:szCs w:val="28"/>
        </w:rPr>
        <w:t>ием и использованием централизо</w:t>
      </w:r>
      <w:r w:rsidR="006A0203" w:rsidRPr="00856983">
        <w:rPr>
          <w:sz w:val="28"/>
          <w:szCs w:val="28"/>
        </w:rPr>
        <w:t>ванных фондов денежных средств.</w:t>
      </w:r>
    </w:p>
    <w:p w:rsidR="006A0203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Распределительная функция бюджета </w:t>
      </w:r>
      <w:r w:rsidR="00606455" w:rsidRPr="00856983">
        <w:rPr>
          <w:sz w:val="28"/>
          <w:szCs w:val="28"/>
        </w:rPr>
        <w:t>проявляется через фор</w:t>
      </w:r>
      <w:r w:rsidRPr="00856983">
        <w:rPr>
          <w:sz w:val="28"/>
          <w:szCs w:val="28"/>
        </w:rPr>
        <w:t>мирование и использовани</w:t>
      </w:r>
      <w:r w:rsidR="00606455" w:rsidRPr="00856983">
        <w:rPr>
          <w:sz w:val="28"/>
          <w:szCs w:val="28"/>
        </w:rPr>
        <w:t>е централизованных фондов денеж</w:t>
      </w:r>
      <w:r w:rsidRPr="00856983">
        <w:rPr>
          <w:sz w:val="28"/>
          <w:szCs w:val="28"/>
        </w:rPr>
        <w:t>ных средств по уровням государственной и территориальной власти и управления. В развитых странах через бюджеты разных уровней перераспределяется до 50% ВВП. С помощью бюджета государство регулирует хозя</w:t>
      </w:r>
      <w:r w:rsidR="00606455" w:rsidRPr="00856983">
        <w:rPr>
          <w:sz w:val="28"/>
          <w:szCs w:val="28"/>
        </w:rPr>
        <w:t>йственную жизнь страны, экономи</w:t>
      </w:r>
      <w:r w:rsidRPr="00856983">
        <w:rPr>
          <w:sz w:val="28"/>
          <w:szCs w:val="28"/>
        </w:rPr>
        <w:t>ческие отношения, направляя бюджетные средства на поддержку или развитие отраслей, регионов. Регул</w:t>
      </w:r>
      <w:r w:rsidR="00606455" w:rsidRPr="00856983">
        <w:rPr>
          <w:sz w:val="28"/>
          <w:szCs w:val="28"/>
        </w:rPr>
        <w:t>ируя таким образом эко</w:t>
      </w:r>
      <w:r w:rsidRPr="00856983">
        <w:rPr>
          <w:sz w:val="28"/>
          <w:szCs w:val="28"/>
        </w:rPr>
        <w:t>номические отношения, государство способно целенаправленно усиливать или сдерживать темпы производства, ускорять или ослаблять рост капиталов и частных сбережений, изменять структуру спроса и потребления.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Перераспределение ВВП ч</w:t>
      </w:r>
      <w:r w:rsidR="00606455" w:rsidRPr="00856983">
        <w:rPr>
          <w:sz w:val="28"/>
          <w:szCs w:val="28"/>
        </w:rPr>
        <w:t>ерез бюджет имеет две взаимосвя</w:t>
      </w:r>
      <w:r w:rsidRPr="00856983">
        <w:rPr>
          <w:sz w:val="28"/>
          <w:szCs w:val="28"/>
        </w:rPr>
        <w:t xml:space="preserve">занные, проистекающие одновременно и непрерывно стадии: </w:t>
      </w:r>
      <w:r w:rsidR="00606455" w:rsidRPr="00856983">
        <w:rPr>
          <w:sz w:val="28"/>
          <w:szCs w:val="28"/>
        </w:rPr>
        <w:t>образование доходов бюджета</w:t>
      </w:r>
      <w:r w:rsidRPr="00856983">
        <w:rPr>
          <w:sz w:val="28"/>
          <w:szCs w:val="28"/>
        </w:rPr>
        <w:t>,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использование бюджетных средств (расходы бюджета).</w:t>
      </w:r>
    </w:p>
    <w:p w:rsidR="00985B7F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Доходы бюджета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денежные сре</w:t>
      </w:r>
      <w:r w:rsidR="00606455" w:rsidRPr="00856983">
        <w:rPr>
          <w:sz w:val="28"/>
          <w:szCs w:val="28"/>
        </w:rPr>
        <w:t>дства, поступающие в безвозмезд</w:t>
      </w:r>
      <w:r w:rsidRPr="00856983">
        <w:rPr>
          <w:sz w:val="28"/>
          <w:szCs w:val="28"/>
        </w:rPr>
        <w:t xml:space="preserve">ном и безвозвратном порядке в соответствии с законодательством </w:t>
      </w:r>
      <w:r w:rsidR="00BC673D" w:rsidRPr="00856983">
        <w:rPr>
          <w:sz w:val="28"/>
          <w:szCs w:val="28"/>
        </w:rPr>
        <w:t>РФ</w:t>
      </w:r>
      <w:r w:rsidRPr="00856983">
        <w:rPr>
          <w:sz w:val="28"/>
          <w:szCs w:val="28"/>
        </w:rPr>
        <w:t xml:space="preserve"> в распоряже</w:t>
      </w:r>
      <w:r w:rsidR="00606455" w:rsidRPr="00856983">
        <w:rPr>
          <w:sz w:val="28"/>
          <w:szCs w:val="28"/>
        </w:rPr>
        <w:t>ние органов государственной вла</w:t>
      </w:r>
      <w:r w:rsidRPr="00856983">
        <w:rPr>
          <w:sz w:val="28"/>
          <w:szCs w:val="28"/>
        </w:rPr>
        <w:t xml:space="preserve">сти </w:t>
      </w:r>
      <w:r w:rsidR="00BC673D" w:rsidRPr="00856983">
        <w:rPr>
          <w:sz w:val="28"/>
          <w:szCs w:val="28"/>
        </w:rPr>
        <w:t>РФ</w:t>
      </w:r>
      <w:r w:rsidRPr="00856983">
        <w:rPr>
          <w:sz w:val="28"/>
          <w:szCs w:val="28"/>
        </w:rPr>
        <w:t>, органо</w:t>
      </w:r>
      <w:r w:rsidR="00606455" w:rsidRPr="00856983">
        <w:rPr>
          <w:sz w:val="28"/>
          <w:szCs w:val="28"/>
        </w:rPr>
        <w:t>в государственной власти субъек</w:t>
      </w:r>
      <w:r w:rsidRPr="00856983">
        <w:rPr>
          <w:sz w:val="28"/>
          <w:szCs w:val="28"/>
        </w:rPr>
        <w:t xml:space="preserve">тов </w:t>
      </w:r>
      <w:r w:rsidR="00BC673D" w:rsidRPr="00856983">
        <w:rPr>
          <w:sz w:val="28"/>
          <w:szCs w:val="28"/>
        </w:rPr>
        <w:t>РФ</w:t>
      </w:r>
      <w:r w:rsidRPr="00856983">
        <w:rPr>
          <w:sz w:val="28"/>
          <w:szCs w:val="28"/>
        </w:rPr>
        <w:t xml:space="preserve"> и ор</w:t>
      </w:r>
      <w:r w:rsidR="00985B7F" w:rsidRPr="00856983">
        <w:rPr>
          <w:sz w:val="28"/>
          <w:szCs w:val="28"/>
        </w:rPr>
        <w:t xml:space="preserve">ганов местного самоуправления. </w:t>
      </w:r>
      <w:r w:rsidR="001F74A9" w:rsidRPr="00856983">
        <w:rPr>
          <w:sz w:val="28"/>
          <w:szCs w:val="28"/>
        </w:rPr>
        <w:t>Таким образом, экономическое содержание доходов бюджета определяется объектами денежных отношений, являющихся источниками формирования доходной базы бюджетной системы. Это валовой внутренний продукт, части которого в форме прибыли и заработной платы выступают источником безвозмездного формирования (посредством налогового механизма) бюджетных доходов. Это национальное богатство, часть которого служит источником безвозмездного формирования бюджетных доходов посредством механизмов приватизации объектов государственной и муниципальной собственности, реализации золотовалютных резервов.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В процессе образования дох</w:t>
      </w:r>
      <w:r w:rsidR="00606455" w:rsidRPr="00856983">
        <w:rPr>
          <w:sz w:val="28"/>
          <w:szCs w:val="28"/>
        </w:rPr>
        <w:t>одов бюджета происходит принуди</w:t>
      </w:r>
      <w:r w:rsidRPr="00856983">
        <w:rPr>
          <w:sz w:val="28"/>
          <w:szCs w:val="28"/>
        </w:rPr>
        <w:t>тельное изъятие в пользу государства</w:t>
      </w:r>
      <w:r w:rsidR="00606455" w:rsidRPr="00856983">
        <w:rPr>
          <w:sz w:val="28"/>
          <w:szCs w:val="28"/>
        </w:rPr>
        <w:t xml:space="preserve"> части ВВП, созданного в про</w:t>
      </w:r>
      <w:r w:rsidRPr="00856983">
        <w:rPr>
          <w:sz w:val="28"/>
          <w:szCs w:val="28"/>
        </w:rPr>
        <w:t>цессе общественного воспроизводства.</w:t>
      </w:r>
    </w:p>
    <w:p w:rsidR="006A0203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На этой основе возникают: финансовые взаимоотношения государства с налогоплательщиками.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Доходы бюджета имеют суще</w:t>
      </w:r>
      <w:r w:rsidR="00606455" w:rsidRPr="00856983">
        <w:rPr>
          <w:sz w:val="28"/>
          <w:szCs w:val="28"/>
        </w:rPr>
        <w:t>ственные различия по их платель</w:t>
      </w:r>
      <w:r w:rsidRPr="00856983">
        <w:rPr>
          <w:sz w:val="28"/>
          <w:szCs w:val="28"/>
        </w:rPr>
        <w:t xml:space="preserve">щикам, объектам обложения, методам изъятия, срокам уплаты и др. Но вместе с тем они отличаются единством, так как преследуют одну цель </w:t>
      </w:r>
      <w:r w:rsidR="00D70DE3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формирование доходной части бюджетов разных уровней. Им свойственны денежная форма и обезличенность.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Доходы бюджета могут но</w:t>
      </w:r>
      <w:r w:rsidR="00606455" w:rsidRPr="00856983">
        <w:rPr>
          <w:sz w:val="28"/>
          <w:szCs w:val="28"/>
        </w:rPr>
        <w:t>сить налоговый и неналоговый ха</w:t>
      </w:r>
      <w:r w:rsidRPr="00856983">
        <w:rPr>
          <w:sz w:val="28"/>
          <w:szCs w:val="28"/>
        </w:rPr>
        <w:t>рактер. Основным источником налоговых доходов являются вновь созданная стоимость и доходы,</w:t>
      </w:r>
      <w:r w:rsidR="00606455" w:rsidRPr="00856983">
        <w:rPr>
          <w:sz w:val="28"/>
          <w:szCs w:val="28"/>
        </w:rPr>
        <w:t xml:space="preserve"> полученные в результате ее пер</w:t>
      </w:r>
      <w:r w:rsidRPr="00856983">
        <w:rPr>
          <w:sz w:val="28"/>
          <w:szCs w:val="28"/>
        </w:rPr>
        <w:t>вичного распределения (прибыль, заработная плата, добавленная стоимость, ссудный процент, рента, дивиденды и т.д.), накопления.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Неналоговые доходы бюджетов образуются в результате либо э</w:t>
      </w:r>
      <w:r w:rsidR="00606455" w:rsidRPr="00856983">
        <w:rPr>
          <w:sz w:val="28"/>
          <w:szCs w:val="28"/>
        </w:rPr>
        <w:t>ко</w:t>
      </w:r>
      <w:r w:rsidRPr="00856983">
        <w:rPr>
          <w:sz w:val="28"/>
          <w:szCs w:val="28"/>
        </w:rPr>
        <w:t>номической деятельности самого</w:t>
      </w:r>
      <w:r w:rsidR="00606455" w:rsidRPr="00856983">
        <w:rPr>
          <w:sz w:val="28"/>
          <w:szCs w:val="28"/>
        </w:rPr>
        <w:t xml:space="preserve"> государства, либо перераспреде</w:t>
      </w:r>
      <w:r w:rsidRPr="00856983">
        <w:rPr>
          <w:sz w:val="28"/>
          <w:szCs w:val="28"/>
        </w:rPr>
        <w:t>ления уже полученных доходов по уровням бюджетной системы.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>Структура бюджетных до</w:t>
      </w:r>
      <w:r w:rsidR="00606455" w:rsidRPr="00856983">
        <w:rPr>
          <w:sz w:val="28"/>
          <w:szCs w:val="28"/>
        </w:rPr>
        <w:t>ходов подвижна и во многом опре</w:t>
      </w:r>
      <w:r w:rsidRPr="00856983">
        <w:rPr>
          <w:sz w:val="28"/>
          <w:szCs w:val="28"/>
        </w:rPr>
        <w:t>деляется конкретными экономическими условиями. Например, в странах с высоким уровнем жизни основой налоговых доходов являются доходы с физических</w:t>
      </w:r>
      <w:r w:rsidR="00606455" w:rsidRPr="00856983">
        <w:rPr>
          <w:sz w:val="28"/>
          <w:szCs w:val="28"/>
        </w:rPr>
        <w:t xml:space="preserve"> лиц, а в странах с низким уров</w:t>
      </w:r>
      <w:r w:rsidR="00BC673D" w:rsidRPr="00856983">
        <w:rPr>
          <w:sz w:val="28"/>
          <w:szCs w:val="28"/>
        </w:rPr>
        <w:t>нем жизни -</w:t>
      </w:r>
      <w:r w:rsidRPr="00856983">
        <w:rPr>
          <w:sz w:val="28"/>
          <w:szCs w:val="28"/>
        </w:rPr>
        <w:t xml:space="preserve"> косвенные налоги и налоги с юридических лиц.</w:t>
      </w:r>
    </w:p>
    <w:p w:rsidR="00985B7F" w:rsidRPr="00856983" w:rsidRDefault="006A02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Расходы бюджета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денежные ср</w:t>
      </w:r>
      <w:r w:rsidR="00606455" w:rsidRPr="00856983">
        <w:rPr>
          <w:sz w:val="28"/>
          <w:szCs w:val="28"/>
        </w:rPr>
        <w:t>едства, направляемые на финансо</w:t>
      </w:r>
      <w:r w:rsidRPr="00856983">
        <w:rPr>
          <w:sz w:val="28"/>
          <w:szCs w:val="28"/>
        </w:rPr>
        <w:t>вое обеспечение задач и функций г</w:t>
      </w:r>
      <w:r w:rsidR="00606455" w:rsidRPr="00856983">
        <w:rPr>
          <w:sz w:val="28"/>
          <w:szCs w:val="28"/>
        </w:rPr>
        <w:t>осударства и местного самоуправ</w:t>
      </w:r>
      <w:r w:rsidRPr="00856983">
        <w:rPr>
          <w:sz w:val="28"/>
          <w:szCs w:val="28"/>
        </w:rPr>
        <w:t>ления.</w:t>
      </w:r>
      <w:r w:rsidR="00985B7F" w:rsidRPr="00856983">
        <w:rPr>
          <w:sz w:val="28"/>
          <w:szCs w:val="28"/>
        </w:rPr>
        <w:t xml:space="preserve"> </w:t>
      </w:r>
      <w:r w:rsidRPr="00856983">
        <w:rPr>
          <w:sz w:val="28"/>
          <w:szCs w:val="28"/>
        </w:rPr>
        <w:t xml:space="preserve">Через бюджетные расходы финансируются </w:t>
      </w:r>
      <w:r w:rsidR="00606455" w:rsidRPr="00856983">
        <w:rPr>
          <w:sz w:val="28"/>
          <w:szCs w:val="28"/>
        </w:rPr>
        <w:t>бюджетополуча</w:t>
      </w:r>
      <w:r w:rsidRPr="00856983">
        <w:rPr>
          <w:sz w:val="28"/>
          <w:szCs w:val="28"/>
        </w:rPr>
        <w:t xml:space="preserve">тели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организации производственной и непроизводственной сферы, являющиеся получ</w:t>
      </w:r>
      <w:r w:rsidR="00606455" w:rsidRPr="00856983">
        <w:rPr>
          <w:sz w:val="28"/>
          <w:szCs w:val="28"/>
        </w:rPr>
        <w:t>ателями или распорядителями бюд</w:t>
      </w:r>
      <w:r w:rsidRPr="00856983">
        <w:rPr>
          <w:sz w:val="28"/>
          <w:szCs w:val="28"/>
        </w:rPr>
        <w:t>жетных средств. Таким обра</w:t>
      </w:r>
      <w:r w:rsidR="00606455" w:rsidRPr="00856983">
        <w:rPr>
          <w:sz w:val="28"/>
          <w:szCs w:val="28"/>
        </w:rPr>
        <w:t>зом, расходы бюджета носят тран</w:t>
      </w:r>
      <w:r w:rsidRPr="00856983">
        <w:rPr>
          <w:sz w:val="28"/>
          <w:szCs w:val="28"/>
        </w:rPr>
        <w:t xml:space="preserve">зитный характер. В бюджете только </w:t>
      </w:r>
      <w:r w:rsidR="00606455" w:rsidRPr="00856983">
        <w:rPr>
          <w:sz w:val="28"/>
          <w:szCs w:val="28"/>
        </w:rPr>
        <w:t>определяются размеры бюд</w:t>
      </w:r>
      <w:r w:rsidRPr="00856983">
        <w:rPr>
          <w:sz w:val="28"/>
          <w:szCs w:val="28"/>
        </w:rPr>
        <w:t>жетных расходов по статьям затрат, а непосредственные расходы осуществляют бюджетополучатели. Кроме того, за счет расходов бюджета происходит перераспределение бюджетных средств по уровням бюджетной системы через дотации, су</w:t>
      </w:r>
      <w:r w:rsidR="00606455" w:rsidRPr="00856983">
        <w:rPr>
          <w:sz w:val="28"/>
          <w:szCs w:val="28"/>
        </w:rPr>
        <w:t>бвенции, субси</w:t>
      </w:r>
      <w:r w:rsidRPr="00856983">
        <w:rPr>
          <w:sz w:val="28"/>
          <w:szCs w:val="28"/>
        </w:rPr>
        <w:t>дии и бюджетные ссуды. Расходы бюджета носят в основном безвозвратный характер. На во</w:t>
      </w:r>
      <w:r w:rsidR="00606455" w:rsidRPr="00856983">
        <w:rPr>
          <w:sz w:val="28"/>
          <w:szCs w:val="28"/>
        </w:rPr>
        <w:t>звратной основе могут предостав</w:t>
      </w:r>
      <w:r w:rsidRPr="00856983">
        <w:rPr>
          <w:sz w:val="28"/>
          <w:szCs w:val="28"/>
        </w:rPr>
        <w:t>ляться только бюджетные к</w:t>
      </w:r>
      <w:r w:rsidR="00606455" w:rsidRPr="00856983">
        <w:rPr>
          <w:sz w:val="28"/>
          <w:szCs w:val="28"/>
        </w:rPr>
        <w:t>редиты и бюджетные ссуды. Струк</w:t>
      </w:r>
      <w:r w:rsidRPr="00856983">
        <w:rPr>
          <w:sz w:val="28"/>
          <w:szCs w:val="28"/>
        </w:rPr>
        <w:t>тура бюджетных расходов ежег</w:t>
      </w:r>
      <w:r w:rsidR="00606455" w:rsidRPr="00856983">
        <w:rPr>
          <w:sz w:val="28"/>
          <w:szCs w:val="28"/>
        </w:rPr>
        <w:t>одно устанавливается непосредст</w:t>
      </w:r>
      <w:r w:rsidRPr="00856983">
        <w:rPr>
          <w:sz w:val="28"/>
          <w:szCs w:val="28"/>
        </w:rPr>
        <w:t>венно в бюджетном плане и зависит, как и доходы, от экономической ситуации и общественных приоритетов.</w:t>
      </w:r>
      <w:r w:rsidR="00985B7F" w:rsidRPr="00856983">
        <w:rPr>
          <w:sz w:val="28"/>
          <w:szCs w:val="28"/>
        </w:rPr>
        <w:t xml:space="preserve"> Экономическая сущность бюджетных расходов по общественному назначению отражает состав выполняемых государством функций. В зависимости от роли в процессе общественного воспроизводства бюджетные расходы подразделяются на текущие </w:t>
      </w:r>
      <w:r w:rsidR="00BC673D" w:rsidRPr="00856983">
        <w:rPr>
          <w:sz w:val="28"/>
          <w:szCs w:val="28"/>
        </w:rPr>
        <w:t>и капитальные</w:t>
      </w:r>
      <w:r w:rsidR="00D70DE3" w:rsidRPr="00856983">
        <w:rPr>
          <w:sz w:val="28"/>
          <w:szCs w:val="28"/>
        </w:rPr>
        <w:t>.</w:t>
      </w:r>
    </w:p>
    <w:p w:rsidR="00BF1E3E" w:rsidRPr="00856983" w:rsidRDefault="00BF1E3E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 xml:space="preserve">Бюджетная классификация </w:t>
      </w:r>
      <w:r w:rsidR="00985B7F" w:rsidRPr="00856983">
        <w:rPr>
          <w:sz w:val="28"/>
          <w:szCs w:val="28"/>
        </w:rPr>
        <w:t>-</w:t>
      </w:r>
      <w:r w:rsidRPr="00856983">
        <w:rPr>
          <w:sz w:val="28"/>
          <w:szCs w:val="28"/>
        </w:rPr>
        <w:t xml:space="preserve"> это обязательная группировка доходов и расходов бюджетов всех уровней по однородным признакам. Бюджетная классификация используется при планировании и исполнении бюджетов, ведении учета и составлении отчетности. На основе бюджетной классификации обеспечивается: единообразие составления проектов бюджетов всех уровней, сопоставимость показателей, учет и контроль за поступлением доходов и расходованием средств согласно утвержденным показателям. Для обработки данных бюджетной классификации вычислительной техник</w:t>
      </w:r>
      <w:r w:rsidR="00BC673D" w:rsidRPr="00856983">
        <w:rPr>
          <w:sz w:val="28"/>
          <w:szCs w:val="28"/>
        </w:rPr>
        <w:t>ой</w:t>
      </w:r>
      <w:r w:rsidRPr="00856983">
        <w:rPr>
          <w:sz w:val="28"/>
          <w:szCs w:val="28"/>
        </w:rPr>
        <w:t xml:space="preserve"> установлена система кодирования показателей. Главным группировочным признаком доходов </w:t>
      </w:r>
      <w:r w:rsidR="00BC673D" w:rsidRPr="00856983">
        <w:rPr>
          <w:sz w:val="28"/>
          <w:szCs w:val="28"/>
        </w:rPr>
        <w:t>являются источники формирования</w:t>
      </w:r>
      <w:r w:rsidRPr="00856983">
        <w:rPr>
          <w:sz w:val="28"/>
          <w:szCs w:val="28"/>
        </w:rPr>
        <w:t>, а у расходов - направления финансов на выполнение функций органов государственной власти и местного самоуправления.</w:t>
      </w:r>
    </w:p>
    <w:p w:rsidR="00985B7F" w:rsidRPr="00856983" w:rsidRDefault="00985B7F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Контрольная функция бюджета действует одновременно с распределительной и предполагает возможность и обязательность государственного контроля за поступлением и использованием бюджетных средств. Осуществляя эти функции, государство не должно ослаблять рыночные стимулы предпринимательства. Поэтому бюджетная политика государства должна строиться на синтезе рыночного и государственного механизмов регулирования.</w:t>
      </w:r>
    </w:p>
    <w:p w:rsidR="0079076A" w:rsidRPr="00856983" w:rsidRDefault="0079076A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A03" w:rsidRPr="00856983" w:rsidRDefault="0079076A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6983">
        <w:rPr>
          <w:b/>
          <w:bCs/>
          <w:sz w:val="28"/>
          <w:szCs w:val="28"/>
        </w:rPr>
        <w:t>2. Аналитическая часть</w:t>
      </w:r>
    </w:p>
    <w:p w:rsidR="00E24A03" w:rsidRPr="00856983" w:rsidRDefault="00E24A03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076A" w:rsidRPr="00856983" w:rsidRDefault="0079076A" w:rsidP="00C21A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Вариант 6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1. По данным таблицы 1 рассчитать показатели: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структуру расходов бюджета;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удельный вес каждого из направлений расходов и общих расходов относительно ВВП;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номинальные темпы прироста расходов бюджета и ВВП;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По результатам расчетов заполнить таблицу 1.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2. Провести сравнительный анализ рассчитанных показателей и их динамики за 2000-2003 гг., оценить изменение расходов бюджета относительно ВВП.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3. Сформулировать выводы об уровне развития национальной хозяйственной системы, изменениях государственного финансирования указанных направлений и о перспективах бюджетного финансирования. При любой оценке обосновать свою позицию.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Решение: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1. Рассчитаем структуру расходов бюджета, данные занесем в табл. 1. Для более наглядного представления об изменении структуры расходов, на основании расчетных данных таблицы 1, построим диаграмму «Изменение структуры расходов бюджета».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как видно из расчетов, все показатели (в количественном выражении) выросли, вместе с тем наблюдается и абсолютный прирост расходов бюджета в общей сумме расходов по сравнению с 2000 г.: удельный вес расходов на государственное управление вырос с 1,7 до 2,46 пунктов; расходы на судебную власть – с 0,4 до 0,8 %, расходы на международную деятельность незначительно уменьшились – с 1,6 до 1,54%.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если проанализировать динамику изменения удельных долей расходов бюджета по годам, то стоит отметить резкий рост всех исследуемых видов расходов в 2001 г., а затем их последующее снижение.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2. Рассчитаем удельный вес каждого направления расходов и общих расходов относительно ВВП, данные занесем в табл. 1. Для более наглядного представления об изменении структуры расходов, на основании расчетных данных таблицы 1, построим диаграмму «Структура расходов бюджета в ВВП».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как видно из расчетов, все анализируемые расходы бюджета, невзирая на их количественное увеличение, имеют тенденцию к снижению в общем объеме ВВП, только удельный вес расходов на судебную власть статичен.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удельный вес общих расходов бюджета в ВВП достаточно резко уменьшается, доля общих расходов с 2000 г. к 2003 г. уменьшилась в 2 раза – с 49,8% до 24,85%.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несомненно, тенденция к снижению расходов бюджета (особенно расходов на содержание государственного аппарата) с одновременным увеличением расходов на социальные нужды, инвестирование и т.д., заслуживает самых положительных оценок.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3. Рассчитаем номинальные и реальные темпы прироста расходов бюджета и ВВП. Номинальные - в текущих ценах каждого года, данные представим в табл. 1. Реальные – скорректированные с учетом уровня цен (инфляции), т.е. данные каждого года разделим на соответствующий индекс цен (табл. 1). Темп прироста рассчитаем как разницу между соответствующим темпом роста и 100%, а темп роста рассчитаем по формуле Т</w:t>
      </w:r>
      <w:r w:rsidRPr="00856983">
        <w:rPr>
          <w:sz w:val="28"/>
          <w:szCs w:val="28"/>
          <w:vertAlign w:val="subscript"/>
        </w:rPr>
        <w:t>р</w:t>
      </w:r>
      <w:r w:rsidRPr="00856983">
        <w:rPr>
          <w:sz w:val="28"/>
          <w:szCs w:val="28"/>
        </w:rPr>
        <w:t>=(</w:t>
      </w:r>
      <w:r w:rsidRPr="00856983">
        <w:rPr>
          <w:sz w:val="28"/>
          <w:szCs w:val="28"/>
          <w:lang w:val="en-US"/>
        </w:rPr>
        <w:t>y</w:t>
      </w:r>
      <w:r w:rsidRPr="00856983">
        <w:rPr>
          <w:sz w:val="28"/>
          <w:szCs w:val="28"/>
          <w:vertAlign w:val="subscript"/>
          <w:lang w:val="en-US"/>
        </w:rPr>
        <w:t>i</w:t>
      </w:r>
      <w:r w:rsidRPr="00856983">
        <w:rPr>
          <w:sz w:val="28"/>
          <w:szCs w:val="28"/>
        </w:rPr>
        <w:t>/</w:t>
      </w:r>
      <w:r w:rsidRPr="00856983">
        <w:rPr>
          <w:sz w:val="28"/>
          <w:szCs w:val="28"/>
          <w:lang w:val="en-US"/>
        </w:rPr>
        <w:t>y</w:t>
      </w:r>
      <w:r w:rsidRPr="00856983">
        <w:rPr>
          <w:sz w:val="28"/>
          <w:szCs w:val="28"/>
          <w:vertAlign w:val="subscript"/>
          <w:lang w:val="en-US"/>
        </w:rPr>
        <w:t>i</w:t>
      </w:r>
      <w:r w:rsidRPr="00856983">
        <w:rPr>
          <w:sz w:val="28"/>
          <w:szCs w:val="28"/>
          <w:vertAlign w:val="subscript"/>
        </w:rPr>
        <w:t>-1</w:t>
      </w:r>
      <w:r w:rsidRPr="00856983">
        <w:rPr>
          <w:sz w:val="28"/>
          <w:szCs w:val="28"/>
        </w:rPr>
        <w:t>)*100%;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при расчете данных для 2002 и 2003 гг. уровень инфляции будет считаться как сумма предыдущих уровней к уровню цен 2000 г.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Полученные данные представим в виде диаграммы: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данные в сопоставимых ценах показывают, что в среднем темп прироста ВВП составляет 26,67% за год ((19,41+30,84+29,77)/3), т.е. в 2004 г. можно ожидать, что ВВП составит 13870,36 млрд. руб.;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данные в сопоставимых ценах показывают, что в среднем темп прироста расходов бюджета составляет 19,17% за год ((25,06+14,09+18,38)/3), т.е. в 2004 г. можно ожидать, что расходы бюджета составят 3243,8 млрд. руб.;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общие расходы бюджета сохранят тенденцию к уменьшению своего удельного веса в общем объеме ВВП;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также наблюдается тенденция к уменьшению и стабилизации уровня инфляции, что говорит о повышении эффективности бюджетной политики государства;</w:t>
      </w: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- больший темп прироста ВВП с одновременным замедлением прироста расходов говорит о повышении благосостояния, стабилизации политической и экономической ситуации в стране и повышении уровня развития национальной хозяйственной системы.</w:t>
      </w:r>
    </w:p>
    <w:p w:rsidR="006A7578" w:rsidRPr="00856983" w:rsidRDefault="006A7578" w:rsidP="00C21AE4">
      <w:pPr>
        <w:spacing w:line="360" w:lineRule="auto"/>
        <w:ind w:firstLine="709"/>
        <w:jc w:val="both"/>
        <w:rPr>
          <w:sz w:val="28"/>
          <w:szCs w:val="28"/>
        </w:rPr>
      </w:pPr>
    </w:p>
    <w:p w:rsidR="003A746A" w:rsidRPr="00856983" w:rsidRDefault="003A746A" w:rsidP="00C21AE4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Таблица 1</w:t>
      </w:r>
      <w:r w:rsidR="00E24A03" w:rsidRPr="00856983">
        <w:rPr>
          <w:sz w:val="28"/>
          <w:szCs w:val="28"/>
        </w:rPr>
        <w:t xml:space="preserve"> -</w:t>
      </w:r>
      <w:r w:rsidRPr="00856983">
        <w:rPr>
          <w:sz w:val="28"/>
          <w:szCs w:val="28"/>
        </w:rPr>
        <w:t xml:space="preserve"> Сравнительный анализ расходов бюджета в 2000 – 2003 годах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903"/>
        <w:gridCol w:w="1200"/>
        <w:gridCol w:w="650"/>
        <w:gridCol w:w="698"/>
        <w:gridCol w:w="1004"/>
        <w:gridCol w:w="889"/>
        <w:gridCol w:w="1003"/>
        <w:gridCol w:w="1020"/>
      </w:tblGrid>
      <w:tr w:rsidR="00BF1E3E" w:rsidRPr="00BE3DD7" w:rsidTr="00BE3DD7">
        <w:trPr>
          <w:jc w:val="center"/>
        </w:trPr>
        <w:tc>
          <w:tcPr>
            <w:tcW w:w="1212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Статьи расходов бюджета</w:t>
            </w:r>
          </w:p>
        </w:tc>
        <w:tc>
          <w:tcPr>
            <w:tcW w:w="3023" w:type="dxa"/>
            <w:gridSpan w:val="3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2000 г.</w:t>
            </w:r>
          </w:p>
        </w:tc>
        <w:tc>
          <w:tcPr>
            <w:tcW w:w="4806" w:type="dxa"/>
            <w:gridSpan w:val="5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2001 г.</w:t>
            </w:r>
          </w:p>
        </w:tc>
      </w:tr>
      <w:tr w:rsidR="00BF1E3E" w:rsidRPr="00BE3DD7" w:rsidTr="00BE3DD7">
        <w:trPr>
          <w:jc w:val="center"/>
        </w:trPr>
        <w:tc>
          <w:tcPr>
            <w:tcW w:w="1212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млрд. руб.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уд. вес, %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млрд. руб.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уд. вес, %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темп прироста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расходах</w:t>
            </w:r>
          </w:p>
        </w:tc>
        <w:tc>
          <w:tcPr>
            <w:tcW w:w="664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ВВП</w:t>
            </w:r>
          </w:p>
        </w:tc>
        <w:tc>
          <w:tcPr>
            <w:tcW w:w="700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расходах</w:t>
            </w:r>
          </w:p>
        </w:tc>
        <w:tc>
          <w:tcPr>
            <w:tcW w:w="1024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ВВП</w:t>
            </w:r>
          </w:p>
        </w:tc>
        <w:tc>
          <w:tcPr>
            <w:tcW w:w="1003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номинал.</w:t>
            </w:r>
          </w:p>
        </w:tc>
        <w:tc>
          <w:tcPr>
            <w:tcW w:w="1064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реальн.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029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34</w:t>
            </w:r>
          </w:p>
        </w:tc>
        <w:tc>
          <w:tcPr>
            <w:tcW w:w="133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1,7</w:t>
            </w:r>
          </w:p>
        </w:tc>
        <w:tc>
          <w:tcPr>
            <w:tcW w:w="6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0,85</w:t>
            </w:r>
          </w:p>
        </w:tc>
        <w:tc>
          <w:tcPr>
            <w:tcW w:w="7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47</w:t>
            </w:r>
          </w:p>
        </w:tc>
        <w:tc>
          <w:tcPr>
            <w:tcW w:w="101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2,81</w:t>
            </w:r>
          </w:p>
        </w:tc>
        <w:tc>
          <w:tcPr>
            <w:tcW w:w="102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0,87</w:t>
            </w:r>
          </w:p>
        </w:tc>
        <w:tc>
          <w:tcPr>
            <w:tcW w:w="1003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+38%</w:t>
            </w:r>
          </w:p>
        </w:tc>
        <w:tc>
          <w:tcPr>
            <w:tcW w:w="10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+23,41%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Судебная власть</w:t>
            </w:r>
          </w:p>
        </w:tc>
        <w:tc>
          <w:tcPr>
            <w:tcW w:w="1029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0,4</w:t>
            </w:r>
          </w:p>
        </w:tc>
        <w:tc>
          <w:tcPr>
            <w:tcW w:w="6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0,2</w:t>
            </w:r>
          </w:p>
        </w:tc>
        <w:tc>
          <w:tcPr>
            <w:tcW w:w="7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11</w:t>
            </w:r>
          </w:p>
        </w:tc>
        <w:tc>
          <w:tcPr>
            <w:tcW w:w="101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0,65</w:t>
            </w:r>
          </w:p>
        </w:tc>
        <w:tc>
          <w:tcPr>
            <w:tcW w:w="102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0,2</w:t>
            </w:r>
          </w:p>
        </w:tc>
        <w:tc>
          <w:tcPr>
            <w:tcW w:w="1003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+37%</w:t>
            </w:r>
          </w:p>
        </w:tc>
        <w:tc>
          <w:tcPr>
            <w:tcW w:w="10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+22,75%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Международная деятельность</w:t>
            </w:r>
          </w:p>
        </w:tc>
        <w:tc>
          <w:tcPr>
            <w:tcW w:w="1029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32</w:t>
            </w:r>
          </w:p>
        </w:tc>
        <w:tc>
          <w:tcPr>
            <w:tcW w:w="133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1,6</w:t>
            </w:r>
          </w:p>
        </w:tc>
        <w:tc>
          <w:tcPr>
            <w:tcW w:w="6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0,8</w:t>
            </w:r>
          </w:p>
        </w:tc>
        <w:tc>
          <w:tcPr>
            <w:tcW w:w="7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37</w:t>
            </w:r>
          </w:p>
        </w:tc>
        <w:tc>
          <w:tcPr>
            <w:tcW w:w="101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2,21</w:t>
            </w:r>
          </w:p>
        </w:tc>
        <w:tc>
          <w:tcPr>
            <w:tcW w:w="102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0,69</w:t>
            </w:r>
          </w:p>
        </w:tc>
        <w:tc>
          <w:tcPr>
            <w:tcW w:w="1003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+15%</w:t>
            </w:r>
          </w:p>
        </w:tc>
        <w:tc>
          <w:tcPr>
            <w:tcW w:w="10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+3,21%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Расходы бюджета</w:t>
            </w:r>
          </w:p>
        </w:tc>
        <w:tc>
          <w:tcPr>
            <w:tcW w:w="1029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1992</w:t>
            </w:r>
          </w:p>
        </w:tc>
        <w:tc>
          <w:tcPr>
            <w:tcW w:w="133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49,8</w:t>
            </w:r>
          </w:p>
        </w:tc>
        <w:tc>
          <w:tcPr>
            <w:tcW w:w="7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1672</w:t>
            </w:r>
          </w:p>
        </w:tc>
        <w:tc>
          <w:tcPr>
            <w:tcW w:w="101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31,25</w:t>
            </w:r>
          </w:p>
        </w:tc>
        <w:tc>
          <w:tcPr>
            <w:tcW w:w="1003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-17%</w:t>
            </w:r>
          </w:p>
        </w:tc>
        <w:tc>
          <w:tcPr>
            <w:tcW w:w="10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-25,06%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ВВП</w:t>
            </w:r>
          </w:p>
        </w:tc>
        <w:tc>
          <w:tcPr>
            <w:tcW w:w="1029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4000</w:t>
            </w:r>
          </w:p>
        </w:tc>
        <w:tc>
          <w:tcPr>
            <w:tcW w:w="133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6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5350</w:t>
            </w:r>
          </w:p>
        </w:tc>
        <w:tc>
          <w:tcPr>
            <w:tcW w:w="101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+33%</w:t>
            </w:r>
          </w:p>
        </w:tc>
        <w:tc>
          <w:tcPr>
            <w:tcW w:w="10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+19,41%</w:t>
            </w:r>
          </w:p>
        </w:tc>
      </w:tr>
      <w:tr w:rsidR="00E24A03" w:rsidRPr="00BE3DD7" w:rsidTr="00BE3DD7">
        <w:trPr>
          <w:jc w:val="center"/>
        </w:trPr>
        <w:tc>
          <w:tcPr>
            <w:tcW w:w="1212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Инфляция, %</w:t>
            </w:r>
          </w:p>
        </w:tc>
        <w:tc>
          <w:tcPr>
            <w:tcW w:w="1029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18</w:t>
            </w:r>
          </w:p>
        </w:tc>
        <w:tc>
          <w:tcPr>
            <w:tcW w:w="133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6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7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12</w:t>
            </w:r>
          </w:p>
        </w:tc>
        <w:tc>
          <w:tcPr>
            <w:tcW w:w="101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102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1003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1064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</w:tr>
    </w:tbl>
    <w:p w:rsidR="00E24A03" w:rsidRPr="00856983" w:rsidRDefault="00E24A03" w:rsidP="00E24A03">
      <w:pPr>
        <w:spacing w:line="360" w:lineRule="auto"/>
        <w:ind w:firstLine="709"/>
        <w:jc w:val="both"/>
        <w:rPr>
          <w:sz w:val="28"/>
          <w:szCs w:val="28"/>
        </w:rPr>
      </w:pPr>
      <w:r w:rsidRPr="00856983">
        <w:rPr>
          <w:sz w:val="28"/>
          <w:szCs w:val="28"/>
        </w:rPr>
        <w:br w:type="page"/>
        <w:t>Таблица 2 - Сравнительный анализ расходов бюджета в 2000 – 2003 годах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0"/>
        <w:gridCol w:w="945"/>
        <w:gridCol w:w="1325"/>
        <w:gridCol w:w="900"/>
        <w:gridCol w:w="1160"/>
        <w:gridCol w:w="995"/>
      </w:tblGrid>
      <w:tr w:rsidR="00BF1E3E" w:rsidRPr="00BE3DD7" w:rsidTr="00BE3DD7">
        <w:trPr>
          <w:jc w:val="center"/>
        </w:trPr>
        <w:tc>
          <w:tcPr>
            <w:tcW w:w="3500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Статьи расходов бюджета</w:t>
            </w:r>
          </w:p>
        </w:tc>
        <w:tc>
          <w:tcPr>
            <w:tcW w:w="5325" w:type="dxa"/>
            <w:gridSpan w:val="5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2002 г.</w:t>
            </w:r>
          </w:p>
        </w:tc>
      </w:tr>
      <w:tr w:rsidR="00BF1E3E" w:rsidRPr="00BE3DD7" w:rsidTr="00BE3DD7">
        <w:trPr>
          <w:jc w:val="center"/>
        </w:trPr>
        <w:tc>
          <w:tcPr>
            <w:tcW w:w="3500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млрд. руб.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уд. вес, %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темп прироста</w:t>
            </w:r>
          </w:p>
        </w:tc>
      </w:tr>
      <w:tr w:rsidR="00BF1E3E" w:rsidRPr="00BE3DD7" w:rsidTr="00BE3DD7">
        <w:trPr>
          <w:jc w:val="center"/>
        </w:trPr>
        <w:tc>
          <w:tcPr>
            <w:tcW w:w="3500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расходах</w:t>
            </w:r>
          </w:p>
        </w:tc>
        <w:tc>
          <w:tcPr>
            <w:tcW w:w="900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ВВП</w:t>
            </w:r>
          </w:p>
        </w:tc>
        <w:tc>
          <w:tcPr>
            <w:tcW w:w="1160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номинал.</w:t>
            </w:r>
          </w:p>
        </w:tc>
        <w:tc>
          <w:tcPr>
            <w:tcW w:w="995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реальн.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52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2,46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0,67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+10%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-0,08%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Судебная власть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0,85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0,23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+63%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+47,75%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Международная деятельность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39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1,84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0,5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+5%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-4,79%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Расходы бюджета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2112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27,25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+26%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+14,09%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ВВП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7750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+44%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+30,84%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Инфляция, %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12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</w:tr>
      <w:tr w:rsidR="00BF1E3E" w:rsidRPr="00BE3DD7" w:rsidTr="00BE3DD7">
        <w:trPr>
          <w:jc w:val="center"/>
        </w:trPr>
        <w:tc>
          <w:tcPr>
            <w:tcW w:w="3500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Статьи расходов бюджета</w:t>
            </w:r>
          </w:p>
        </w:tc>
        <w:tc>
          <w:tcPr>
            <w:tcW w:w="5325" w:type="dxa"/>
            <w:gridSpan w:val="5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2003 г.</w:t>
            </w:r>
          </w:p>
        </w:tc>
      </w:tr>
      <w:tr w:rsidR="00BF1E3E" w:rsidRPr="00BE3DD7" w:rsidTr="00BE3DD7">
        <w:trPr>
          <w:jc w:val="center"/>
        </w:trPr>
        <w:tc>
          <w:tcPr>
            <w:tcW w:w="3500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млрд. руб.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уд. вес, %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темп прироста</w:t>
            </w:r>
          </w:p>
        </w:tc>
      </w:tr>
      <w:tr w:rsidR="00BF1E3E" w:rsidRPr="00BE3DD7" w:rsidTr="00BE3DD7">
        <w:trPr>
          <w:jc w:val="center"/>
        </w:trPr>
        <w:tc>
          <w:tcPr>
            <w:tcW w:w="3500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расходах</w:t>
            </w:r>
          </w:p>
        </w:tc>
        <w:tc>
          <w:tcPr>
            <w:tcW w:w="900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 ВВП</w:t>
            </w:r>
          </w:p>
        </w:tc>
        <w:tc>
          <w:tcPr>
            <w:tcW w:w="1160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номинал.</w:t>
            </w:r>
          </w:p>
        </w:tc>
        <w:tc>
          <w:tcPr>
            <w:tcW w:w="995" w:type="dxa"/>
            <w:shd w:val="clear" w:color="auto" w:fill="auto"/>
          </w:tcPr>
          <w:p w:rsidR="00BF1E3E" w:rsidRPr="00BE3DD7" w:rsidRDefault="00BF1E3E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реальн.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67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2,46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0,61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+28%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+18,34%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Судебная власть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22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0,2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+22%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+12,26%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Международная деятельность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42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1,54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0,38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+7%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-1,09%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Расходы бюджета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2722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24,85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+28%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+18,38%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ВВП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10950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100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41%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+29,77%</w:t>
            </w:r>
          </w:p>
        </w:tc>
      </w:tr>
      <w:tr w:rsidR="003A746A" w:rsidRPr="00BE3DD7" w:rsidTr="00BE3DD7">
        <w:trPr>
          <w:jc w:val="center"/>
        </w:trPr>
        <w:tc>
          <w:tcPr>
            <w:tcW w:w="35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Инфляция, %</w:t>
            </w:r>
          </w:p>
        </w:tc>
        <w:tc>
          <w:tcPr>
            <w:tcW w:w="94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1160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  <w:tc>
          <w:tcPr>
            <w:tcW w:w="995" w:type="dxa"/>
            <w:shd w:val="clear" w:color="auto" w:fill="auto"/>
          </w:tcPr>
          <w:p w:rsidR="003A746A" w:rsidRPr="00BE3DD7" w:rsidRDefault="003A746A" w:rsidP="00BE3D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3DD7">
              <w:rPr>
                <w:sz w:val="20"/>
                <w:szCs w:val="20"/>
              </w:rPr>
              <w:t>*</w:t>
            </w:r>
          </w:p>
        </w:tc>
      </w:tr>
    </w:tbl>
    <w:p w:rsidR="00BF1E3E" w:rsidRPr="00856983" w:rsidRDefault="00E24A03" w:rsidP="00C21A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6983">
        <w:rPr>
          <w:sz w:val="28"/>
          <w:szCs w:val="28"/>
        </w:rPr>
        <w:br w:type="page"/>
      </w:r>
      <w:r w:rsidR="00BF1E3E" w:rsidRPr="00856983">
        <w:rPr>
          <w:b/>
          <w:bCs/>
          <w:sz w:val="28"/>
          <w:szCs w:val="28"/>
        </w:rPr>
        <w:t>Список используемой литературы</w:t>
      </w:r>
    </w:p>
    <w:p w:rsidR="00BF1E3E" w:rsidRPr="00856983" w:rsidRDefault="00BF1E3E" w:rsidP="00C21AE4">
      <w:pPr>
        <w:spacing w:line="360" w:lineRule="auto"/>
        <w:ind w:firstLine="709"/>
        <w:jc w:val="both"/>
        <w:rPr>
          <w:sz w:val="28"/>
          <w:szCs w:val="28"/>
        </w:rPr>
      </w:pP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Бюджетный Кодекс Российской Федерации (по состоянию на 15.03.2004). – Новосибирск: Сиб.унив. изд-во, 2004. – 187 с.</w:t>
      </w: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Бюджетная система России: Учебник для вузов \ Под. ред. проф. Г.Б. Поляка. - М.: ЮНИТИ-ДАНА, 2004.-540 с.</w:t>
      </w: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Бюджетная система Российской Федерации: Учебник для вузов \ Под. ред. М.В.Романовского. - М.: Юрайт-М, 2001.-615 с.</w:t>
      </w: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Годин А.М. Бюджет и бюджетная система РФ: учеб. пособие – М. «Дашков и К», 2002. – 340 с.</w:t>
      </w: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Дадашев А.З., Черник Д.Г.  Финансовая система Росссии: Учебное пособие. - М.: ИНФРА-М, 2001.-248 с.</w:t>
      </w: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Сажина М.А., Чибриков Г.Г. Экономическая теория: Учебник для вузов. – 2-е изд., перераб. и доп.-М.: Норма, . 2005. с. 672: ил.-(Классический университетский учебник).</w:t>
      </w:r>
    </w:p>
    <w:p w:rsidR="002B64F1" w:rsidRPr="00856983" w:rsidRDefault="002B64F1" w:rsidP="00E24A03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983">
        <w:rPr>
          <w:sz w:val="28"/>
          <w:szCs w:val="28"/>
        </w:rPr>
        <w:t>Селезнев А. Государство и экономика// Экономист 2003 №10, С. 20-25</w:t>
      </w:r>
      <w:bookmarkStart w:id="0" w:name="_GoBack"/>
      <w:bookmarkEnd w:id="0"/>
    </w:p>
    <w:sectPr w:rsidR="002B64F1" w:rsidRPr="00856983" w:rsidSect="009436FA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D7" w:rsidRDefault="00BE3DD7">
      <w:r>
        <w:separator/>
      </w:r>
    </w:p>
  </w:endnote>
  <w:endnote w:type="continuationSeparator" w:id="0">
    <w:p w:rsidR="00BE3DD7" w:rsidRDefault="00B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D7" w:rsidRDefault="00BE3DD7">
      <w:r>
        <w:separator/>
      </w:r>
    </w:p>
  </w:footnote>
  <w:footnote w:type="continuationSeparator" w:id="0">
    <w:p w:rsidR="00BE3DD7" w:rsidRDefault="00BE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1B6"/>
    <w:multiLevelType w:val="hybridMultilevel"/>
    <w:tmpl w:val="5A3C2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902E9"/>
    <w:multiLevelType w:val="hybridMultilevel"/>
    <w:tmpl w:val="40E8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D6AD5"/>
    <w:multiLevelType w:val="hybridMultilevel"/>
    <w:tmpl w:val="7BB6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A8499E"/>
    <w:multiLevelType w:val="hybridMultilevel"/>
    <w:tmpl w:val="A6F0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362"/>
    <w:rsid w:val="000D54F7"/>
    <w:rsid w:val="001020A0"/>
    <w:rsid w:val="001F74A9"/>
    <w:rsid w:val="00223B40"/>
    <w:rsid w:val="00267B70"/>
    <w:rsid w:val="002B4FEC"/>
    <w:rsid w:val="002B64F1"/>
    <w:rsid w:val="002E10EC"/>
    <w:rsid w:val="00312362"/>
    <w:rsid w:val="00381315"/>
    <w:rsid w:val="003A746A"/>
    <w:rsid w:val="004045D4"/>
    <w:rsid w:val="00503D43"/>
    <w:rsid w:val="00563792"/>
    <w:rsid w:val="005E7A0D"/>
    <w:rsid w:val="00606455"/>
    <w:rsid w:val="006A0203"/>
    <w:rsid w:val="006A7578"/>
    <w:rsid w:val="006A7A92"/>
    <w:rsid w:val="00721ADE"/>
    <w:rsid w:val="00760931"/>
    <w:rsid w:val="0079076A"/>
    <w:rsid w:val="007A3538"/>
    <w:rsid w:val="00856983"/>
    <w:rsid w:val="008D1BA6"/>
    <w:rsid w:val="00924DE5"/>
    <w:rsid w:val="009436FA"/>
    <w:rsid w:val="0095434B"/>
    <w:rsid w:val="00985B7F"/>
    <w:rsid w:val="00AE17D5"/>
    <w:rsid w:val="00BC673D"/>
    <w:rsid w:val="00BE3DD7"/>
    <w:rsid w:val="00BF1E3E"/>
    <w:rsid w:val="00C21AE4"/>
    <w:rsid w:val="00C362A5"/>
    <w:rsid w:val="00D70DE3"/>
    <w:rsid w:val="00D950E1"/>
    <w:rsid w:val="00E24A03"/>
    <w:rsid w:val="00E41D03"/>
    <w:rsid w:val="00E44D35"/>
    <w:rsid w:val="00E77C46"/>
    <w:rsid w:val="00EA1249"/>
    <w:rsid w:val="00EC0907"/>
    <w:rsid w:val="00FA3A9A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993573-9BC0-4528-BE6A-DF8E0E0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A0203"/>
    <w:rPr>
      <w:rFonts w:cs="Times New Roman"/>
    </w:rPr>
  </w:style>
  <w:style w:type="paragraph" w:styleId="a6">
    <w:name w:val="footer"/>
    <w:basedOn w:val="a"/>
    <w:link w:val="a7"/>
    <w:uiPriority w:val="99"/>
    <w:rsid w:val="006A0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BF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dcterms:created xsi:type="dcterms:W3CDTF">2014-03-13T03:33:00Z</dcterms:created>
  <dcterms:modified xsi:type="dcterms:W3CDTF">2014-03-13T03:33:00Z</dcterms:modified>
</cp:coreProperties>
</file>