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BA" w:rsidRPr="00F038AE" w:rsidRDefault="00C417BA" w:rsidP="00F038AE">
      <w:pPr>
        <w:spacing w:line="360" w:lineRule="auto"/>
        <w:ind w:firstLine="709"/>
        <w:jc w:val="center"/>
        <w:rPr>
          <w:sz w:val="28"/>
          <w:szCs w:val="28"/>
        </w:rPr>
      </w:pPr>
      <w:r w:rsidRPr="00F038AE">
        <w:rPr>
          <w:sz w:val="28"/>
          <w:szCs w:val="28"/>
        </w:rPr>
        <w:t>С</w:t>
      </w:r>
      <w:r w:rsidR="00F038AE">
        <w:rPr>
          <w:sz w:val="28"/>
          <w:szCs w:val="28"/>
        </w:rPr>
        <w:t>одержание</w:t>
      </w:r>
    </w:p>
    <w:p w:rsidR="00C417BA" w:rsidRPr="00F038AE" w:rsidRDefault="00C417BA" w:rsidP="00F038AE">
      <w:pPr>
        <w:spacing w:line="360" w:lineRule="auto"/>
        <w:ind w:firstLine="709"/>
        <w:rPr>
          <w:sz w:val="28"/>
          <w:szCs w:val="28"/>
        </w:rPr>
      </w:pPr>
    </w:p>
    <w:p w:rsidR="00C417BA" w:rsidRPr="00F038AE" w:rsidRDefault="00C417BA" w:rsidP="00F038AE">
      <w:pPr>
        <w:spacing w:line="360" w:lineRule="auto"/>
        <w:ind w:firstLine="0"/>
        <w:rPr>
          <w:sz w:val="28"/>
          <w:szCs w:val="28"/>
        </w:rPr>
      </w:pPr>
      <w:r w:rsidRPr="00F038AE">
        <w:rPr>
          <w:sz w:val="28"/>
          <w:szCs w:val="28"/>
        </w:rPr>
        <w:t xml:space="preserve">1. </w:t>
      </w:r>
      <w:r w:rsidR="00311119" w:rsidRPr="00F038AE">
        <w:rPr>
          <w:sz w:val="28"/>
          <w:szCs w:val="28"/>
        </w:rPr>
        <w:t>Типология прогнозов</w:t>
      </w:r>
    </w:p>
    <w:p w:rsidR="00C417BA" w:rsidRPr="00F038AE" w:rsidRDefault="00C417BA" w:rsidP="00F038AE">
      <w:pPr>
        <w:spacing w:line="360" w:lineRule="auto"/>
        <w:ind w:firstLine="0"/>
        <w:rPr>
          <w:sz w:val="28"/>
          <w:szCs w:val="28"/>
        </w:rPr>
      </w:pPr>
      <w:r w:rsidRPr="00F038AE">
        <w:rPr>
          <w:sz w:val="28"/>
          <w:szCs w:val="28"/>
        </w:rPr>
        <w:t xml:space="preserve">2. </w:t>
      </w:r>
      <w:r w:rsidR="00311119" w:rsidRPr="00F038AE">
        <w:rPr>
          <w:sz w:val="28"/>
          <w:szCs w:val="28"/>
        </w:rPr>
        <w:t>Прогнозирование экономического развития на основе межотраслевых</w:t>
      </w:r>
      <w:r w:rsidR="00F038AE">
        <w:rPr>
          <w:sz w:val="28"/>
          <w:szCs w:val="28"/>
        </w:rPr>
        <w:t xml:space="preserve"> </w:t>
      </w:r>
      <w:r w:rsidR="00311119" w:rsidRPr="00F038AE">
        <w:rPr>
          <w:sz w:val="28"/>
          <w:szCs w:val="28"/>
        </w:rPr>
        <w:t>балансовых моделей</w:t>
      </w:r>
    </w:p>
    <w:p w:rsidR="00F038AE" w:rsidRDefault="00C417BA" w:rsidP="00F038AE">
      <w:pPr>
        <w:spacing w:line="360" w:lineRule="auto"/>
        <w:ind w:firstLine="0"/>
        <w:rPr>
          <w:sz w:val="28"/>
          <w:szCs w:val="28"/>
        </w:rPr>
      </w:pPr>
      <w:r w:rsidRPr="00F038AE">
        <w:rPr>
          <w:sz w:val="28"/>
          <w:szCs w:val="28"/>
        </w:rPr>
        <w:t xml:space="preserve">3. </w:t>
      </w:r>
      <w:r w:rsidR="00311119" w:rsidRPr="00F038AE">
        <w:rPr>
          <w:sz w:val="28"/>
          <w:szCs w:val="28"/>
        </w:rPr>
        <w:t>Зарубежный опыт планирования на примере Японии</w:t>
      </w:r>
    </w:p>
    <w:p w:rsidR="00C417BA" w:rsidRPr="00F038AE" w:rsidRDefault="00F038AE" w:rsidP="00F038A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Задача</w:t>
      </w:r>
    </w:p>
    <w:p w:rsidR="00D86E9B" w:rsidRPr="00F038AE" w:rsidRDefault="00C417BA" w:rsidP="00F038AE">
      <w:pPr>
        <w:spacing w:line="360" w:lineRule="auto"/>
        <w:ind w:firstLine="0"/>
        <w:rPr>
          <w:sz w:val="28"/>
          <w:szCs w:val="28"/>
        </w:rPr>
      </w:pPr>
      <w:r w:rsidRPr="00F038AE">
        <w:rPr>
          <w:sz w:val="28"/>
          <w:szCs w:val="28"/>
        </w:rPr>
        <w:t>С</w:t>
      </w:r>
      <w:r w:rsidR="00F038AE">
        <w:rPr>
          <w:sz w:val="28"/>
          <w:szCs w:val="28"/>
        </w:rPr>
        <w:t>писок использованной литературы</w:t>
      </w:r>
    </w:p>
    <w:p w:rsidR="00F038AE" w:rsidRDefault="00F038AE" w:rsidP="00F038AE">
      <w:pPr>
        <w:spacing w:line="360" w:lineRule="auto"/>
        <w:ind w:firstLine="709"/>
        <w:rPr>
          <w:sz w:val="28"/>
          <w:szCs w:val="28"/>
        </w:rPr>
      </w:pPr>
    </w:p>
    <w:p w:rsidR="00311119" w:rsidRPr="00F038AE" w:rsidRDefault="00311119" w:rsidP="00F038AE">
      <w:pPr>
        <w:spacing w:line="360" w:lineRule="auto"/>
        <w:ind w:firstLine="709"/>
        <w:jc w:val="center"/>
        <w:rPr>
          <w:sz w:val="28"/>
          <w:szCs w:val="28"/>
        </w:rPr>
      </w:pPr>
      <w:r w:rsidRPr="00F038AE">
        <w:rPr>
          <w:sz w:val="28"/>
          <w:szCs w:val="28"/>
        </w:rPr>
        <w:br w:type="page"/>
        <w:t>1. Типология прогнозов</w:t>
      </w:r>
    </w:p>
    <w:p w:rsidR="00896EDD" w:rsidRPr="00F038AE" w:rsidRDefault="00896EDD" w:rsidP="00F038AE">
      <w:pPr>
        <w:spacing w:line="360" w:lineRule="auto"/>
        <w:ind w:firstLine="709"/>
        <w:rPr>
          <w:sz w:val="28"/>
          <w:szCs w:val="28"/>
        </w:rPr>
      </w:pPr>
    </w:p>
    <w:p w:rsidR="00896EDD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Под прогнозом понимается научно-обоснованное суждение о возможных состояниях объекта в будущем, об альтернативных путях и сроках его осуществления. </w:t>
      </w:r>
      <w:r w:rsidR="00896EDD" w:rsidRPr="00F038AE">
        <w:rPr>
          <w:sz w:val="28"/>
          <w:szCs w:val="28"/>
        </w:rPr>
        <w:t xml:space="preserve">Прогнозирование </w:t>
      </w:r>
      <w:r w:rsidRPr="00F038AE">
        <w:rPr>
          <w:sz w:val="28"/>
          <w:szCs w:val="28"/>
        </w:rPr>
        <w:t xml:space="preserve">– это процесс разработки прогнозов, основанный на научных методах познания </w:t>
      </w:r>
      <w:r w:rsidR="00896EDD" w:rsidRPr="00F038AE">
        <w:rPr>
          <w:sz w:val="28"/>
          <w:szCs w:val="28"/>
        </w:rPr>
        <w:t>разного рода</w:t>
      </w:r>
      <w:r w:rsidRPr="00F038AE">
        <w:rPr>
          <w:sz w:val="28"/>
          <w:szCs w:val="28"/>
        </w:rPr>
        <w:t xml:space="preserve"> явлени</w:t>
      </w:r>
      <w:r w:rsidR="00896EDD" w:rsidRPr="00F038AE">
        <w:rPr>
          <w:sz w:val="28"/>
          <w:szCs w:val="28"/>
        </w:rPr>
        <w:t>й</w:t>
      </w:r>
      <w:r w:rsidRPr="00F038AE">
        <w:rPr>
          <w:sz w:val="28"/>
          <w:szCs w:val="28"/>
        </w:rPr>
        <w:t xml:space="preserve"> и использования всей совокупности методов, способов и средств экономической прогностики.</w:t>
      </w:r>
    </w:p>
    <w:p w:rsidR="00896EDD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В основе экономического прогнозирования лежит предположение о том, что будущее состояние экономики предопределяется ее прошлым и настоящим состояниями. Будущее несет в себе и элементы неопределенности. Это объясняется следующими моментами: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наличием не одного, а множества вариантов возможного развития;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действие экономических законов в будущем зависит не только от прошлого и настоящего состояний экономики, но и от управленческих решений, которые еще только должны быть приняты и реализованы;</w:t>
      </w:r>
    </w:p>
    <w:p w:rsidR="00202419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неполнота степени познания экономических законов, дефицит и недостаточная надежность информации.</w:t>
      </w:r>
    </w:p>
    <w:p w:rsidR="00202419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Единство определенности</w:t>
      </w:r>
      <w:r w:rsidR="00202419" w:rsidRPr="00F038AE">
        <w:rPr>
          <w:sz w:val="28"/>
          <w:szCs w:val="28"/>
        </w:rPr>
        <w:t xml:space="preserve"> и неопределенности будущего – решающая предпосылка экономического прогнозирования. Прогнозирование следует рассматривать в комплексе с более широким понятием – предвидением, которое дает опережающее отображение действительности, основанное на познании законов природы, общества и мышления. Различают три формы научного предвидения: гипотезу, прогноз и план.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Гипотеза характеризует научное предвидение на уровне общей теории. На уровне гипотезы дается качественная характеристика исследуемых объектов, выражающая общие закономерности их поведения.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Прогноз в сравнении с гипотезой имеет значительно большую качественную и количественную определенность и отличается большей достоверностью.</w:t>
      </w:r>
    </w:p>
    <w:p w:rsidR="00896EDD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План представляет собой постановку точно определенной цели и предвидение конкретных, детальных событий исследуемого объекта. Его отличительные черты: определенность, конкретность, адресность, обязательность или индикативность.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Между прогнозом и планом имеются существенные различия. Прогноз носит вероятностный, а план обязательный характер. План – это однозначное решение, прогноз же по своей сущности имеет вероятное содержание. В то время как планирование направлено на принятие и практическое осуществление управленческих решений, цель прогнозирования – создать научные предпосылки для их принятия.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Таким образом, задача экономического прогнозирования состоит, с одной стороны, в том, чтобы выяснить переспективы ближайшего или более отдаленного будущего в исследуемой области, а с другой стороны, способствовать оптимизации текущего и перспективного планирования и регулирования экономики, опираясь на составленный прогноз.</w:t>
      </w:r>
    </w:p>
    <w:p w:rsidR="00896EDD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Типология прогнозов строится в зависимости от различных критериев и признаков. В их числе можно выделить следующие: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масштаб прогнозирования;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время упреждения или временной горизонт прогноза;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характер объекта;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функциональный признак;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степень детерминированности (определенности) объектов прогнозирования;</w:t>
      </w:r>
    </w:p>
    <w:p w:rsidR="00896EDD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характер развития объектов прогнозирования во времени;</w:t>
      </w:r>
    </w:p>
    <w:p w:rsidR="00202419" w:rsidRPr="00F038AE" w:rsidRDefault="00896EDD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степень информационной обеспеченности объектов прогнозирования.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масштабу прогнозирования выделяют: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макроэкономический прогноз;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структурный (межотраслевой и межрегиональный) прогноз;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прогнозы развития народнохозяйственных комплексов (энергетического, инвестиционного, аграрно-промышленного и др.);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прогнозы отраслевые и региональные;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прогнозы развития отдельных предприятий, АО, а также отдельных производств и продуктов.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времени упреждения или временному горизонту все прогнозы подразделяются на: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оперативные (до 1 месяца);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краткосрочные (от 1 месяца до 1 года);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среднесрочные (от 1 года до 5 лет);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долгосрочные (от 5 лет до 15-20 лет);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дальнесрочные (свыше 20 лет).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Временный горизонт прогноза можно определить как отрезок времени, в рамках которого изменения объема прогнозируемого объекта представляются соизмеримыми с его начальной величиной, и как период, в течение которого на объект прогнозирования оказывают влияние решения, применяемые в момент разработки прогноза.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Разрабатываемые прогнозы опираются на определенные заделы: краткосрочные – на имеющиеся виды продукции и финансовые ресурсы; среднесрочные – на накопленный инвестиционный потенциал; долгосрочные – на те или иные направления НТП и новые технологии.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характеру исследуемых объектов различают следующие прогнозы: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развития производственных отношений;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развития НТП и его последствий;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динамики народного хозяйства;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воспроизводства основных фондов и капитальных вложений;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экономического использования природных ресурсов;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воспроизводства населения и трудовых ресурсов;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уровня жизни населения;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внешних экономических связей и др.</w:t>
      </w:r>
    </w:p>
    <w:p w:rsidR="00EF7DAC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функциональному признаку прогнозы подразделяются на два типа:</w:t>
      </w:r>
    </w:p>
    <w:p w:rsidR="00EF7DAC" w:rsidRPr="00F038AE" w:rsidRDefault="00EF7DAC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поисковый прогноз, который основан на условном продолжении в будущее тенденции развития исследуемого объекта в прошлом и настоящем, и отвлечении от условий, способных изменить эти тенденции;</w:t>
      </w:r>
    </w:p>
    <w:p w:rsidR="00202419" w:rsidRPr="00F038AE" w:rsidRDefault="00EF7DAC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- </w:t>
      </w:r>
      <w:r w:rsidR="00202419" w:rsidRPr="00F038AE">
        <w:rPr>
          <w:sz w:val="28"/>
          <w:szCs w:val="28"/>
        </w:rPr>
        <w:t>нормативный прогноз, который представляет собой определение путей и сроков достижения возможных состояний объекта прогнозирования, принимаемых в качестве цели.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степени детерминированности можно выделить следующие объекты прогнозирования: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детерминированные (определенные или предсказуемые), описание которых может быть представлено в детерминированной форме без существенных для задачи прогнозирования потерь информации;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стохастические (вероятностные), при анализе и прогнозировании которых учет случайных составляющих необходим для удовлетворения требований точности и достоверности прогноза;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смешанные, описание которых возможно частично в детерминированном, частично в стохастическом виде.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характеру развития во времени объекты прогнозирования можно подразделить на: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дискретные (прерывные) объекты, регулярная составляющая (тренд) которых изменяется скачками в фиксированные моменты времени;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апериодические объекты, имеющие описание регулярной составляющей в виде непрерывной функции времени;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циклические объекты, имеющие регулярную составляющую в виде периодической функции времени.</w:t>
      </w:r>
    </w:p>
    <w:p w:rsidR="00202419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 степени информационной обеспеченности объекты прогнозирования можно подразделить на: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объекты с полным обеспечением количественной информацией, для которых имеется в наличии ретроспективная количественная информация в объеме достаточном для реализации метода экстраполяции, либо статистического метода;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объекты с неполным обеспечением количественной информацией;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объекты с наличием качественной ретроспективной информацией;</w:t>
      </w:r>
      <w:r w:rsidR="00896EDD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объекты с полным отсутствием ретроспективной информации (как правило, это проектируемые и строящиеся объекты).</w:t>
      </w:r>
    </w:p>
    <w:p w:rsidR="00F038AE" w:rsidRPr="00F038AE" w:rsidRDefault="00F038AE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1119" w:rsidRPr="00F038AE" w:rsidRDefault="00311119" w:rsidP="00F038AE">
      <w:pPr>
        <w:spacing w:line="360" w:lineRule="auto"/>
        <w:ind w:firstLine="709"/>
        <w:jc w:val="center"/>
        <w:rPr>
          <w:sz w:val="28"/>
          <w:szCs w:val="28"/>
        </w:rPr>
      </w:pPr>
      <w:r w:rsidRPr="00F038AE">
        <w:rPr>
          <w:sz w:val="28"/>
          <w:szCs w:val="28"/>
        </w:rPr>
        <w:t>2. Прогнозирование экономического развития на основе межотраслевых</w:t>
      </w:r>
      <w:r w:rsid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балансовых моделей</w:t>
      </w:r>
    </w:p>
    <w:p w:rsidR="007B5EF9" w:rsidRPr="00F038AE" w:rsidRDefault="007B5EF9" w:rsidP="00F038AE">
      <w:pPr>
        <w:spacing w:line="360" w:lineRule="auto"/>
        <w:ind w:firstLine="709"/>
        <w:rPr>
          <w:sz w:val="28"/>
          <w:szCs w:val="28"/>
        </w:rPr>
      </w:pPr>
    </w:p>
    <w:p w:rsidR="007B5EF9" w:rsidRPr="00F038AE" w:rsidRDefault="00202419" w:rsidP="00F038AE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38AE">
        <w:rPr>
          <w:b w:val="0"/>
          <w:sz w:val="28"/>
          <w:szCs w:val="28"/>
        </w:rPr>
        <w:t>Межотраслевой баланс</w:t>
      </w:r>
      <w:r w:rsidR="007B5EF9" w:rsidRPr="00F038AE">
        <w:rPr>
          <w:b w:val="0"/>
          <w:sz w:val="28"/>
          <w:szCs w:val="28"/>
        </w:rPr>
        <w:t xml:space="preserve"> (МОБ) </w:t>
      </w:r>
      <w:r w:rsidRPr="00F038AE">
        <w:rPr>
          <w:b w:val="0"/>
          <w:sz w:val="28"/>
          <w:szCs w:val="28"/>
        </w:rPr>
        <w:t>- экономико-математическая балансовая модель, построенная в виде системы линейных уравнений, характеризующих связи между выпуском продукции в одной отрасли (в стоимостном измерении) и затратами, расходованием продукции всех участвующих отраслей, необходимым для обеспечения этого выпуска.</w:t>
      </w:r>
    </w:p>
    <w:p w:rsidR="00202419" w:rsidRPr="00F038AE" w:rsidRDefault="00202419" w:rsidP="00F038AE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38AE">
        <w:rPr>
          <w:b w:val="0"/>
          <w:sz w:val="28"/>
          <w:szCs w:val="28"/>
        </w:rPr>
        <w:t>Результаты расчета представляются в виде симметричных таблиц "Затраты - Выпуск", содержащих перечень производящих и потребляющих секторов, показывающих количественные данные о распределении произведенной продукции между потребителями.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Таблицы состоят из трех частей (квадрантов), различных по своему экономическому содержанию.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Первый квадрант характеризует производственные взаимосвязи в разрезе групп товаров и услуг. Каждый его элемент отражает затраты i-го вида товара (услуги) на производство j-го вида товара (услуги).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Второй квадрант характеризует конечный спрос по его функциональным элементам (расходам на конечное потребление, валовое накопление и экспорт) в разрезе выделенных групп товаров и услуг.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Третий квадрант характеризует стоимостный состав валовой добавленной стоимости (оплату труда, валовую прибыль, валовой смешанный доход, другие налоги на производство, другие субсидии на производство) по однородным группам товаров и услуг.</w:t>
      </w:r>
    </w:p>
    <w:p w:rsidR="00202419" w:rsidRPr="00F038AE" w:rsidRDefault="007B5EF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Межотраслевой баланс</w:t>
      </w:r>
      <w:r w:rsidR="00202419" w:rsidRPr="00F038AE">
        <w:rPr>
          <w:sz w:val="28"/>
          <w:szCs w:val="28"/>
        </w:rPr>
        <w:t xml:space="preserve"> используется для изучения межотраслевых связей, анализа и планирования структуры экономики. Метод такого изучения называют методом экономико-математического анализа "Затраты - Выпуск".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 xml:space="preserve">Использованные ресурсы в </w:t>
      </w:r>
      <w:r w:rsidR="007B5EF9" w:rsidRPr="00F038AE">
        <w:rPr>
          <w:sz w:val="28"/>
          <w:szCs w:val="28"/>
        </w:rPr>
        <w:t>межотраслевом балансе</w:t>
      </w:r>
      <w:r w:rsidRPr="00F038AE">
        <w:rPr>
          <w:sz w:val="28"/>
          <w:szCs w:val="28"/>
        </w:rPr>
        <w:t xml:space="preserve"> могут быть отражены в ценах покупателей (по стоимости их приобретения, включая торгово-транспортные наценки и налоги на продукты, за вычетом субсидий на продукты).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Можно выразить их и в основных ценах (за вычетом транспортных, торгово-посреднических наценок и чистых налогов на продукты, на использованные в процессе производства сырье, материалы, топливо, энергию и т. д.).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Таблицы содержат также сведения о потреблении отечественных и импортных товаров и услуг, значения транспортных, торгово-посреднических наценок и чистых налогов на продукты, а также импорта в ценах СИФ и экспорта в ценах ФОБ.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Симметричные таблицы "Затраты - Выпуск" (межотраслевые балансы) строятся на основе таблиц ресурсов и использования товаров и услуг.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Таблица ресурсов товаров и услуг отражает товарный состав выпуска отраслей и формирование ресурсов товаров и услуг в основных ценах за счет внутреннего производства и импорта, а также основные компоненты, характеризующие переход от основных цен к ценам покупателей по каждой группе товаров и услуг (транспортные, торгово-посреднические наценки, налоги и субсидии на продукты).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Таблица использования товаров и услуг характеризует использование товаров и услуг на промежуточное потребление в отраслях экономики и конечное потребление, валовое накопление и экспорт. Кроме того, в ней отражено образование добавленной стоимости по отраслям экономики.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Таблицы использования товаров и услуг устанавливают производственные связи типа "продукт - отрасль".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В целом система таблиц "Затраты - Выпуск" включает в себя таблицы ресурсов и использования товаров и услуг, симметричные таблицы "Затраты - Выпуск", а также таблицы использования импортной продукции, торгово-транспортных наценок, налогов и субсидий на продукты.</w:t>
      </w:r>
    </w:p>
    <w:p w:rsidR="007B5EF9" w:rsidRPr="00F038AE" w:rsidRDefault="007B5EF9" w:rsidP="00F038AE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8AE">
        <w:rPr>
          <w:rFonts w:ascii="Times New Roman" w:hAnsi="Times New Roman" w:cs="Times New Roman"/>
          <w:color w:val="auto"/>
          <w:sz w:val="28"/>
          <w:szCs w:val="28"/>
        </w:rPr>
        <w:t xml:space="preserve">Если рассматривать данные межотраслевого баланса, то в каждой графе по вертикали отражается стоимостный состав валового выпуска отраслей экономики по элементам промежуточного потребления и добавленной стоимости. По строкам отражаются направления использования </w:t>
      </w:r>
      <w:r w:rsidRPr="00F038AE">
        <w:rPr>
          <w:rFonts w:ascii="Times New Roman" w:hAnsi="Times New Roman" w:cs="Times New Roman"/>
          <w:bCs/>
          <w:color w:val="auto"/>
          <w:sz w:val="28"/>
          <w:szCs w:val="28"/>
        </w:rPr>
        <w:t>ресурсов</w:t>
      </w:r>
      <w:r w:rsidRPr="00F038AE">
        <w:rPr>
          <w:rFonts w:ascii="Times New Roman" w:hAnsi="Times New Roman" w:cs="Times New Roman"/>
          <w:color w:val="auto"/>
          <w:sz w:val="28"/>
          <w:szCs w:val="28"/>
        </w:rPr>
        <w:t xml:space="preserve"> каждой отрасли:</w:t>
      </w:r>
    </w:p>
    <w:p w:rsidR="007B5EF9" w:rsidRPr="00F038AE" w:rsidRDefault="007B5EF9" w:rsidP="00F038AE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8AE">
        <w:rPr>
          <w:rFonts w:ascii="Times New Roman" w:hAnsi="Times New Roman" w:cs="Times New Roman"/>
          <w:color w:val="auto"/>
          <w:sz w:val="28"/>
          <w:szCs w:val="28"/>
        </w:rPr>
        <w:t>- на производственные цели;</w:t>
      </w:r>
    </w:p>
    <w:p w:rsidR="007B5EF9" w:rsidRPr="00F038AE" w:rsidRDefault="007B5EF9" w:rsidP="00F038AE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8AE">
        <w:rPr>
          <w:rFonts w:ascii="Times New Roman" w:hAnsi="Times New Roman" w:cs="Times New Roman"/>
          <w:color w:val="auto"/>
          <w:sz w:val="28"/>
          <w:szCs w:val="28"/>
        </w:rPr>
        <w:t xml:space="preserve">- на конечное </w:t>
      </w:r>
      <w:r w:rsidRPr="00660AAD">
        <w:rPr>
          <w:rFonts w:ascii="Times New Roman" w:hAnsi="Times New Roman" w:cs="Times New Roman"/>
          <w:bCs/>
          <w:color w:val="auto"/>
          <w:sz w:val="28"/>
          <w:szCs w:val="28"/>
        </w:rPr>
        <w:t>потребление</w:t>
      </w:r>
      <w:r w:rsidRPr="00F038A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B5EF9" w:rsidRPr="00F038AE" w:rsidRDefault="007B5EF9" w:rsidP="00F038AE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8AE">
        <w:rPr>
          <w:rFonts w:ascii="Times New Roman" w:hAnsi="Times New Roman" w:cs="Times New Roman"/>
          <w:bCs/>
          <w:color w:val="auto"/>
          <w:sz w:val="28"/>
          <w:szCs w:val="28"/>
        </w:rPr>
        <w:t>- накопление</w:t>
      </w:r>
      <w:r w:rsidRPr="00F038AE">
        <w:rPr>
          <w:rFonts w:ascii="Times New Roman" w:hAnsi="Times New Roman" w:cs="Times New Roman"/>
          <w:color w:val="auto"/>
          <w:sz w:val="28"/>
          <w:szCs w:val="28"/>
        </w:rPr>
        <w:t xml:space="preserve"> и экспорт.</w:t>
      </w:r>
    </w:p>
    <w:p w:rsidR="007B5EF9" w:rsidRPr="00F038AE" w:rsidRDefault="007B5EF9" w:rsidP="00F038AE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8AE">
        <w:rPr>
          <w:rFonts w:ascii="Times New Roman" w:hAnsi="Times New Roman" w:cs="Times New Roman"/>
          <w:sz w:val="28"/>
          <w:szCs w:val="28"/>
        </w:rPr>
        <w:t>В отечественной практике до начала 1990-х гг. МОБ составлялся по "</w:t>
      </w:r>
      <w:r w:rsidRPr="00F038AE">
        <w:rPr>
          <w:rFonts w:ascii="Times New Roman" w:hAnsi="Times New Roman" w:cs="Times New Roman"/>
          <w:iCs/>
          <w:sz w:val="28"/>
          <w:szCs w:val="28"/>
        </w:rPr>
        <w:t>чистым</w:t>
      </w:r>
      <w:r w:rsidRPr="00F038AE">
        <w:rPr>
          <w:rFonts w:ascii="Times New Roman" w:hAnsi="Times New Roman" w:cs="Times New Roman"/>
          <w:sz w:val="28"/>
          <w:szCs w:val="28"/>
        </w:rPr>
        <w:t xml:space="preserve">" отраслям (однородным группам продуктов и услуг). При его построении использовались две системы оценки выпуска и потоков продуктов (элементов промежуточного и конечного продукта): в </w:t>
      </w:r>
      <w:r w:rsidRPr="00F038AE">
        <w:rPr>
          <w:rFonts w:ascii="Times New Roman" w:hAnsi="Times New Roman" w:cs="Times New Roman"/>
          <w:bCs/>
          <w:sz w:val="28"/>
          <w:szCs w:val="28"/>
        </w:rPr>
        <w:t>базисных ценах</w:t>
      </w:r>
      <w:r w:rsidRPr="00F038AE">
        <w:rPr>
          <w:rFonts w:ascii="Times New Roman" w:hAnsi="Times New Roman" w:cs="Times New Roman"/>
          <w:sz w:val="28"/>
          <w:szCs w:val="28"/>
        </w:rPr>
        <w:t xml:space="preserve"> и в </w:t>
      </w:r>
      <w:r w:rsidRPr="00660AAD">
        <w:rPr>
          <w:rFonts w:ascii="Times New Roman" w:hAnsi="Times New Roman" w:cs="Times New Roman"/>
          <w:bCs/>
          <w:sz w:val="28"/>
          <w:szCs w:val="28"/>
        </w:rPr>
        <w:t>ценах продажи</w:t>
      </w:r>
      <w:r w:rsidRPr="00F038AE">
        <w:rPr>
          <w:rFonts w:ascii="Times New Roman" w:hAnsi="Times New Roman" w:cs="Times New Roman"/>
          <w:sz w:val="28"/>
          <w:szCs w:val="28"/>
        </w:rPr>
        <w:t>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Таблицы "Затраты - Выпуск" являются неотъемлемой частью с</w:t>
      </w:r>
      <w:r w:rsidR="007B5EF9" w:rsidRPr="00F038AE">
        <w:rPr>
          <w:sz w:val="28"/>
          <w:szCs w:val="28"/>
        </w:rPr>
        <w:t>истемы национальных счетов (СНС)</w:t>
      </w:r>
      <w:r w:rsidRPr="00F038AE">
        <w:rPr>
          <w:sz w:val="28"/>
          <w:szCs w:val="28"/>
        </w:rPr>
        <w:t>. Они содержат подробные характеристики производства и использования товаров и услуг, а также доходов, формирующихся в процессе производства.</w:t>
      </w:r>
    </w:p>
    <w:p w:rsidR="007B5EF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Позволяют осуществлять макроэкономический анализ этих показателей на более детальном уровне, дополняя и расширяя возможности СНС.</w:t>
      </w:r>
    </w:p>
    <w:p w:rsidR="00202419" w:rsidRPr="00F038AE" w:rsidRDefault="00202419" w:rsidP="00F038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38AE">
        <w:rPr>
          <w:sz w:val="28"/>
          <w:szCs w:val="28"/>
        </w:rPr>
        <w:t>Сборники таблиц "Затраты - Выпуск" публикуются Госкомстатом России.</w:t>
      </w:r>
    </w:p>
    <w:p w:rsidR="00F038AE" w:rsidRDefault="00F038AE" w:rsidP="00F038AE">
      <w:pPr>
        <w:spacing w:line="360" w:lineRule="auto"/>
        <w:ind w:firstLine="709"/>
        <w:rPr>
          <w:sz w:val="28"/>
          <w:szCs w:val="28"/>
        </w:rPr>
      </w:pPr>
    </w:p>
    <w:p w:rsidR="00311119" w:rsidRPr="00F038AE" w:rsidRDefault="00311119" w:rsidP="00F038AE">
      <w:pPr>
        <w:spacing w:line="360" w:lineRule="auto"/>
        <w:ind w:firstLine="709"/>
        <w:jc w:val="center"/>
        <w:rPr>
          <w:sz w:val="28"/>
          <w:szCs w:val="28"/>
        </w:rPr>
      </w:pPr>
      <w:r w:rsidRPr="00F038AE">
        <w:rPr>
          <w:sz w:val="28"/>
          <w:szCs w:val="28"/>
        </w:rPr>
        <w:t>3. Зарубежный опыт планирования на примере Японии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 xml:space="preserve">В отличие от директивного планирования, при котором план экономического развития страны приобретает силу закона и становится обязательным для всех звеньев народного хозяйства, общегосударственное планирование в Японии носит </w:t>
      </w:r>
      <w:r w:rsidRPr="00F038AE">
        <w:rPr>
          <w:iCs/>
          <w:sz w:val="28"/>
          <w:szCs w:val="28"/>
        </w:rPr>
        <w:t>индикативный характер</w:t>
      </w:r>
      <w:r w:rsidRPr="00F038AE">
        <w:rPr>
          <w:sz w:val="28"/>
          <w:szCs w:val="28"/>
        </w:rPr>
        <w:t>. Разрабатываемые планы формально не являются законами, а представляют собой государственные программы, ориентирующие и мобилизующие отдельные звенья экономической структуры на их выполнение в общенациональных интересах.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К выводу об эффективности таких программ в условиях рынка японские специалисты пришли еще в 50-х годах, когда было положено начало общегосударственному планированию. Обосновывая необходимость и важность принятия первого общегосударственного плана, известного как Пятилетний план экономического самообеспечения (1956-1960 финансовые годы), его разработчики подчеркивали, что хотя планирование присуще прежде всего социалистической системе хозяйства, оно может достаточно эффективно осуществляться и в условиях рыночной экономики</w:t>
      </w:r>
      <w:r w:rsidR="001C0D7F" w:rsidRPr="00F038AE">
        <w:rPr>
          <w:sz w:val="28"/>
          <w:szCs w:val="28"/>
        </w:rPr>
        <w:t>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Составители плана исходили из того, что основу японского хозяйства составляют частные предприятия. Их не смущали такие серьезные трудности, как общая дезорганизация экономики восстановительного периода, инфляция, дефицит платежного баланса, массовая безработица и т.п. Эти проблемы, по их мнению, могли быть решены именно путем разработки и осуществления общегосударственных среднесрочных и долгосрочных программ.</w:t>
      </w:r>
    </w:p>
    <w:p w:rsidR="00151AE7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 xml:space="preserve">С начала планирования в Японии разработано </w:t>
      </w:r>
      <w:r w:rsidR="001C0D7F" w:rsidRPr="00F038AE">
        <w:rPr>
          <w:sz w:val="28"/>
          <w:szCs w:val="28"/>
        </w:rPr>
        <w:t>несколько</w:t>
      </w:r>
      <w:r w:rsidRPr="00F038AE">
        <w:rPr>
          <w:sz w:val="28"/>
          <w:szCs w:val="28"/>
        </w:rPr>
        <w:t xml:space="preserve"> общегосударственных программ социально-экономического ра</w:t>
      </w:r>
      <w:r w:rsidR="001C0D7F" w:rsidRPr="00F038AE">
        <w:rPr>
          <w:sz w:val="28"/>
          <w:szCs w:val="28"/>
        </w:rPr>
        <w:t>звития страны</w:t>
      </w:r>
      <w:r w:rsidRPr="00F038AE">
        <w:rPr>
          <w:sz w:val="28"/>
          <w:szCs w:val="28"/>
        </w:rPr>
        <w:t>. Поставленные ими цели преследовали решение наиболее важных проблем, стоявших в тот или иной конкретный период. Однако их полное достижение в условиях стихийности рыночной экономики, особенно для такой страны, как Япония, которая в значительной степени зависит от внешнего рынка, вряд ли было возможным. Решение намеченных задач, сопровождаемое серьезными, часто непредсказуемыми трудностями, могло носить лишь частичный характер, особенно в социальной сфере.</w:t>
      </w:r>
      <w:r w:rsidR="00151AE7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 xml:space="preserve">Вместе с тем сам факт постановки таких целей оказал позитивное воздействие на общее развитие экономики, в частности на форсирование ее роста. </w:t>
      </w:r>
      <w:r w:rsidR="000C237A" w:rsidRPr="00F038AE">
        <w:rPr>
          <w:sz w:val="28"/>
          <w:szCs w:val="28"/>
        </w:rPr>
        <w:t xml:space="preserve">В результате лишь некоторые из </w:t>
      </w:r>
      <w:r w:rsidRPr="00F038AE">
        <w:rPr>
          <w:sz w:val="28"/>
          <w:szCs w:val="28"/>
        </w:rPr>
        <w:t xml:space="preserve">общегосударственных планов </w:t>
      </w:r>
      <w:r w:rsidR="000C237A" w:rsidRPr="00F038AE">
        <w:rPr>
          <w:sz w:val="28"/>
          <w:szCs w:val="28"/>
        </w:rPr>
        <w:t xml:space="preserve">Японии </w:t>
      </w:r>
      <w:r w:rsidRPr="00F038AE">
        <w:rPr>
          <w:sz w:val="28"/>
          <w:szCs w:val="28"/>
        </w:rPr>
        <w:t xml:space="preserve">потерпели провал. </w:t>
      </w:r>
      <w:r w:rsidR="000C237A" w:rsidRPr="00F038AE">
        <w:rPr>
          <w:sz w:val="28"/>
          <w:szCs w:val="28"/>
        </w:rPr>
        <w:t>Эти планы</w:t>
      </w:r>
      <w:r w:rsidRPr="00F038AE">
        <w:rPr>
          <w:sz w:val="28"/>
          <w:szCs w:val="28"/>
        </w:rPr>
        <w:t xml:space="preserve"> совпали с серьезными трудностями в мировой экономике, в частности с годами наиболее острого в послевоенный период экономического кризиса, охватившего ведущие капиталистические страны. Однако даже эти планы</w:t>
      </w:r>
      <w:r w:rsidR="00151AE7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в конечном итоге сыграли положительную роль в развитии экономики, так как на их основе были оперативно разработаны сменившие их новые программы. Что касается остальных планов, то</w:t>
      </w:r>
      <w:r w:rsidR="000C237A" w:rsidRPr="00F038AE">
        <w:rPr>
          <w:sz w:val="28"/>
          <w:szCs w:val="28"/>
        </w:rPr>
        <w:t xml:space="preserve"> они</w:t>
      </w:r>
      <w:r w:rsidRPr="00F038AE">
        <w:rPr>
          <w:sz w:val="28"/>
          <w:szCs w:val="28"/>
        </w:rPr>
        <w:t xml:space="preserve"> по показателям рос</w:t>
      </w:r>
      <w:r w:rsidR="000C237A" w:rsidRPr="00F038AE">
        <w:rPr>
          <w:sz w:val="28"/>
          <w:szCs w:val="28"/>
        </w:rPr>
        <w:t>та были значительно превзойдены</w:t>
      </w:r>
      <w:r w:rsidRPr="00F038AE">
        <w:rPr>
          <w:sz w:val="28"/>
          <w:szCs w:val="28"/>
        </w:rPr>
        <w:t>.</w:t>
      </w:r>
      <w:r w:rsidR="00151AE7" w:rsidRPr="00F038AE">
        <w:rPr>
          <w:sz w:val="28"/>
          <w:szCs w:val="28"/>
        </w:rPr>
        <w:t xml:space="preserve"> </w:t>
      </w:r>
      <w:r w:rsidR="000C237A" w:rsidRPr="00F038AE">
        <w:rPr>
          <w:sz w:val="28"/>
          <w:szCs w:val="28"/>
        </w:rPr>
        <w:t xml:space="preserve">Все это </w:t>
      </w:r>
      <w:r w:rsidRPr="00F038AE">
        <w:rPr>
          <w:sz w:val="28"/>
          <w:szCs w:val="28"/>
        </w:rPr>
        <w:t>позволяет говорить об эффективности общегосударственного экономического планирования в Японии.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Сложившейся формой общенационального п</w:t>
      </w:r>
      <w:r w:rsidR="000C237A" w:rsidRPr="00F038AE">
        <w:rPr>
          <w:sz w:val="28"/>
          <w:szCs w:val="28"/>
        </w:rPr>
        <w:t xml:space="preserve">ланирования в Японии, является </w:t>
      </w:r>
      <w:r w:rsidRPr="00F038AE">
        <w:rPr>
          <w:iCs/>
          <w:sz w:val="28"/>
          <w:szCs w:val="28"/>
        </w:rPr>
        <w:t>периодическая разработка общегосударственных планов социально-экономического развития страны</w:t>
      </w:r>
      <w:r w:rsidRPr="00F038AE">
        <w:rPr>
          <w:sz w:val="28"/>
          <w:szCs w:val="28"/>
        </w:rPr>
        <w:t>. В этом процессе в той или иной мере принимают участие все правительственные учреждения, имеющие отношение к экономике, и прежде всего министерство финансов и министерство внешней торговли и промышленности. К составлению планов привлекаются и многие научно-исследовательские организации, а также широкий круг опытных специалистов и экспертов. Главную же координирующую роль в их разработке играет Управление экономического планирования, а совещательно-исполнительную - Экономический совет.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iCs/>
          <w:sz w:val="28"/>
          <w:szCs w:val="28"/>
        </w:rPr>
        <w:t xml:space="preserve">Управление экономического планирования </w:t>
      </w:r>
      <w:r w:rsidRPr="00F038AE">
        <w:rPr>
          <w:sz w:val="28"/>
          <w:szCs w:val="28"/>
        </w:rPr>
        <w:t xml:space="preserve">является важной составной частью кабинета министров и возглавляется генеральным директором в ранге государственного министра. В числе других подразделений в его структуре существует </w:t>
      </w:r>
      <w:r w:rsidRPr="00F038AE">
        <w:rPr>
          <w:iCs/>
          <w:sz w:val="28"/>
          <w:szCs w:val="28"/>
        </w:rPr>
        <w:t>Бюро планирования</w:t>
      </w:r>
      <w:r w:rsidRPr="00F038AE">
        <w:rPr>
          <w:sz w:val="28"/>
          <w:szCs w:val="28"/>
        </w:rPr>
        <w:t>, главная функция которого заключается в организации разработок долгосрочных экономических планов. Наряду с этим оно координирует действия всех административных подразделений правительства в области осуществления наиболее важных мероприятий, предусмотренных экономическим планом; анализирует и оценивает общий потенциал страны; планирует и координирует основные мероприятия и программы, относящиеся к развитию энергетики; курирует Национальный институт прогнозных исследований.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iCs/>
          <w:sz w:val="28"/>
          <w:szCs w:val="28"/>
        </w:rPr>
        <w:t>Экономический совет</w:t>
      </w:r>
      <w:r w:rsidR="000C237A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формально создан при Управлении экономического планирования, но фактически подчиняется непосредственно премьер-министру. Его основные функции сводятся к изучению по поручению премьер-министра положения дел в экономике и формулировке мнения о ее развитии, а также к подготовке материалов по проблемам разработки долгосрочных планов и другим вопросам экономической политики.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Таким образом, Совет является совещательным органом при премьер-министре, непосредственно разрабатывающим общегосударственные планы социально-экономического развития страны. Для разработки каждого отдельного плана в помощь Совету, как правило, создается ряд комитетов, включающих несколько сотен представителей различных слоев общества.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Разработка плана начинается с поручения премьер-министра, адресованного формально Управлению экономического планирования, заняться подготовкой новой общегосударственной программы развития экономики. Фактически же это обращение направлено непосредственно к Экономическому совету, который немедленно приступает к работе над составлением плана. Чтобы не сковывать его инициативу и создать условия для творческой деятельности, поручение премьер-министра (как правило, заранее сформулированное Управлением экономического планирования) носит достаточно общий характер и не содержит каких-либо конкретных указаний в отношении того, какими рамками ограничить будущий план. Определены лишь общие цели, которые желательно достичь в результате его осуществления. В различных программах они варьируются в зависимости от конкретных условий и задач развития экономики.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Экономический совет, приступая к планированию, исходит прежде всего из этих целей (достижение экономической независимости страны, максимизация роста, удвоение национального дохода и т.п.).</w:t>
      </w:r>
      <w:r w:rsidR="00151AE7" w:rsidRPr="00F038AE">
        <w:rPr>
          <w:sz w:val="28"/>
          <w:szCs w:val="28"/>
        </w:rPr>
        <w:t xml:space="preserve"> Общегосударственные </w:t>
      </w:r>
      <w:r w:rsidRPr="00F038AE">
        <w:rPr>
          <w:sz w:val="28"/>
          <w:szCs w:val="28"/>
        </w:rPr>
        <w:t>планы социально-экономического развития представляют собой конкретизированную экономическую часть всеохватывающих долгосрочных государственных программ.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На разработку такого плана уходит несколько месяцев, после чего Экономический совет представляет его в виде доклада премьер-министру, который, как правило, одобряет план без особых изменений. При необходимости вносятся определенные поправки и уточнения. По традиции окончательный вариант утверждается кабинетом министров как общегосударственный экономический план, публикуется в печати и доводится до сведения всех правительственных учреждений. Практика показала, что большинство японских компаний (особенно крупных) способствуют осуществлению плана, а многие из них планируют свою деятельность исходя из его наметок и ориентиров.</w:t>
      </w:r>
    </w:p>
    <w:p w:rsidR="00261C3E" w:rsidRPr="00F038AE" w:rsidRDefault="00261C3E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Особого внимания заслуживает такая специфическая черта японского общегосударственного планирования, как его продуманная и заранее предусмотренная гибкость. Практически ни один из действовавших планов не просуществовал до первоначально намеченных конечных сроков. Однако их досрочная замена очередными новыми программами отнюдь не является результатом провала, а вызвана тем, что основные плановые показатели были превзойдены или почти выполнены за более короткий период. Это вызвало необходимость разработки новых ориентиров, отвечающих изменившимся внутренним и внешним условиям.</w:t>
      </w:r>
      <w:r w:rsidR="00151AE7" w:rsidRPr="00F038AE">
        <w:rPr>
          <w:sz w:val="28"/>
          <w:szCs w:val="28"/>
        </w:rPr>
        <w:t xml:space="preserve"> </w:t>
      </w:r>
      <w:r w:rsidRPr="00F038AE">
        <w:rPr>
          <w:sz w:val="28"/>
          <w:szCs w:val="28"/>
        </w:rPr>
        <w:t>В целом опыт Японии в области общегосударственного экономического планирования в рыночных условиях свидетельствует о том, что оно является особой, весьма гибкой и достаточно эффективной формой государственно-монополистического регулирования хозяйства.</w:t>
      </w:r>
    </w:p>
    <w:p w:rsidR="00F038AE" w:rsidRDefault="00F038AE" w:rsidP="00F038AE">
      <w:pPr>
        <w:spacing w:line="360" w:lineRule="auto"/>
        <w:ind w:firstLine="709"/>
        <w:rPr>
          <w:sz w:val="28"/>
          <w:szCs w:val="28"/>
        </w:rPr>
      </w:pPr>
    </w:p>
    <w:p w:rsidR="00151AE7" w:rsidRDefault="00F038AE" w:rsidP="00F038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Задача</w:t>
      </w:r>
    </w:p>
    <w:p w:rsidR="00F038AE" w:rsidRPr="00F038AE" w:rsidRDefault="00F038AE" w:rsidP="00F038AE">
      <w:pPr>
        <w:spacing w:line="360" w:lineRule="auto"/>
        <w:ind w:firstLine="709"/>
        <w:rPr>
          <w:sz w:val="28"/>
          <w:szCs w:val="28"/>
        </w:rPr>
      </w:pPr>
    </w:p>
    <w:p w:rsidR="00151AE7" w:rsidRPr="00F038AE" w:rsidRDefault="00151AE7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Имеется временной ряд показателя объема валовой продукции в регионе в сопоставимых ценах за 7 лет. Используя метод скользящей средней, сделать прогноз валового выпуска продукции в регионе на последующий год (Р=2):</w:t>
      </w:r>
    </w:p>
    <w:p w:rsidR="00C0241D" w:rsidRPr="00F038AE" w:rsidRDefault="00C0241D" w:rsidP="00F038AE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616"/>
        <w:gridCol w:w="516"/>
        <w:gridCol w:w="516"/>
        <w:gridCol w:w="616"/>
        <w:gridCol w:w="616"/>
        <w:gridCol w:w="516"/>
        <w:gridCol w:w="516"/>
      </w:tblGrid>
      <w:tr w:rsidR="00151AE7" w:rsidRPr="00281B9B" w:rsidTr="00281B9B">
        <w:tc>
          <w:tcPr>
            <w:tcW w:w="1591" w:type="dxa"/>
            <w:shd w:val="clear" w:color="auto" w:fill="auto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7</w:t>
            </w:r>
          </w:p>
        </w:tc>
      </w:tr>
      <w:tr w:rsidR="00151AE7" w:rsidRPr="00281B9B" w:rsidTr="00281B9B">
        <w:tc>
          <w:tcPr>
            <w:tcW w:w="1591" w:type="dxa"/>
            <w:shd w:val="clear" w:color="auto" w:fill="auto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ВРП, млн. руб.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120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80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115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100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70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51AE7" w:rsidRPr="00281B9B" w:rsidRDefault="00151AE7" w:rsidP="00281B9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81B9B">
              <w:rPr>
                <w:sz w:val="20"/>
                <w:szCs w:val="20"/>
              </w:rPr>
              <w:t>80</w:t>
            </w:r>
          </w:p>
        </w:tc>
      </w:tr>
    </w:tbl>
    <w:p w:rsidR="00151AE7" w:rsidRPr="00F038AE" w:rsidRDefault="00151AE7" w:rsidP="00F038AE">
      <w:pPr>
        <w:spacing w:line="360" w:lineRule="auto"/>
        <w:ind w:firstLine="709"/>
        <w:rPr>
          <w:sz w:val="28"/>
          <w:szCs w:val="28"/>
        </w:rPr>
      </w:pPr>
    </w:p>
    <w:p w:rsidR="00151AE7" w:rsidRPr="00F038AE" w:rsidRDefault="00151AE7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Решение:</w:t>
      </w:r>
    </w:p>
    <w:p w:rsidR="0072643A" w:rsidRPr="00F038AE" w:rsidRDefault="00DC470C" w:rsidP="00F038A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5D45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0.75pt">
            <v:imagedata r:id="rId7" o:title=""/>
          </v:shape>
        </w:pict>
      </w:r>
      <w:r w:rsidR="00606E13" w:rsidRPr="00F038AE">
        <w:rPr>
          <w:sz w:val="28"/>
          <w:szCs w:val="28"/>
        </w:rPr>
        <w:t>;</w:t>
      </w:r>
    </w:p>
    <w:p w:rsidR="0072643A" w:rsidRPr="00F038AE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90pt;height:30.75pt">
            <v:imagedata r:id="rId8" o:title=""/>
          </v:shape>
        </w:pict>
      </w:r>
      <w:r w:rsidR="00606E13" w:rsidRPr="00F038AE">
        <w:rPr>
          <w:sz w:val="28"/>
          <w:szCs w:val="28"/>
        </w:rPr>
        <w:t>;</w:t>
      </w:r>
    </w:p>
    <w:p w:rsidR="00151AE7" w:rsidRPr="00F038AE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86.25pt;height:30.75pt">
            <v:imagedata r:id="rId9" o:title=""/>
          </v:shape>
        </w:pict>
      </w:r>
    </w:p>
    <w:p w:rsidR="0072643A" w:rsidRPr="00F038AE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98.25pt;height:31.5pt">
            <v:imagedata r:id="rId10" o:title=""/>
          </v:shape>
        </w:pict>
      </w:r>
      <w:r w:rsidR="00606E13" w:rsidRPr="00F038AE">
        <w:rPr>
          <w:sz w:val="28"/>
          <w:szCs w:val="28"/>
        </w:rPr>
        <w:t>;</w:t>
      </w:r>
    </w:p>
    <w:p w:rsidR="0072643A" w:rsidRPr="00F038AE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78.75pt;height:30.75pt">
            <v:imagedata r:id="rId11" o:title=""/>
          </v:shape>
        </w:pict>
      </w:r>
      <w:r w:rsidR="00606E13" w:rsidRPr="00F038AE">
        <w:rPr>
          <w:sz w:val="28"/>
          <w:szCs w:val="28"/>
        </w:rPr>
        <w:t>;</w:t>
      </w:r>
    </w:p>
    <w:p w:rsidR="00606E13" w:rsidRPr="00F038AE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75pt;height:30.75pt">
            <v:imagedata r:id="rId12" o:title=""/>
          </v:shape>
        </w:pict>
      </w:r>
    </w:p>
    <w:p w:rsidR="00DC470C" w:rsidRDefault="00DC470C" w:rsidP="00F038AE">
      <w:pPr>
        <w:spacing w:line="360" w:lineRule="auto"/>
        <w:ind w:firstLine="709"/>
        <w:rPr>
          <w:sz w:val="28"/>
          <w:szCs w:val="28"/>
        </w:rPr>
      </w:pPr>
    </w:p>
    <w:p w:rsidR="0072643A" w:rsidRDefault="0072643A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Найдем параметры уравнения тренда:</w:t>
      </w:r>
    </w:p>
    <w:p w:rsidR="00F038AE" w:rsidRPr="00F038AE" w:rsidRDefault="00F038AE" w:rsidP="00F038AE">
      <w:pPr>
        <w:spacing w:line="360" w:lineRule="auto"/>
        <w:ind w:firstLine="709"/>
        <w:rPr>
          <w:sz w:val="28"/>
          <w:szCs w:val="28"/>
        </w:rPr>
      </w:pPr>
    </w:p>
    <w:p w:rsidR="0072643A" w:rsidRPr="00F038AE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65.25pt;height:18pt">
            <v:imagedata r:id="rId13" o:title=""/>
          </v:shape>
        </w:pict>
      </w:r>
    </w:p>
    <w:p w:rsidR="0072643A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2" type="#_x0000_t75" style="width:114pt;height:39.75pt">
            <v:imagedata r:id="rId14" o:title=""/>
          </v:shape>
        </w:pict>
      </w:r>
    </w:p>
    <w:p w:rsidR="00C74FE8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78pt;height:18pt">
            <v:imagedata r:id="rId15" o:title=""/>
          </v:shape>
        </w:pict>
      </w:r>
    </w:p>
    <w:p w:rsidR="00DC470C" w:rsidRDefault="00DC470C" w:rsidP="00F038AE">
      <w:pPr>
        <w:spacing w:line="360" w:lineRule="auto"/>
        <w:ind w:firstLine="709"/>
        <w:rPr>
          <w:sz w:val="28"/>
          <w:szCs w:val="28"/>
        </w:rPr>
      </w:pPr>
    </w:p>
    <w:p w:rsidR="00C74FE8" w:rsidRPr="00F038AE" w:rsidRDefault="00C74FE8" w:rsidP="00F038AE">
      <w:pPr>
        <w:spacing w:line="360" w:lineRule="auto"/>
        <w:ind w:firstLine="709"/>
        <w:rPr>
          <w:sz w:val="28"/>
          <w:szCs w:val="28"/>
        </w:rPr>
      </w:pPr>
      <w:r w:rsidRPr="00F038AE">
        <w:rPr>
          <w:sz w:val="28"/>
          <w:szCs w:val="28"/>
        </w:rPr>
        <w:t>Тогда прогноз на следующий год составит:</w:t>
      </w:r>
    </w:p>
    <w:p w:rsidR="00DC470C" w:rsidRDefault="00DC470C" w:rsidP="00F038AE">
      <w:pPr>
        <w:spacing w:line="360" w:lineRule="auto"/>
        <w:ind w:firstLine="709"/>
        <w:rPr>
          <w:sz w:val="28"/>
          <w:szCs w:val="28"/>
        </w:rPr>
      </w:pPr>
    </w:p>
    <w:p w:rsidR="00C74FE8" w:rsidRDefault="00725D45" w:rsidP="00F038AE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17pt;height:18pt">
            <v:imagedata r:id="rId16" o:title=""/>
          </v:shape>
        </w:pict>
      </w:r>
    </w:p>
    <w:p w:rsidR="00F038AE" w:rsidRPr="00F038AE" w:rsidRDefault="00F038AE" w:rsidP="00F038AE">
      <w:pPr>
        <w:spacing w:line="360" w:lineRule="auto"/>
        <w:ind w:firstLine="709"/>
        <w:rPr>
          <w:sz w:val="28"/>
          <w:szCs w:val="28"/>
        </w:rPr>
      </w:pPr>
    </w:p>
    <w:p w:rsidR="00C417BA" w:rsidRDefault="00C417BA" w:rsidP="00F038AE">
      <w:pPr>
        <w:spacing w:line="360" w:lineRule="auto"/>
        <w:ind w:firstLine="709"/>
        <w:jc w:val="center"/>
        <w:rPr>
          <w:sz w:val="28"/>
          <w:szCs w:val="28"/>
        </w:rPr>
      </w:pPr>
      <w:r w:rsidRPr="00F038AE">
        <w:rPr>
          <w:sz w:val="28"/>
          <w:szCs w:val="28"/>
        </w:rPr>
        <w:br w:type="page"/>
        <w:t>С</w:t>
      </w:r>
      <w:r w:rsidR="00F038AE">
        <w:rPr>
          <w:sz w:val="28"/>
          <w:szCs w:val="28"/>
        </w:rPr>
        <w:t>писок использованной литературы</w:t>
      </w:r>
    </w:p>
    <w:p w:rsidR="00C417BA" w:rsidRPr="00F038AE" w:rsidRDefault="00C417BA" w:rsidP="00F038AE">
      <w:pPr>
        <w:spacing w:line="360" w:lineRule="auto"/>
        <w:ind w:firstLine="709"/>
        <w:rPr>
          <w:sz w:val="28"/>
          <w:szCs w:val="28"/>
        </w:rPr>
      </w:pP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Анискин Ю.П.,Павлова А.М. Планирование и контроллин. – М.: Омега-Л, 2005. – 280 с.</w:t>
      </w: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Басовский Л.Е. Прогнозирование и планирование в условиях рынка. – М.: ИНФРА-М, 2006. – 260 с.</w:t>
      </w: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Борисевич В.И.,Кандаурова Г.А.,Кандауров Н.Н. Прогнозирование и планирование экономики.</w:t>
      </w:r>
      <w:r w:rsidR="00F038AE">
        <w:t xml:space="preserve"> </w:t>
      </w:r>
      <w:r w:rsidRPr="00F038AE">
        <w:t>– М.: ИНФРА-М, 2004. – 152 с.</w:t>
      </w: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Владимирова Л.П. Прогнозирование и планирование в условиях рынка. – М.: Дашков и К, 2006. – 400 с.</w:t>
      </w: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Глущенко В.В. Прогнозирование. – М.: Вузовская книга, 2005. – 208</w:t>
      </w: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Морозова Т.Г.,Пикулькин А.В. Прогнозирование и планирование в условиях рынка. - М.: ЮНИТИ-ДАНА, 2003. – 279 с.</w:t>
      </w:r>
    </w:p>
    <w:p w:rsidR="00C417BA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Прогнозирование и планирование в условиях рынка / Под ред. Т. Г. Морозовой, А. В. Пикулькина. – М.: ЮНИТИ-ДАНА, 2001. – 318 с.</w:t>
      </w:r>
    </w:p>
    <w:p w:rsidR="003E4081" w:rsidRPr="00F038AE" w:rsidRDefault="00C417BA" w:rsidP="00F038AE">
      <w:pPr>
        <w:pStyle w:val="a5"/>
        <w:numPr>
          <w:ilvl w:val="0"/>
          <w:numId w:val="1"/>
        </w:numPr>
        <w:tabs>
          <w:tab w:val="clear" w:pos="360"/>
        </w:tabs>
        <w:autoSpaceDE/>
        <w:autoSpaceDN/>
        <w:spacing w:line="360" w:lineRule="auto"/>
        <w:ind w:left="0" w:firstLine="0"/>
      </w:pPr>
      <w:r w:rsidRPr="00F038AE">
        <w:t>Прогнозирование и планирование экономики / Под ред. Борисовича В.И.. – Минск: Экоперспектива, 2000. – 432 с.</w:t>
      </w:r>
      <w:bookmarkStart w:id="0" w:name="_GoBack"/>
      <w:bookmarkEnd w:id="0"/>
    </w:p>
    <w:sectPr w:rsidR="003E4081" w:rsidRPr="00F038AE" w:rsidSect="00F038AE">
      <w:headerReference w:type="even" r:id="rId17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9B" w:rsidRDefault="00281B9B">
      <w:r>
        <w:separator/>
      </w:r>
    </w:p>
  </w:endnote>
  <w:endnote w:type="continuationSeparator" w:id="0">
    <w:p w:rsidR="00281B9B" w:rsidRDefault="0028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9B" w:rsidRDefault="00281B9B">
      <w:r>
        <w:separator/>
      </w:r>
    </w:p>
  </w:footnote>
  <w:footnote w:type="continuationSeparator" w:id="0">
    <w:p w:rsidR="00281B9B" w:rsidRDefault="0028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93F" w:rsidRDefault="002F193F" w:rsidP="0031111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15</w:t>
    </w:r>
  </w:p>
  <w:p w:rsidR="002F193F" w:rsidRDefault="002F193F" w:rsidP="0031111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7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43843"/>
    <w:rsid w:val="00063C04"/>
    <w:rsid w:val="0009165F"/>
    <w:rsid w:val="000C237A"/>
    <w:rsid w:val="00151AE7"/>
    <w:rsid w:val="0016017F"/>
    <w:rsid w:val="0018358E"/>
    <w:rsid w:val="001B2687"/>
    <w:rsid w:val="001B72AE"/>
    <w:rsid w:val="001C0D7F"/>
    <w:rsid w:val="001D3BAB"/>
    <w:rsid w:val="00202419"/>
    <w:rsid w:val="00254822"/>
    <w:rsid w:val="00261C3E"/>
    <w:rsid w:val="00281B9B"/>
    <w:rsid w:val="002F193F"/>
    <w:rsid w:val="002F21AC"/>
    <w:rsid w:val="00311119"/>
    <w:rsid w:val="00324FC8"/>
    <w:rsid w:val="003E4081"/>
    <w:rsid w:val="004F0C45"/>
    <w:rsid w:val="00512A19"/>
    <w:rsid w:val="00531059"/>
    <w:rsid w:val="00532B78"/>
    <w:rsid w:val="00553FC9"/>
    <w:rsid w:val="005C700E"/>
    <w:rsid w:val="005F5119"/>
    <w:rsid w:val="005F7104"/>
    <w:rsid w:val="00606E13"/>
    <w:rsid w:val="00660AAD"/>
    <w:rsid w:val="006C541B"/>
    <w:rsid w:val="00725D45"/>
    <w:rsid w:val="00726255"/>
    <w:rsid w:val="0072643A"/>
    <w:rsid w:val="007B5EF9"/>
    <w:rsid w:val="008474EF"/>
    <w:rsid w:val="00896EDD"/>
    <w:rsid w:val="00954A16"/>
    <w:rsid w:val="009771F1"/>
    <w:rsid w:val="009A0F42"/>
    <w:rsid w:val="009F7593"/>
    <w:rsid w:val="00C0241D"/>
    <w:rsid w:val="00C417BA"/>
    <w:rsid w:val="00C71C9B"/>
    <w:rsid w:val="00C74FE8"/>
    <w:rsid w:val="00CB1227"/>
    <w:rsid w:val="00D62301"/>
    <w:rsid w:val="00D83AD2"/>
    <w:rsid w:val="00D86E9B"/>
    <w:rsid w:val="00DC470C"/>
    <w:rsid w:val="00DF156B"/>
    <w:rsid w:val="00DF588A"/>
    <w:rsid w:val="00E4550A"/>
    <w:rsid w:val="00E72023"/>
    <w:rsid w:val="00EF7DAC"/>
    <w:rsid w:val="00F038AE"/>
    <w:rsid w:val="00F21F0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8F8B865-CD86-4452-BDA1-4B1563F7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BA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link w:val="40"/>
    <w:uiPriority w:val="9"/>
    <w:qFormat/>
    <w:rsid w:val="00202419"/>
    <w:pPr>
      <w:spacing w:before="100" w:beforeAutospacing="1" w:after="100" w:afterAutospacing="1"/>
      <w:ind w:firstLine="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Body Text"/>
    <w:basedOn w:val="a"/>
    <w:link w:val="a6"/>
    <w:uiPriority w:val="99"/>
    <w:rsid w:val="00C417BA"/>
    <w:pPr>
      <w:autoSpaceDE w:val="0"/>
      <w:autoSpaceDN w:val="0"/>
      <w:ind w:firstLine="0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111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311119"/>
    <w:rPr>
      <w:rFonts w:cs="Times New Roman"/>
    </w:rPr>
  </w:style>
  <w:style w:type="paragraph" w:customStyle="1" w:styleId="11">
    <w:name w:val="Обычный (веб)1"/>
    <w:basedOn w:val="a"/>
    <w:rsid w:val="00202419"/>
    <w:pPr>
      <w:spacing w:before="68" w:after="100" w:afterAutospacing="1"/>
      <w:ind w:firstLine="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uiPriority w:val="99"/>
    <w:rsid w:val="00202419"/>
    <w:pPr>
      <w:spacing w:before="100" w:beforeAutospacing="1" w:after="100" w:afterAutospacing="1"/>
      <w:ind w:firstLine="0"/>
      <w:jc w:val="left"/>
    </w:pPr>
  </w:style>
  <w:style w:type="character" w:styleId="ab">
    <w:name w:val="Hyperlink"/>
    <w:uiPriority w:val="99"/>
    <w:rsid w:val="00202419"/>
    <w:rPr>
      <w:rFonts w:cs="Times New Roman"/>
      <w:b/>
      <w:bCs/>
      <w:color w:val="339900"/>
      <w:u w:val="none"/>
      <w:effect w:val="none"/>
    </w:rPr>
  </w:style>
  <w:style w:type="paragraph" w:customStyle="1" w:styleId="up1">
    <w:name w:val="up1"/>
    <w:basedOn w:val="a"/>
    <w:rsid w:val="00202419"/>
    <w:pPr>
      <w:spacing w:after="100" w:afterAutospacing="1"/>
      <w:ind w:left="136" w:firstLine="340"/>
      <w:jc w:val="left"/>
    </w:pPr>
    <w:rPr>
      <w:rFonts w:ascii="Arial" w:hAnsi="Arial" w:cs="Arial"/>
      <w:color w:val="000000"/>
    </w:rPr>
  </w:style>
  <w:style w:type="paragraph" w:customStyle="1" w:styleId="up3">
    <w:name w:val="up3"/>
    <w:basedOn w:val="a"/>
    <w:rsid w:val="00202419"/>
    <w:pPr>
      <w:spacing w:before="100" w:beforeAutospacing="1" w:after="100" w:afterAutospacing="1"/>
      <w:ind w:left="136" w:firstLine="0"/>
      <w:jc w:val="left"/>
    </w:pPr>
    <w:rPr>
      <w:rFonts w:ascii="Arial" w:hAnsi="Arial" w:cs="Arial"/>
      <w:color w:val="000000"/>
    </w:rPr>
  </w:style>
  <w:style w:type="table" w:styleId="ac">
    <w:name w:val="Table Grid"/>
    <w:basedOn w:val="a1"/>
    <w:uiPriority w:val="59"/>
    <w:rsid w:val="00151AE7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F1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DC47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DC470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9544">
      <w:marLeft w:val="68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Шифр: 051016 – вариант 6</vt:lpstr>
    </vt:vector>
  </TitlesOfParts>
  <Company>Home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Шифр: 051016 – вариант 6</dc:title>
  <dc:subject/>
  <dc:creator>Jane</dc:creator>
  <cp:keywords/>
  <dc:description/>
  <cp:lastModifiedBy>admin</cp:lastModifiedBy>
  <cp:revision>2</cp:revision>
  <cp:lastPrinted>2006-11-13T15:15:00Z</cp:lastPrinted>
  <dcterms:created xsi:type="dcterms:W3CDTF">2014-03-01T10:30:00Z</dcterms:created>
  <dcterms:modified xsi:type="dcterms:W3CDTF">2014-03-01T10:30:00Z</dcterms:modified>
</cp:coreProperties>
</file>