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BDE" w:rsidRPr="009171F7" w:rsidRDefault="00066BDE" w:rsidP="00803DAB">
      <w:pPr>
        <w:pStyle w:val="ae"/>
        <w:keepNext/>
        <w:widowControl w:val="0"/>
        <w:shd w:val="clear" w:color="000000" w:fill="auto"/>
        <w:suppressAutoHyphens/>
        <w:spacing w:line="360" w:lineRule="auto"/>
        <w:rPr>
          <w:color w:val="000000"/>
          <w:sz w:val="28"/>
        </w:rPr>
      </w:pPr>
      <w:r w:rsidRPr="009171F7">
        <w:rPr>
          <w:color w:val="000000"/>
          <w:sz w:val="28"/>
        </w:rPr>
        <w:t>Федеральное агентство по образованию</w:t>
      </w:r>
    </w:p>
    <w:p w:rsidR="00066BDE" w:rsidRPr="009171F7" w:rsidRDefault="00066BDE" w:rsidP="00803DAB">
      <w:pPr>
        <w:keepNext/>
        <w:widowControl w:val="0"/>
        <w:shd w:val="clear" w:color="000000" w:fill="auto"/>
        <w:suppressAutoHyphens/>
        <w:spacing w:line="360" w:lineRule="auto"/>
        <w:jc w:val="center"/>
        <w:rPr>
          <w:color w:val="000000"/>
          <w:sz w:val="28"/>
          <w:szCs w:val="32"/>
        </w:rPr>
      </w:pPr>
    </w:p>
    <w:p w:rsidR="00066BDE" w:rsidRPr="009171F7" w:rsidRDefault="00066BDE" w:rsidP="00803DAB">
      <w:pPr>
        <w:keepNext/>
        <w:widowControl w:val="0"/>
        <w:shd w:val="clear" w:color="000000" w:fill="auto"/>
        <w:suppressAutoHyphens/>
        <w:spacing w:line="360" w:lineRule="auto"/>
        <w:jc w:val="center"/>
        <w:rPr>
          <w:color w:val="000000"/>
          <w:sz w:val="28"/>
          <w:szCs w:val="32"/>
        </w:rPr>
      </w:pPr>
      <w:r w:rsidRPr="009171F7">
        <w:rPr>
          <w:color w:val="000000"/>
          <w:sz w:val="28"/>
          <w:szCs w:val="32"/>
        </w:rPr>
        <w:t>Государственное образовательное учреждение</w:t>
      </w:r>
    </w:p>
    <w:p w:rsidR="00066BDE" w:rsidRPr="009171F7" w:rsidRDefault="00066BDE" w:rsidP="00803DAB">
      <w:pPr>
        <w:keepNext/>
        <w:widowControl w:val="0"/>
        <w:shd w:val="clear" w:color="000000" w:fill="auto"/>
        <w:suppressAutoHyphens/>
        <w:spacing w:line="360" w:lineRule="auto"/>
        <w:jc w:val="center"/>
        <w:rPr>
          <w:color w:val="000000"/>
          <w:sz w:val="28"/>
          <w:szCs w:val="32"/>
        </w:rPr>
      </w:pPr>
      <w:r w:rsidRPr="009171F7">
        <w:rPr>
          <w:color w:val="000000"/>
          <w:sz w:val="28"/>
          <w:szCs w:val="32"/>
        </w:rPr>
        <w:t>высшего профессионального образования</w:t>
      </w:r>
    </w:p>
    <w:p w:rsidR="00066BDE" w:rsidRPr="009171F7" w:rsidRDefault="00066BDE" w:rsidP="00803DAB">
      <w:pPr>
        <w:keepNext/>
        <w:widowControl w:val="0"/>
        <w:shd w:val="clear" w:color="000000" w:fill="auto"/>
        <w:suppressAutoHyphens/>
        <w:spacing w:line="360" w:lineRule="auto"/>
        <w:jc w:val="center"/>
        <w:rPr>
          <w:color w:val="000000"/>
          <w:sz w:val="28"/>
          <w:szCs w:val="32"/>
        </w:rPr>
      </w:pPr>
      <w:r w:rsidRPr="009171F7">
        <w:rPr>
          <w:color w:val="000000"/>
          <w:sz w:val="28"/>
          <w:szCs w:val="32"/>
        </w:rPr>
        <w:t>«Санкт-Петербургский государственный</w:t>
      </w:r>
    </w:p>
    <w:p w:rsidR="00066BDE" w:rsidRPr="009171F7" w:rsidRDefault="00066BDE" w:rsidP="00803DAB">
      <w:pPr>
        <w:keepNext/>
        <w:widowControl w:val="0"/>
        <w:shd w:val="clear" w:color="000000" w:fill="auto"/>
        <w:suppressAutoHyphens/>
        <w:spacing w:line="360" w:lineRule="auto"/>
        <w:jc w:val="center"/>
        <w:rPr>
          <w:color w:val="000000"/>
          <w:sz w:val="28"/>
          <w:szCs w:val="32"/>
        </w:rPr>
      </w:pPr>
      <w:r w:rsidRPr="009171F7">
        <w:rPr>
          <w:color w:val="000000"/>
          <w:sz w:val="28"/>
          <w:szCs w:val="32"/>
        </w:rPr>
        <w:t>инженерно-экономический университет»</w:t>
      </w:r>
    </w:p>
    <w:p w:rsidR="00066BDE" w:rsidRPr="009171F7" w:rsidRDefault="00066BDE" w:rsidP="00803DAB">
      <w:pPr>
        <w:keepNext/>
        <w:widowControl w:val="0"/>
        <w:shd w:val="clear" w:color="000000" w:fill="auto"/>
        <w:suppressAutoHyphens/>
        <w:spacing w:line="360" w:lineRule="auto"/>
        <w:jc w:val="center"/>
        <w:rPr>
          <w:color w:val="000000"/>
          <w:sz w:val="28"/>
          <w:szCs w:val="28"/>
        </w:rPr>
      </w:pPr>
    </w:p>
    <w:p w:rsidR="00066BDE" w:rsidRPr="009171F7" w:rsidRDefault="00066BDE" w:rsidP="00803DAB">
      <w:pPr>
        <w:keepNext/>
        <w:widowControl w:val="0"/>
        <w:shd w:val="clear" w:color="000000" w:fill="auto"/>
        <w:suppressAutoHyphens/>
        <w:spacing w:line="360" w:lineRule="auto"/>
        <w:jc w:val="center"/>
        <w:rPr>
          <w:color w:val="000000"/>
          <w:sz w:val="28"/>
          <w:szCs w:val="28"/>
        </w:rPr>
      </w:pPr>
      <w:r w:rsidRPr="009171F7">
        <w:rPr>
          <w:color w:val="000000"/>
          <w:sz w:val="28"/>
          <w:szCs w:val="28"/>
        </w:rPr>
        <w:t>Факультет предпринимательства и финансов</w:t>
      </w:r>
    </w:p>
    <w:p w:rsidR="00B81743" w:rsidRPr="009171F7" w:rsidRDefault="00066BDE" w:rsidP="00803DAB">
      <w:pPr>
        <w:keepNext/>
        <w:widowControl w:val="0"/>
        <w:shd w:val="clear" w:color="000000" w:fill="auto"/>
        <w:suppressAutoHyphens/>
        <w:spacing w:line="360" w:lineRule="auto"/>
        <w:jc w:val="center"/>
        <w:rPr>
          <w:color w:val="000000"/>
          <w:sz w:val="28"/>
          <w:szCs w:val="28"/>
        </w:rPr>
      </w:pPr>
      <w:r w:rsidRPr="009171F7">
        <w:rPr>
          <w:color w:val="000000"/>
          <w:sz w:val="28"/>
          <w:szCs w:val="28"/>
        </w:rPr>
        <w:t>Кафедра финансов и банковского дела</w:t>
      </w:r>
    </w:p>
    <w:p w:rsidR="00066BDE" w:rsidRPr="009171F7" w:rsidRDefault="00066BDE" w:rsidP="00803DAB">
      <w:pPr>
        <w:keepNext/>
        <w:widowControl w:val="0"/>
        <w:shd w:val="clear" w:color="000000" w:fill="auto"/>
        <w:suppressAutoHyphens/>
        <w:spacing w:line="360" w:lineRule="auto"/>
        <w:jc w:val="center"/>
        <w:rPr>
          <w:color w:val="000000"/>
          <w:sz w:val="28"/>
          <w:szCs w:val="28"/>
        </w:rPr>
      </w:pPr>
    </w:p>
    <w:p w:rsidR="00066BDE" w:rsidRPr="009171F7" w:rsidRDefault="00066BDE" w:rsidP="00803DAB">
      <w:pPr>
        <w:keepNext/>
        <w:widowControl w:val="0"/>
        <w:shd w:val="clear" w:color="000000" w:fill="auto"/>
        <w:suppressAutoHyphens/>
        <w:spacing w:line="360" w:lineRule="auto"/>
        <w:jc w:val="center"/>
        <w:rPr>
          <w:color w:val="000000"/>
          <w:sz w:val="28"/>
          <w:szCs w:val="28"/>
        </w:rPr>
      </w:pPr>
    </w:p>
    <w:p w:rsidR="00066BDE" w:rsidRPr="009171F7" w:rsidRDefault="00066BDE" w:rsidP="00803DAB">
      <w:pPr>
        <w:keepNext/>
        <w:widowControl w:val="0"/>
        <w:shd w:val="clear" w:color="000000" w:fill="auto"/>
        <w:suppressAutoHyphens/>
        <w:spacing w:line="360" w:lineRule="auto"/>
        <w:jc w:val="center"/>
        <w:rPr>
          <w:color w:val="000000"/>
          <w:sz w:val="28"/>
          <w:szCs w:val="28"/>
        </w:rPr>
      </w:pPr>
    </w:p>
    <w:p w:rsidR="00066BDE" w:rsidRPr="009171F7" w:rsidRDefault="00066BDE" w:rsidP="00803DAB">
      <w:pPr>
        <w:pStyle w:val="7"/>
        <w:keepNext/>
        <w:widowControl w:val="0"/>
        <w:shd w:val="clear" w:color="000000" w:fill="auto"/>
        <w:spacing w:before="0" w:after="0" w:line="360" w:lineRule="auto"/>
        <w:jc w:val="center"/>
        <w:rPr>
          <w:b/>
          <w:color w:val="000000"/>
          <w:sz w:val="28"/>
          <w:szCs w:val="32"/>
        </w:rPr>
      </w:pPr>
      <w:r w:rsidRPr="009171F7">
        <w:rPr>
          <w:b/>
          <w:color w:val="000000"/>
          <w:sz w:val="28"/>
          <w:szCs w:val="32"/>
        </w:rPr>
        <w:t>КОНТРОЛЬНАЯ</w:t>
      </w:r>
      <w:r w:rsidR="00B81743" w:rsidRPr="009171F7">
        <w:rPr>
          <w:b/>
          <w:color w:val="000000"/>
          <w:sz w:val="28"/>
          <w:szCs w:val="32"/>
        </w:rPr>
        <w:t xml:space="preserve"> </w:t>
      </w:r>
      <w:r w:rsidRPr="009171F7">
        <w:rPr>
          <w:b/>
          <w:color w:val="000000"/>
          <w:sz w:val="28"/>
          <w:szCs w:val="32"/>
        </w:rPr>
        <w:t>РАБОТА</w:t>
      </w:r>
    </w:p>
    <w:p w:rsidR="00066BDE" w:rsidRPr="009171F7" w:rsidRDefault="00066BDE" w:rsidP="00803DAB">
      <w:pPr>
        <w:keepNext/>
        <w:widowControl w:val="0"/>
        <w:shd w:val="clear" w:color="000000" w:fill="auto"/>
        <w:spacing w:line="360" w:lineRule="auto"/>
        <w:jc w:val="center"/>
        <w:rPr>
          <w:b/>
          <w:color w:val="000000"/>
          <w:sz w:val="28"/>
          <w:szCs w:val="32"/>
        </w:rPr>
      </w:pPr>
    </w:p>
    <w:p w:rsidR="00066BDE" w:rsidRPr="009171F7" w:rsidRDefault="00066BDE" w:rsidP="00803DAB">
      <w:pPr>
        <w:keepNext/>
        <w:widowControl w:val="0"/>
        <w:shd w:val="clear" w:color="000000" w:fill="auto"/>
        <w:spacing w:line="360" w:lineRule="auto"/>
        <w:jc w:val="center"/>
        <w:rPr>
          <w:b/>
          <w:color w:val="000000"/>
          <w:sz w:val="28"/>
          <w:szCs w:val="32"/>
        </w:rPr>
      </w:pPr>
      <w:r w:rsidRPr="009171F7">
        <w:rPr>
          <w:b/>
          <w:color w:val="000000"/>
          <w:sz w:val="28"/>
          <w:szCs w:val="32"/>
        </w:rPr>
        <w:t>по дисциплине</w:t>
      </w:r>
    </w:p>
    <w:p w:rsidR="00066BDE" w:rsidRPr="009171F7" w:rsidRDefault="00066BDE" w:rsidP="00803DAB">
      <w:pPr>
        <w:keepNext/>
        <w:widowControl w:val="0"/>
        <w:shd w:val="clear" w:color="000000" w:fill="auto"/>
        <w:suppressAutoHyphens/>
        <w:spacing w:line="360" w:lineRule="auto"/>
        <w:jc w:val="center"/>
        <w:rPr>
          <w:color w:val="000000"/>
          <w:sz w:val="28"/>
          <w:szCs w:val="32"/>
        </w:rPr>
      </w:pPr>
    </w:p>
    <w:p w:rsidR="00066BDE" w:rsidRPr="009171F7" w:rsidRDefault="00066BDE" w:rsidP="00803DAB">
      <w:pPr>
        <w:keepNext/>
        <w:widowControl w:val="0"/>
        <w:shd w:val="clear" w:color="000000" w:fill="auto"/>
        <w:spacing w:line="360" w:lineRule="auto"/>
        <w:jc w:val="center"/>
        <w:rPr>
          <w:b/>
          <w:bCs/>
          <w:color w:val="000000"/>
          <w:sz w:val="28"/>
          <w:szCs w:val="32"/>
        </w:rPr>
      </w:pPr>
      <w:r w:rsidRPr="009171F7">
        <w:rPr>
          <w:b/>
          <w:bCs/>
          <w:color w:val="000000"/>
          <w:sz w:val="28"/>
          <w:szCs w:val="32"/>
        </w:rPr>
        <w:t>«МЕЖДУНАРОДНЫЕ ФИНАНСЫ»</w:t>
      </w:r>
    </w:p>
    <w:p w:rsidR="00066BDE" w:rsidRPr="009171F7" w:rsidRDefault="00066BDE" w:rsidP="00803DAB">
      <w:pPr>
        <w:keepNext/>
        <w:widowControl w:val="0"/>
        <w:shd w:val="clear" w:color="000000" w:fill="auto"/>
        <w:spacing w:line="360" w:lineRule="auto"/>
        <w:jc w:val="center"/>
        <w:rPr>
          <w:b/>
          <w:color w:val="000000"/>
          <w:sz w:val="28"/>
          <w:szCs w:val="28"/>
        </w:rPr>
      </w:pPr>
    </w:p>
    <w:p w:rsidR="00B81743" w:rsidRPr="009171F7" w:rsidRDefault="00B81743" w:rsidP="00803DAB">
      <w:pPr>
        <w:keepNext/>
        <w:widowControl w:val="0"/>
        <w:shd w:val="clear" w:color="000000" w:fill="auto"/>
        <w:spacing w:line="360" w:lineRule="auto"/>
        <w:jc w:val="center"/>
        <w:rPr>
          <w:b/>
          <w:bCs/>
          <w:color w:val="000000"/>
          <w:sz w:val="28"/>
        </w:rPr>
      </w:pPr>
      <w:r w:rsidRPr="009171F7">
        <w:rPr>
          <w:b/>
          <w:bCs/>
          <w:color w:val="000000"/>
          <w:sz w:val="28"/>
        </w:rPr>
        <w:t>Факторинговые операции. Банк международных расчетов (БМР)</w:t>
      </w:r>
    </w:p>
    <w:p w:rsidR="00B81743" w:rsidRPr="009171F7" w:rsidRDefault="00B81743" w:rsidP="00803DAB">
      <w:pPr>
        <w:keepNext/>
        <w:widowControl w:val="0"/>
        <w:shd w:val="clear" w:color="000000" w:fill="auto"/>
        <w:spacing w:line="360" w:lineRule="auto"/>
        <w:jc w:val="center"/>
        <w:rPr>
          <w:b/>
          <w:color w:val="000000"/>
          <w:sz w:val="28"/>
          <w:szCs w:val="28"/>
        </w:rPr>
      </w:pPr>
    </w:p>
    <w:p w:rsidR="00066BDE" w:rsidRPr="009171F7" w:rsidRDefault="00B81743" w:rsidP="00803DAB">
      <w:pPr>
        <w:keepNext/>
        <w:widowControl w:val="0"/>
        <w:shd w:val="clear" w:color="000000" w:fill="auto"/>
        <w:spacing w:line="360" w:lineRule="auto"/>
        <w:jc w:val="center"/>
        <w:rPr>
          <w:b/>
          <w:color w:val="000000"/>
          <w:sz w:val="28"/>
        </w:rPr>
      </w:pPr>
      <w:r w:rsidRPr="009171F7">
        <w:rPr>
          <w:color w:val="000000"/>
          <w:sz w:val="28"/>
        </w:rPr>
        <w:br w:type="page"/>
      </w:r>
      <w:bookmarkStart w:id="0" w:name="_Toc241650494"/>
      <w:bookmarkStart w:id="1" w:name="_Toc241650537"/>
      <w:bookmarkStart w:id="2" w:name="_Toc241656034"/>
      <w:bookmarkStart w:id="3" w:name="_Toc241656071"/>
      <w:bookmarkStart w:id="4" w:name="_Toc241656644"/>
      <w:bookmarkStart w:id="5" w:name="_Toc241657117"/>
      <w:bookmarkStart w:id="6" w:name="_Toc241657149"/>
      <w:bookmarkStart w:id="7" w:name="_Toc241657164"/>
      <w:bookmarkStart w:id="8" w:name="_Toc241658516"/>
      <w:bookmarkStart w:id="9" w:name="_Toc241658530"/>
      <w:bookmarkStart w:id="10" w:name="_Toc264770840"/>
      <w:r w:rsidR="00066BDE" w:rsidRPr="009171F7">
        <w:rPr>
          <w:b/>
          <w:color w:val="000000"/>
          <w:sz w:val="28"/>
        </w:rPr>
        <w:t>Введение</w:t>
      </w:r>
      <w:bookmarkEnd w:id="0"/>
      <w:bookmarkEnd w:id="1"/>
      <w:bookmarkEnd w:id="2"/>
      <w:bookmarkEnd w:id="3"/>
      <w:bookmarkEnd w:id="4"/>
      <w:bookmarkEnd w:id="5"/>
      <w:bookmarkEnd w:id="6"/>
      <w:bookmarkEnd w:id="7"/>
      <w:bookmarkEnd w:id="8"/>
      <w:bookmarkEnd w:id="9"/>
      <w:bookmarkEnd w:id="10"/>
    </w:p>
    <w:p w:rsidR="00B81743" w:rsidRPr="009171F7" w:rsidRDefault="00B81743" w:rsidP="00803DAB">
      <w:pPr>
        <w:keepNext/>
        <w:widowControl w:val="0"/>
        <w:shd w:val="clear" w:color="000000" w:fill="auto"/>
        <w:spacing w:line="360" w:lineRule="auto"/>
        <w:jc w:val="center"/>
        <w:rPr>
          <w:b/>
          <w:color w:val="000000"/>
          <w:sz w:val="28"/>
        </w:rPr>
      </w:pP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Слово «факторинг» произошло от английского «</w:t>
      </w:r>
      <w:r w:rsidRPr="009171F7">
        <w:rPr>
          <w:color w:val="000000"/>
          <w:sz w:val="28"/>
          <w:lang w:val="en-US"/>
        </w:rPr>
        <w:t>factor</w:t>
      </w:r>
      <w:r w:rsidRPr="009171F7">
        <w:rPr>
          <w:color w:val="000000"/>
          <w:sz w:val="28"/>
        </w:rPr>
        <w:t>» - «комиссионер, агент, посредник» и означает в широком смысле комиссионно-посредническую деятельность.</w:t>
      </w:r>
    </w:p>
    <w:p w:rsidR="00066BDE" w:rsidRPr="009171F7" w:rsidRDefault="00066BDE" w:rsidP="00803DAB">
      <w:pPr>
        <w:pStyle w:val="21"/>
        <w:keepNext/>
        <w:widowControl w:val="0"/>
        <w:shd w:val="clear" w:color="000000" w:fill="auto"/>
        <w:suppressAutoHyphens/>
        <w:spacing w:line="360" w:lineRule="auto"/>
        <w:rPr>
          <w:color w:val="000000"/>
          <w:sz w:val="28"/>
        </w:rPr>
      </w:pPr>
      <w:r w:rsidRPr="009171F7">
        <w:rPr>
          <w:color w:val="000000"/>
          <w:sz w:val="28"/>
        </w:rPr>
        <w:t>В соответствии с Конвенцией ЮНИДРУА о международном факторинге «под «факторинговым контрактом» следует понимать контракт, заключенный между одной стороной (поставщиком) и другой стороной (финансовым агентом), в соответствии с которым:</w:t>
      </w:r>
    </w:p>
    <w:p w:rsidR="00066BDE" w:rsidRPr="009171F7" w:rsidRDefault="00066BDE" w:rsidP="00803DAB">
      <w:pPr>
        <w:keepNext/>
        <w:widowControl w:val="0"/>
        <w:numPr>
          <w:ilvl w:val="0"/>
          <w:numId w:val="1"/>
        </w:numPr>
        <w:shd w:val="clear" w:color="000000" w:fill="auto"/>
        <w:tabs>
          <w:tab w:val="clear" w:pos="1260"/>
          <w:tab w:val="num" w:pos="540"/>
        </w:tabs>
        <w:suppressAutoHyphens/>
        <w:autoSpaceDE w:val="0"/>
        <w:autoSpaceDN w:val="0"/>
        <w:adjustRightInd w:val="0"/>
        <w:spacing w:line="360" w:lineRule="auto"/>
        <w:ind w:left="0" w:firstLine="709"/>
        <w:jc w:val="both"/>
        <w:rPr>
          <w:color w:val="000000"/>
          <w:sz w:val="28"/>
        </w:rPr>
      </w:pPr>
      <w:r w:rsidRPr="009171F7">
        <w:rPr>
          <w:color w:val="000000"/>
          <w:sz w:val="28"/>
        </w:rPr>
        <w:t>поставщик должен или может уступать финансовому агенту денежные требования, вытекающие из контрактов купли - продажи товаров, заключаемых между поставщиком и его покупателями (должниками), за исключением контрактов, которые относятся к товарам, приобретаемым преимущественно для личного, семейного и домашнего использования;</w:t>
      </w:r>
    </w:p>
    <w:p w:rsidR="00066BDE" w:rsidRPr="009171F7" w:rsidRDefault="00066BDE" w:rsidP="00803DAB">
      <w:pPr>
        <w:keepNext/>
        <w:widowControl w:val="0"/>
        <w:numPr>
          <w:ilvl w:val="0"/>
          <w:numId w:val="1"/>
        </w:numPr>
        <w:shd w:val="clear" w:color="000000" w:fill="auto"/>
        <w:tabs>
          <w:tab w:val="clear" w:pos="1260"/>
          <w:tab w:val="num" w:pos="540"/>
        </w:tabs>
        <w:suppressAutoHyphens/>
        <w:autoSpaceDE w:val="0"/>
        <w:autoSpaceDN w:val="0"/>
        <w:adjustRightInd w:val="0"/>
        <w:spacing w:line="360" w:lineRule="auto"/>
        <w:ind w:left="0" w:firstLine="709"/>
        <w:jc w:val="both"/>
        <w:rPr>
          <w:color w:val="000000"/>
          <w:sz w:val="28"/>
        </w:rPr>
      </w:pPr>
      <w:r w:rsidRPr="009171F7">
        <w:rPr>
          <w:color w:val="000000"/>
          <w:sz w:val="28"/>
        </w:rPr>
        <w:t>финансовый агент выполняет, по меньшей мере, две из следующих функций:</w:t>
      </w:r>
    </w:p>
    <w:p w:rsidR="00066BDE" w:rsidRPr="009171F7" w:rsidRDefault="00066BDE" w:rsidP="00803DAB">
      <w:pPr>
        <w:keepNext/>
        <w:widowControl w:val="0"/>
        <w:shd w:val="clear" w:color="000000" w:fill="auto"/>
        <w:suppressAutoHyphens/>
        <w:autoSpaceDE w:val="0"/>
        <w:autoSpaceDN w:val="0"/>
        <w:adjustRightInd w:val="0"/>
        <w:spacing w:line="360" w:lineRule="auto"/>
        <w:ind w:firstLine="709"/>
        <w:jc w:val="both"/>
        <w:rPr>
          <w:color w:val="000000"/>
          <w:sz w:val="28"/>
        </w:rPr>
      </w:pPr>
      <w:r w:rsidRPr="009171F7">
        <w:rPr>
          <w:color w:val="000000"/>
          <w:sz w:val="28"/>
        </w:rPr>
        <w:t>- финансирование поставщика, включая заем и предварительный платеж;</w:t>
      </w:r>
    </w:p>
    <w:p w:rsidR="00066BDE" w:rsidRPr="009171F7" w:rsidRDefault="00066BDE" w:rsidP="00803DAB">
      <w:pPr>
        <w:keepNext/>
        <w:widowControl w:val="0"/>
        <w:shd w:val="clear" w:color="000000" w:fill="auto"/>
        <w:suppressAutoHyphens/>
        <w:autoSpaceDE w:val="0"/>
        <w:autoSpaceDN w:val="0"/>
        <w:adjustRightInd w:val="0"/>
        <w:spacing w:line="360" w:lineRule="auto"/>
        <w:ind w:firstLine="709"/>
        <w:jc w:val="both"/>
        <w:rPr>
          <w:color w:val="000000"/>
          <w:sz w:val="28"/>
        </w:rPr>
      </w:pPr>
      <w:r w:rsidRPr="009171F7">
        <w:rPr>
          <w:color w:val="000000"/>
          <w:sz w:val="28"/>
        </w:rPr>
        <w:t>- ведение учета (бухгалтерских книг) по причитающимся суммам;</w:t>
      </w:r>
    </w:p>
    <w:p w:rsidR="00066BDE" w:rsidRPr="009171F7" w:rsidRDefault="00066BDE" w:rsidP="00803DAB">
      <w:pPr>
        <w:keepNext/>
        <w:widowControl w:val="0"/>
        <w:shd w:val="clear" w:color="000000" w:fill="auto"/>
        <w:suppressAutoHyphens/>
        <w:autoSpaceDE w:val="0"/>
        <w:autoSpaceDN w:val="0"/>
        <w:adjustRightInd w:val="0"/>
        <w:spacing w:line="360" w:lineRule="auto"/>
        <w:ind w:firstLine="709"/>
        <w:jc w:val="both"/>
        <w:rPr>
          <w:color w:val="000000"/>
          <w:sz w:val="28"/>
        </w:rPr>
      </w:pPr>
      <w:r w:rsidRPr="009171F7">
        <w:rPr>
          <w:color w:val="000000"/>
          <w:sz w:val="28"/>
        </w:rPr>
        <w:t>- предъявление к оплате денежных требований;</w:t>
      </w:r>
    </w:p>
    <w:p w:rsidR="00066BDE" w:rsidRPr="009171F7" w:rsidRDefault="00066BDE" w:rsidP="00803DAB">
      <w:pPr>
        <w:keepNext/>
        <w:widowControl w:val="0"/>
        <w:shd w:val="clear" w:color="000000" w:fill="auto"/>
        <w:suppressAutoHyphens/>
        <w:autoSpaceDE w:val="0"/>
        <w:autoSpaceDN w:val="0"/>
        <w:adjustRightInd w:val="0"/>
        <w:spacing w:line="360" w:lineRule="auto"/>
        <w:ind w:firstLine="709"/>
        <w:jc w:val="both"/>
        <w:rPr>
          <w:color w:val="000000"/>
          <w:sz w:val="28"/>
        </w:rPr>
      </w:pPr>
      <w:r w:rsidRPr="009171F7">
        <w:rPr>
          <w:color w:val="000000"/>
          <w:sz w:val="28"/>
        </w:rPr>
        <w:t>- защита от неплатежеспособности должников;</w:t>
      </w:r>
    </w:p>
    <w:p w:rsidR="00066BDE" w:rsidRPr="009171F7" w:rsidRDefault="00066BDE" w:rsidP="00803DAB">
      <w:pPr>
        <w:keepNext/>
        <w:widowControl w:val="0"/>
        <w:numPr>
          <w:ilvl w:val="0"/>
          <w:numId w:val="1"/>
        </w:numPr>
        <w:shd w:val="clear" w:color="000000" w:fill="auto"/>
        <w:tabs>
          <w:tab w:val="clear" w:pos="1260"/>
          <w:tab w:val="num" w:pos="540"/>
        </w:tabs>
        <w:suppressAutoHyphens/>
        <w:autoSpaceDE w:val="0"/>
        <w:autoSpaceDN w:val="0"/>
        <w:adjustRightInd w:val="0"/>
        <w:spacing w:line="360" w:lineRule="auto"/>
        <w:ind w:left="0" w:firstLine="709"/>
        <w:jc w:val="both"/>
        <w:rPr>
          <w:color w:val="000000"/>
          <w:sz w:val="28"/>
        </w:rPr>
      </w:pPr>
      <w:r w:rsidRPr="009171F7">
        <w:rPr>
          <w:color w:val="000000"/>
          <w:sz w:val="28"/>
        </w:rPr>
        <w:t>должники должны быть уведомлены о состоявшейся уступке требования.»</w:t>
      </w:r>
      <w:r w:rsidRPr="009171F7">
        <w:rPr>
          <w:rStyle w:val="a5"/>
          <w:color w:val="000000"/>
          <w:sz w:val="28"/>
        </w:rPr>
        <w:footnoteReference w:id="1"/>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Российская Федерация в данной Конвенции не участвует. Российское законодательство определяет факторинг следующим образом: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r w:rsidRPr="009171F7">
        <w:rPr>
          <w:rStyle w:val="a5"/>
          <w:color w:val="000000"/>
          <w:sz w:val="28"/>
        </w:rPr>
        <w:footnoteReference w:id="2"/>
      </w:r>
      <w:r w:rsidRPr="009171F7">
        <w:rPr>
          <w:color w:val="000000"/>
          <w:sz w:val="28"/>
        </w:rPr>
        <w:t xml:space="preserve"> Т.о., объект факторинговой сделки – денежное требование клиента к третьему лицу, возникающее в результате коммерческого кредита, предоставляемого в товарной форме продавцами покупателям в виде отсрочки платежа.</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Среди российских авторов существуют различные определения факторинга, причем зачастую они относят факторинг к комиссионно-посреднической деятельности банков или специализированных компаний и определяют его как кредитование поставщика под уступку дебиторской задолженности с одновременным ее инкассированием. Данное определение не охватывает весь спектр услуг, оказываемых факторинговыми компаниями, к тому же отнесение факторинга к комиссионно-посреднической деятельности не вполне правомерно, так как при комиссионно-посреднических операциях банк не отвлекает собственные или привлеченные средства, а при факторинге - привлекает.</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Более правильным будет следующее определение факторинга: «Факторинг – комплекс финансовых услуг коммерческого банка или другой кредитной организации, включающий кредитование предприятия-поставщика под уступку права взыскания его дебиторской задолженности, а также оказание услуг, направленных на сокращение косвенных потерь, возникающих в результате коммерческого кредитования покупателей».</w:t>
      </w:r>
      <w:r w:rsidRPr="009171F7">
        <w:rPr>
          <w:rStyle w:val="a5"/>
          <w:color w:val="000000"/>
          <w:sz w:val="28"/>
        </w:rPr>
        <w:footnoteReference w:id="3"/>
      </w:r>
    </w:p>
    <w:p w:rsidR="00066BDE" w:rsidRPr="009171F7" w:rsidRDefault="00B81743" w:rsidP="00803DAB">
      <w:pPr>
        <w:pStyle w:val="2"/>
        <w:widowControl w:val="0"/>
        <w:numPr>
          <w:ilvl w:val="0"/>
          <w:numId w:val="34"/>
        </w:numPr>
        <w:shd w:val="clear" w:color="000000" w:fill="auto"/>
        <w:spacing w:before="0" w:after="0" w:line="360" w:lineRule="auto"/>
        <w:ind w:left="0" w:firstLine="0"/>
        <w:jc w:val="center"/>
        <w:rPr>
          <w:rFonts w:ascii="Times New Roman" w:hAnsi="Times New Roman" w:cs="Times New Roman"/>
          <w:i w:val="0"/>
          <w:color w:val="000000"/>
        </w:rPr>
      </w:pPr>
      <w:bookmarkStart w:id="11" w:name="_Toc241650495"/>
      <w:bookmarkStart w:id="12" w:name="_Toc241650538"/>
      <w:bookmarkStart w:id="13" w:name="_Toc241656035"/>
      <w:bookmarkStart w:id="14" w:name="_Toc241656072"/>
      <w:bookmarkStart w:id="15" w:name="_Toc241656645"/>
      <w:bookmarkStart w:id="16" w:name="_Toc241657118"/>
      <w:bookmarkStart w:id="17" w:name="_Toc241657150"/>
      <w:bookmarkStart w:id="18" w:name="_Toc241657165"/>
      <w:bookmarkStart w:id="19" w:name="_Toc241658517"/>
      <w:bookmarkStart w:id="20" w:name="_Toc241658531"/>
      <w:bookmarkStart w:id="21" w:name="_Toc264770841"/>
      <w:r w:rsidRPr="009171F7">
        <w:rPr>
          <w:rFonts w:ascii="Times New Roman" w:hAnsi="Times New Roman" w:cs="Times New Roman"/>
          <w:b w:val="0"/>
          <w:i w:val="0"/>
          <w:color w:val="000000"/>
        </w:rPr>
        <w:br w:type="page"/>
      </w:r>
      <w:r w:rsidR="00066BDE" w:rsidRPr="009171F7">
        <w:rPr>
          <w:rFonts w:ascii="Times New Roman" w:hAnsi="Times New Roman" w:cs="Times New Roman"/>
          <w:i w:val="0"/>
          <w:color w:val="000000"/>
        </w:rPr>
        <w:t>История развития факторинга</w:t>
      </w:r>
      <w:bookmarkEnd w:id="11"/>
      <w:bookmarkEnd w:id="12"/>
      <w:bookmarkEnd w:id="13"/>
      <w:bookmarkEnd w:id="14"/>
      <w:bookmarkEnd w:id="15"/>
      <w:bookmarkEnd w:id="16"/>
      <w:bookmarkEnd w:id="17"/>
      <w:bookmarkEnd w:id="18"/>
      <w:bookmarkEnd w:id="19"/>
      <w:bookmarkEnd w:id="20"/>
      <w:bookmarkEnd w:id="21"/>
    </w:p>
    <w:p w:rsidR="00066BDE" w:rsidRPr="009171F7" w:rsidRDefault="00066BDE" w:rsidP="00803DAB">
      <w:pPr>
        <w:keepNext/>
        <w:widowControl w:val="0"/>
        <w:shd w:val="clear" w:color="000000" w:fill="auto"/>
        <w:suppressAutoHyphens/>
        <w:spacing w:line="360" w:lineRule="auto"/>
        <w:ind w:firstLine="709"/>
        <w:jc w:val="both"/>
        <w:rPr>
          <w:color w:val="000000"/>
          <w:sz w:val="28"/>
        </w:rPr>
      </w:pPr>
    </w:p>
    <w:p w:rsidR="00B81743"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В современном виде факторинг возник в США в ХХ в. Его развитие было вызвано усилением инфляционных процессов и связанной с этим необходимостью ускорить реализацию продукции и перевод капитала из товарной формы в денежную. В 1963 г. в США правительственный орган по контролю за денежным обращением признал факторинг законным видом банковской деятельности. Первоначально у факторинговых компаний из-за банкротств их клиентов часто возникали убытки, поэтому со временем были разработаны технологии управления дебиторской задолженностью поставщиков.</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До 1988 г. правовое регулирование факторинговых операций было различным в разных странах. В мае 1988 г. была принята Конвенция о международном факторинге, которая установила единые правовые нормы по данному вопросу. Конвенция разработала ряд унифицированных норм проведения факторинговых операций и урегулировала ряд вопросов, не затронутых национальными правовыми системами. В Конвенции определен факторинговый контракт, обозначены права и обязанности сторон, определен порядок присоединения государств к Конвенции, однако не рассмотрен закрытый факторинг (когда должник не уведомлен об ступке права требования) и некоторые другие вопросы.</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С середины 1980-х гг. факторинговая индустрия динамично развивалась. За 20 лет количество факторинговых компаний выросло в 7 раз. Наибольший удельный вес в мировом обороте факторинга принадлежит европейским компаниям. Лидеры мирового рынка факторинга – Великобритания, Италия, Франция, Япония, Германия, США. Эти страны производят более 70% общемирового оборота факторинговых операций.</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Процесс становления факторинга в России можно разбить на три этапа:</w:t>
      </w:r>
    </w:p>
    <w:p w:rsidR="00066BDE" w:rsidRPr="009171F7" w:rsidRDefault="00066BDE" w:rsidP="00803DAB">
      <w:pPr>
        <w:keepNext/>
        <w:widowControl w:val="0"/>
        <w:shd w:val="clear" w:color="000000" w:fill="auto"/>
        <w:suppressAutoHyphens/>
        <w:spacing w:line="360" w:lineRule="auto"/>
        <w:ind w:firstLine="709"/>
        <w:jc w:val="both"/>
        <w:rPr>
          <w:iCs/>
          <w:color w:val="000000"/>
          <w:sz w:val="28"/>
        </w:rPr>
      </w:pPr>
      <w:r w:rsidRPr="009171F7">
        <w:rPr>
          <w:iCs/>
          <w:color w:val="000000"/>
          <w:sz w:val="28"/>
          <w:lang w:val="en-US"/>
        </w:rPr>
        <w:t>I</w:t>
      </w:r>
      <w:r w:rsidRPr="009171F7">
        <w:rPr>
          <w:iCs/>
          <w:color w:val="000000"/>
          <w:sz w:val="28"/>
        </w:rPr>
        <w:t>. Этап внедрения факторинга на российский рынок (1988-1994 гг.)</w:t>
      </w:r>
    </w:p>
    <w:p w:rsidR="00066BDE" w:rsidRPr="009171F7" w:rsidRDefault="00066BDE" w:rsidP="00803DAB">
      <w:pPr>
        <w:pStyle w:val="21"/>
        <w:keepNext/>
        <w:widowControl w:val="0"/>
        <w:shd w:val="clear" w:color="000000" w:fill="auto"/>
        <w:suppressAutoHyphens/>
        <w:autoSpaceDE/>
        <w:autoSpaceDN/>
        <w:adjustRightInd/>
        <w:spacing w:line="360" w:lineRule="auto"/>
        <w:rPr>
          <w:color w:val="000000"/>
          <w:sz w:val="28"/>
        </w:rPr>
      </w:pPr>
      <w:r w:rsidRPr="009171F7">
        <w:rPr>
          <w:color w:val="000000"/>
          <w:sz w:val="28"/>
        </w:rPr>
        <w:t>В 1988 г. Промстройбанк г.Ленинграда стал предлагать факторинговые услуги. С 1989 г. факторинговые услуги стали предлагать и другие банки. В 1989 г. письмо Госбанка СССР № 252 «О порядке осуществления операций по уступке поставщиками банку права получения платежа по платежным требованиям за поставленные товары, выполненные работы и оказанные услуги» позволило осуществлять следующие операции:</w:t>
      </w:r>
    </w:p>
    <w:p w:rsidR="00066BDE" w:rsidRPr="009171F7" w:rsidRDefault="00066BDE" w:rsidP="00803DAB">
      <w:pPr>
        <w:keepNext/>
        <w:widowControl w:val="0"/>
        <w:numPr>
          <w:ilvl w:val="0"/>
          <w:numId w:val="2"/>
        </w:numPr>
        <w:shd w:val="clear" w:color="000000" w:fill="auto"/>
        <w:tabs>
          <w:tab w:val="clear" w:pos="1429"/>
          <w:tab w:val="num" w:pos="360"/>
        </w:tabs>
        <w:suppressAutoHyphens/>
        <w:spacing w:line="360" w:lineRule="auto"/>
        <w:ind w:left="0" w:firstLine="709"/>
        <w:jc w:val="both"/>
        <w:rPr>
          <w:color w:val="000000"/>
          <w:sz w:val="28"/>
        </w:rPr>
      </w:pPr>
      <w:r w:rsidRPr="009171F7">
        <w:rPr>
          <w:color w:val="000000"/>
          <w:sz w:val="28"/>
        </w:rPr>
        <w:t>заключение поставщиком договора о переуступке факторинговому отделу просроченной дебиторской задолженности,</w:t>
      </w:r>
    </w:p>
    <w:p w:rsidR="00066BDE" w:rsidRPr="009171F7" w:rsidRDefault="00066BDE" w:rsidP="00803DAB">
      <w:pPr>
        <w:keepNext/>
        <w:widowControl w:val="0"/>
        <w:numPr>
          <w:ilvl w:val="0"/>
          <w:numId w:val="2"/>
        </w:numPr>
        <w:shd w:val="clear" w:color="000000" w:fill="auto"/>
        <w:tabs>
          <w:tab w:val="clear" w:pos="1429"/>
          <w:tab w:val="num" w:pos="360"/>
        </w:tabs>
        <w:suppressAutoHyphens/>
        <w:spacing w:line="360" w:lineRule="auto"/>
        <w:ind w:left="0" w:firstLine="709"/>
        <w:jc w:val="both"/>
        <w:rPr>
          <w:color w:val="000000"/>
          <w:sz w:val="28"/>
        </w:rPr>
      </w:pPr>
      <w:r w:rsidRPr="009171F7">
        <w:rPr>
          <w:color w:val="000000"/>
          <w:sz w:val="28"/>
        </w:rPr>
        <w:t>заключение факторинговым отделом договора с поставщиком и должником о гарантировании факторинговым отделом платежей поставщику и кредитовании плательщика,</w:t>
      </w:r>
    </w:p>
    <w:p w:rsidR="00066BDE" w:rsidRPr="009171F7" w:rsidRDefault="00066BDE" w:rsidP="00803DAB">
      <w:pPr>
        <w:keepNext/>
        <w:widowControl w:val="0"/>
        <w:numPr>
          <w:ilvl w:val="0"/>
          <w:numId w:val="2"/>
        </w:numPr>
        <w:shd w:val="clear" w:color="000000" w:fill="auto"/>
        <w:tabs>
          <w:tab w:val="clear" w:pos="1429"/>
          <w:tab w:val="num" w:pos="360"/>
        </w:tabs>
        <w:suppressAutoHyphens/>
        <w:spacing w:line="360" w:lineRule="auto"/>
        <w:ind w:left="0" w:firstLine="709"/>
        <w:jc w:val="both"/>
        <w:rPr>
          <w:color w:val="000000"/>
          <w:sz w:val="28"/>
        </w:rPr>
      </w:pPr>
      <w:r w:rsidRPr="009171F7">
        <w:rPr>
          <w:color w:val="000000"/>
          <w:sz w:val="28"/>
        </w:rPr>
        <w:t>заключение договора с должником о его кредитовании.</w:t>
      </w:r>
    </w:p>
    <w:p w:rsidR="00B81743"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Как видим, речь в любом случае идет о просроченной дебиторской задолженности, а не о передаче права требования в момент возникновения задолженности.</w:t>
      </w:r>
    </w:p>
    <w:p w:rsidR="00B81743"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В 1990 г. Закон РСФСР «О банках и банковской деятельности» включил факторинг в список банковских услуг.</w:t>
      </w:r>
    </w:p>
    <w:p w:rsidR="00066BDE" w:rsidRPr="009171F7" w:rsidRDefault="00066BDE" w:rsidP="00803DAB">
      <w:pPr>
        <w:keepNext/>
        <w:widowControl w:val="0"/>
        <w:shd w:val="clear" w:color="000000" w:fill="auto"/>
        <w:suppressAutoHyphens/>
        <w:spacing w:line="360" w:lineRule="auto"/>
        <w:ind w:firstLine="709"/>
        <w:jc w:val="both"/>
        <w:rPr>
          <w:iCs/>
          <w:color w:val="000000"/>
          <w:sz w:val="28"/>
        </w:rPr>
      </w:pPr>
      <w:r w:rsidRPr="009171F7">
        <w:rPr>
          <w:iCs/>
          <w:color w:val="000000"/>
          <w:sz w:val="28"/>
          <w:lang w:val="en-US"/>
        </w:rPr>
        <w:t>II</w:t>
      </w:r>
      <w:r w:rsidRPr="009171F7">
        <w:rPr>
          <w:iCs/>
          <w:color w:val="000000"/>
          <w:sz w:val="28"/>
        </w:rPr>
        <w:t>. Этап развития факторинга и приспособления к российским условиям (1994-1998 гг.)</w:t>
      </w:r>
    </w:p>
    <w:p w:rsidR="00B81743"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Факторинговые отделы открыли многие банки. В 1994 г. Тверьуниверсалбанк был принят в международное факторинговое объединение. В 1996 г. правовые аспекты факторинга нашли отражение в Гражданском Кодексе РФ.</w:t>
      </w:r>
    </w:p>
    <w:p w:rsidR="00066BDE" w:rsidRPr="009171F7" w:rsidRDefault="00066BDE" w:rsidP="00803DAB">
      <w:pPr>
        <w:keepNext/>
        <w:widowControl w:val="0"/>
        <w:shd w:val="clear" w:color="000000" w:fill="auto"/>
        <w:suppressAutoHyphens/>
        <w:spacing w:line="360" w:lineRule="auto"/>
        <w:ind w:firstLine="709"/>
        <w:jc w:val="both"/>
        <w:rPr>
          <w:iCs/>
          <w:color w:val="000000"/>
          <w:sz w:val="28"/>
        </w:rPr>
      </w:pPr>
      <w:r w:rsidRPr="009171F7">
        <w:rPr>
          <w:iCs/>
          <w:color w:val="000000"/>
          <w:sz w:val="28"/>
          <w:lang w:val="en-US"/>
        </w:rPr>
        <w:t>III</w:t>
      </w:r>
      <w:r w:rsidRPr="009171F7">
        <w:rPr>
          <w:iCs/>
          <w:color w:val="000000"/>
          <w:sz w:val="28"/>
        </w:rPr>
        <w:t>. Послекризисный этап (1998-2000 гг.)</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Факторинговую деятельность осуществлял только банк «Инвестиционно-банковская группа НИКойл».</w:t>
      </w:r>
    </w:p>
    <w:p w:rsidR="00066BDE" w:rsidRPr="009171F7" w:rsidRDefault="00066BDE" w:rsidP="00803DAB">
      <w:pPr>
        <w:keepNext/>
        <w:widowControl w:val="0"/>
        <w:shd w:val="clear" w:color="000000" w:fill="auto"/>
        <w:suppressAutoHyphens/>
        <w:spacing w:line="360" w:lineRule="auto"/>
        <w:ind w:firstLine="709"/>
        <w:jc w:val="both"/>
        <w:rPr>
          <w:iCs/>
          <w:color w:val="000000"/>
          <w:sz w:val="28"/>
        </w:rPr>
      </w:pPr>
      <w:r w:rsidRPr="009171F7">
        <w:rPr>
          <w:iCs/>
          <w:color w:val="000000"/>
          <w:sz w:val="28"/>
          <w:lang w:val="en-US"/>
        </w:rPr>
        <w:t>IV</w:t>
      </w:r>
      <w:r w:rsidRPr="009171F7">
        <w:rPr>
          <w:iCs/>
          <w:color w:val="000000"/>
          <w:sz w:val="28"/>
        </w:rPr>
        <w:t>. Этап формирования современного факторингового обслуживания (с 2000 г.)</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Коммерческие банки начинают развивать факторинговое обслуживание, однако развитие факторинга сталкивается с проблемами на макро- и микроуровнях.</w:t>
      </w:r>
    </w:p>
    <w:p w:rsidR="00066BDE" w:rsidRPr="009171F7" w:rsidRDefault="00066BDE" w:rsidP="00803DAB">
      <w:pPr>
        <w:pStyle w:val="2"/>
        <w:widowControl w:val="0"/>
        <w:numPr>
          <w:ilvl w:val="0"/>
          <w:numId w:val="34"/>
        </w:numPr>
        <w:shd w:val="clear" w:color="000000" w:fill="auto"/>
        <w:spacing w:before="0" w:after="0" w:line="360" w:lineRule="auto"/>
        <w:ind w:left="0" w:firstLine="0"/>
        <w:jc w:val="center"/>
        <w:rPr>
          <w:rFonts w:ascii="Times New Roman" w:hAnsi="Times New Roman" w:cs="Times New Roman"/>
          <w:i w:val="0"/>
          <w:color w:val="000000"/>
        </w:rPr>
      </w:pPr>
      <w:bookmarkStart w:id="22" w:name="_Toc241650496"/>
      <w:bookmarkStart w:id="23" w:name="_Toc241650539"/>
      <w:bookmarkStart w:id="24" w:name="_Toc241656036"/>
      <w:bookmarkStart w:id="25" w:name="_Toc241656073"/>
      <w:bookmarkStart w:id="26" w:name="_Toc241656646"/>
      <w:bookmarkStart w:id="27" w:name="_Toc241657119"/>
      <w:bookmarkStart w:id="28" w:name="_Toc241657151"/>
      <w:bookmarkStart w:id="29" w:name="_Toc241657166"/>
      <w:bookmarkStart w:id="30" w:name="_Toc241658518"/>
      <w:bookmarkStart w:id="31" w:name="_Toc241658532"/>
      <w:bookmarkStart w:id="32" w:name="_Toc264770842"/>
      <w:r w:rsidRPr="009171F7">
        <w:rPr>
          <w:rFonts w:ascii="Times New Roman" w:hAnsi="Times New Roman" w:cs="Times New Roman"/>
          <w:i w:val="0"/>
          <w:color w:val="000000"/>
        </w:rPr>
        <w:t>Сущность факторинга</w:t>
      </w:r>
      <w:bookmarkEnd w:id="22"/>
      <w:bookmarkEnd w:id="23"/>
      <w:bookmarkEnd w:id="24"/>
      <w:bookmarkEnd w:id="25"/>
      <w:bookmarkEnd w:id="26"/>
      <w:bookmarkEnd w:id="27"/>
      <w:bookmarkEnd w:id="28"/>
      <w:bookmarkEnd w:id="29"/>
      <w:bookmarkEnd w:id="30"/>
      <w:bookmarkEnd w:id="31"/>
      <w:bookmarkEnd w:id="32"/>
      <w:r w:rsidR="00B81743" w:rsidRPr="009171F7">
        <w:rPr>
          <w:rFonts w:ascii="Times New Roman" w:hAnsi="Times New Roman" w:cs="Times New Roman"/>
          <w:i w:val="0"/>
          <w:color w:val="000000"/>
        </w:rPr>
        <w:t xml:space="preserve">. </w:t>
      </w:r>
      <w:bookmarkStart w:id="33" w:name="_Toc241650497"/>
      <w:bookmarkStart w:id="34" w:name="_Toc241650540"/>
      <w:bookmarkStart w:id="35" w:name="_Toc241656037"/>
      <w:bookmarkStart w:id="36" w:name="_Toc241656074"/>
      <w:bookmarkStart w:id="37" w:name="_Toc241656647"/>
      <w:bookmarkStart w:id="38" w:name="_Toc241657120"/>
      <w:bookmarkStart w:id="39" w:name="_Toc241657152"/>
      <w:bookmarkStart w:id="40" w:name="_Toc241657167"/>
      <w:bookmarkStart w:id="41" w:name="_Toc241658519"/>
      <w:bookmarkStart w:id="42" w:name="_Toc241658533"/>
      <w:bookmarkStart w:id="43" w:name="_Toc264770843"/>
      <w:r w:rsidRPr="009171F7">
        <w:rPr>
          <w:rFonts w:ascii="Times New Roman" w:hAnsi="Times New Roman" w:cs="Times New Roman"/>
          <w:i w:val="0"/>
          <w:color w:val="000000"/>
        </w:rPr>
        <w:t>Цели и функции</w:t>
      </w:r>
      <w:bookmarkEnd w:id="33"/>
      <w:bookmarkEnd w:id="34"/>
      <w:bookmarkEnd w:id="35"/>
      <w:bookmarkEnd w:id="36"/>
      <w:bookmarkEnd w:id="37"/>
      <w:bookmarkEnd w:id="38"/>
      <w:bookmarkEnd w:id="39"/>
      <w:bookmarkEnd w:id="40"/>
      <w:bookmarkEnd w:id="41"/>
      <w:bookmarkEnd w:id="42"/>
      <w:bookmarkEnd w:id="43"/>
    </w:p>
    <w:p w:rsidR="00B81743" w:rsidRPr="009171F7" w:rsidRDefault="00B81743" w:rsidP="00803DAB">
      <w:pPr>
        <w:keepNext/>
        <w:widowControl w:val="0"/>
        <w:shd w:val="clear" w:color="000000" w:fill="auto"/>
        <w:suppressAutoHyphens/>
        <w:spacing w:line="360" w:lineRule="auto"/>
        <w:ind w:firstLine="709"/>
        <w:jc w:val="both"/>
        <w:rPr>
          <w:color w:val="000000"/>
          <w:sz w:val="28"/>
        </w:rPr>
      </w:pP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Цели факторинга непосредственно связаны с проблемами, возникающими у поставщика при предоставлении покупателям отсрочки платежа. Предоставление коммерческого кредита приводит к отвлечению средств предприятия из хозяйственного оборота в дебиторскую задолженность, а обслуживание дебиторской задолженности связано с косвенными потерями:</w:t>
      </w:r>
    </w:p>
    <w:p w:rsidR="00066BDE" w:rsidRPr="009171F7" w:rsidRDefault="00066BDE" w:rsidP="00803DAB">
      <w:pPr>
        <w:keepNext/>
        <w:widowControl w:val="0"/>
        <w:numPr>
          <w:ilvl w:val="0"/>
          <w:numId w:val="8"/>
        </w:numPr>
        <w:shd w:val="clear" w:color="000000" w:fill="auto"/>
        <w:tabs>
          <w:tab w:val="clear" w:pos="1429"/>
          <w:tab w:val="num" w:pos="540"/>
        </w:tabs>
        <w:suppressAutoHyphens/>
        <w:spacing w:line="360" w:lineRule="auto"/>
        <w:ind w:left="0" w:firstLine="709"/>
        <w:jc w:val="both"/>
        <w:rPr>
          <w:color w:val="000000"/>
          <w:sz w:val="28"/>
        </w:rPr>
      </w:pPr>
      <w:r w:rsidRPr="009171F7">
        <w:rPr>
          <w:color w:val="000000"/>
          <w:sz w:val="28"/>
        </w:rPr>
        <w:t>денежные средства, возвращаемые должниками, подвержены инфляционному обесценению;</w:t>
      </w:r>
    </w:p>
    <w:p w:rsidR="00066BDE" w:rsidRPr="009171F7" w:rsidRDefault="00066BDE" w:rsidP="00803DAB">
      <w:pPr>
        <w:keepNext/>
        <w:widowControl w:val="0"/>
        <w:numPr>
          <w:ilvl w:val="0"/>
          <w:numId w:val="8"/>
        </w:numPr>
        <w:shd w:val="clear" w:color="000000" w:fill="auto"/>
        <w:tabs>
          <w:tab w:val="clear" w:pos="1429"/>
          <w:tab w:val="num" w:pos="540"/>
        </w:tabs>
        <w:suppressAutoHyphens/>
        <w:spacing w:line="360" w:lineRule="auto"/>
        <w:ind w:left="0" w:firstLine="709"/>
        <w:jc w:val="both"/>
        <w:rPr>
          <w:color w:val="000000"/>
          <w:sz w:val="28"/>
        </w:rPr>
      </w:pPr>
      <w:r w:rsidRPr="009171F7">
        <w:rPr>
          <w:color w:val="000000"/>
          <w:sz w:val="28"/>
        </w:rPr>
        <w:t>так как часть оборотных средств отвлечена в дебиторскую задолженность, предприятие нуждается в заемных средствах, которые, как все источники средств, имеют собственную цену;</w:t>
      </w:r>
    </w:p>
    <w:p w:rsidR="00066BDE" w:rsidRPr="009171F7" w:rsidRDefault="00066BDE" w:rsidP="00803DAB">
      <w:pPr>
        <w:keepNext/>
        <w:widowControl w:val="0"/>
        <w:numPr>
          <w:ilvl w:val="0"/>
          <w:numId w:val="8"/>
        </w:numPr>
        <w:shd w:val="clear" w:color="000000" w:fill="auto"/>
        <w:tabs>
          <w:tab w:val="clear" w:pos="1429"/>
          <w:tab w:val="num" w:pos="540"/>
        </w:tabs>
        <w:suppressAutoHyphens/>
        <w:spacing w:line="360" w:lineRule="auto"/>
        <w:ind w:left="0" w:firstLine="709"/>
        <w:jc w:val="both"/>
        <w:rPr>
          <w:color w:val="000000"/>
          <w:sz w:val="28"/>
        </w:rPr>
      </w:pPr>
      <w:r w:rsidRPr="009171F7">
        <w:rPr>
          <w:color w:val="000000"/>
          <w:sz w:val="28"/>
        </w:rPr>
        <w:t>чем дольше период погашения дебиторской задолженности, тем больше вероятность возникновения безнадежных долгов.</w:t>
      </w:r>
    </w:p>
    <w:p w:rsidR="00066BDE" w:rsidRPr="009171F7" w:rsidRDefault="00066BDE" w:rsidP="00803DAB">
      <w:pPr>
        <w:pStyle w:val="21"/>
        <w:keepNext/>
        <w:widowControl w:val="0"/>
        <w:shd w:val="clear" w:color="000000" w:fill="auto"/>
        <w:suppressAutoHyphens/>
        <w:autoSpaceDE/>
        <w:autoSpaceDN/>
        <w:adjustRightInd/>
        <w:spacing w:line="360" w:lineRule="auto"/>
        <w:rPr>
          <w:color w:val="000000"/>
          <w:sz w:val="28"/>
        </w:rPr>
      </w:pPr>
      <w:r w:rsidRPr="009171F7">
        <w:rPr>
          <w:color w:val="000000"/>
          <w:sz w:val="28"/>
        </w:rPr>
        <w:t>Минимизировать данные потери можно следующим образом:</w:t>
      </w:r>
    </w:p>
    <w:p w:rsidR="00066BDE" w:rsidRPr="009171F7" w:rsidRDefault="00066BDE" w:rsidP="00803DAB">
      <w:pPr>
        <w:keepNext/>
        <w:widowControl w:val="0"/>
        <w:numPr>
          <w:ilvl w:val="0"/>
          <w:numId w:val="9"/>
        </w:numPr>
        <w:shd w:val="clear" w:color="000000" w:fill="auto"/>
        <w:tabs>
          <w:tab w:val="clear" w:pos="1429"/>
          <w:tab w:val="num" w:pos="540"/>
        </w:tabs>
        <w:suppressAutoHyphens/>
        <w:spacing w:line="360" w:lineRule="auto"/>
        <w:ind w:left="0" w:firstLine="709"/>
        <w:jc w:val="both"/>
        <w:rPr>
          <w:color w:val="000000"/>
          <w:sz w:val="28"/>
        </w:rPr>
      </w:pPr>
      <w:r w:rsidRPr="009171F7">
        <w:rPr>
          <w:color w:val="000000"/>
          <w:sz w:val="28"/>
        </w:rPr>
        <w:t>контролировать динамику оборачиваемости дебиторской задолженности (ее ускорение является положительной тенденцией);</w:t>
      </w:r>
    </w:p>
    <w:p w:rsidR="00066BDE" w:rsidRPr="009171F7" w:rsidRDefault="00066BDE" w:rsidP="00803DAB">
      <w:pPr>
        <w:keepNext/>
        <w:widowControl w:val="0"/>
        <w:numPr>
          <w:ilvl w:val="0"/>
          <w:numId w:val="9"/>
        </w:numPr>
        <w:shd w:val="clear" w:color="000000" w:fill="auto"/>
        <w:tabs>
          <w:tab w:val="clear" w:pos="1429"/>
          <w:tab w:val="num" w:pos="540"/>
        </w:tabs>
        <w:suppressAutoHyphens/>
        <w:spacing w:line="360" w:lineRule="auto"/>
        <w:ind w:left="0" w:firstLine="709"/>
        <w:jc w:val="both"/>
        <w:rPr>
          <w:color w:val="000000"/>
          <w:sz w:val="28"/>
        </w:rPr>
      </w:pPr>
      <w:r w:rsidRPr="009171F7">
        <w:rPr>
          <w:color w:val="000000"/>
          <w:sz w:val="28"/>
        </w:rPr>
        <w:t>тщательно отбирать покупателей, которым предоставляется отсрочка платежа;</w:t>
      </w:r>
    </w:p>
    <w:p w:rsidR="00066BDE" w:rsidRPr="009171F7" w:rsidRDefault="00066BDE" w:rsidP="00803DAB">
      <w:pPr>
        <w:keepNext/>
        <w:widowControl w:val="0"/>
        <w:numPr>
          <w:ilvl w:val="0"/>
          <w:numId w:val="9"/>
        </w:numPr>
        <w:shd w:val="clear" w:color="000000" w:fill="auto"/>
        <w:tabs>
          <w:tab w:val="clear" w:pos="1429"/>
          <w:tab w:val="num" w:pos="540"/>
        </w:tabs>
        <w:suppressAutoHyphens/>
        <w:spacing w:line="360" w:lineRule="auto"/>
        <w:ind w:left="0" w:firstLine="709"/>
        <w:jc w:val="both"/>
        <w:rPr>
          <w:color w:val="000000"/>
          <w:sz w:val="28"/>
        </w:rPr>
      </w:pPr>
      <w:r w:rsidRPr="009171F7">
        <w:rPr>
          <w:color w:val="000000"/>
          <w:sz w:val="28"/>
        </w:rPr>
        <w:t>тщательно разрабатывать условия оплаты;</w:t>
      </w:r>
    </w:p>
    <w:p w:rsidR="00066BDE" w:rsidRPr="009171F7" w:rsidRDefault="00066BDE" w:rsidP="00803DAB">
      <w:pPr>
        <w:keepNext/>
        <w:widowControl w:val="0"/>
        <w:numPr>
          <w:ilvl w:val="0"/>
          <w:numId w:val="9"/>
        </w:numPr>
        <w:shd w:val="clear" w:color="000000" w:fill="auto"/>
        <w:tabs>
          <w:tab w:val="clear" w:pos="1429"/>
          <w:tab w:val="num" w:pos="540"/>
        </w:tabs>
        <w:suppressAutoHyphens/>
        <w:spacing w:line="360" w:lineRule="auto"/>
        <w:ind w:left="0" w:firstLine="709"/>
        <w:jc w:val="both"/>
        <w:rPr>
          <w:color w:val="000000"/>
          <w:sz w:val="28"/>
        </w:rPr>
      </w:pPr>
      <w:r w:rsidRPr="009171F7">
        <w:rPr>
          <w:color w:val="000000"/>
          <w:sz w:val="28"/>
        </w:rPr>
        <w:t>проводить индивидуальную работу с должниками.</w:t>
      </w:r>
    </w:p>
    <w:p w:rsidR="00066BDE" w:rsidRPr="009171F7" w:rsidRDefault="00066BDE" w:rsidP="00803DAB">
      <w:pPr>
        <w:pStyle w:val="21"/>
        <w:keepNext/>
        <w:widowControl w:val="0"/>
        <w:shd w:val="clear" w:color="000000" w:fill="auto"/>
        <w:suppressAutoHyphens/>
        <w:autoSpaceDE/>
        <w:autoSpaceDN/>
        <w:adjustRightInd/>
        <w:spacing w:line="360" w:lineRule="auto"/>
        <w:rPr>
          <w:color w:val="000000"/>
          <w:sz w:val="28"/>
        </w:rPr>
      </w:pPr>
      <w:r w:rsidRPr="009171F7">
        <w:rPr>
          <w:color w:val="000000"/>
          <w:sz w:val="28"/>
        </w:rPr>
        <w:t>Однако факторинг, обеспечивая ускорение оборачиваемости дебиторской задолженности и снижение рисков поставщиков по поставкам с отсрочкой платежа, является более эффективным способом сокращения косвенных потерь от обслуживания дебиторской задолженности. Кроме того, факторинг не только сокращает потери поставщика от коммерческого кредитования клиентов, но и позволяет банку получать дополнительную прибыль за счет расширения спектра предлагаемых услуг.</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Т.о., целью факторинга является улучшение финансового состояния как поставщика, у которого ускоряется оборачиваемость оборотных средств, так и банка, который с помощью факторинга универсализирует свою деятельность.</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Факторинг выполняет следующие функции:</w:t>
      </w:r>
    </w:p>
    <w:p w:rsidR="00066BDE" w:rsidRPr="009171F7" w:rsidRDefault="00066BDE" w:rsidP="00803DAB">
      <w:pPr>
        <w:keepNext/>
        <w:widowControl w:val="0"/>
        <w:numPr>
          <w:ilvl w:val="0"/>
          <w:numId w:val="10"/>
        </w:numPr>
        <w:shd w:val="clear" w:color="000000" w:fill="auto"/>
        <w:tabs>
          <w:tab w:val="clear" w:pos="1429"/>
          <w:tab w:val="num" w:pos="540"/>
        </w:tabs>
        <w:suppressAutoHyphens/>
        <w:spacing w:line="360" w:lineRule="auto"/>
        <w:ind w:left="0" w:firstLine="709"/>
        <w:jc w:val="both"/>
        <w:rPr>
          <w:color w:val="000000"/>
          <w:sz w:val="28"/>
        </w:rPr>
      </w:pPr>
      <w:r w:rsidRPr="009171F7">
        <w:rPr>
          <w:iCs/>
          <w:color w:val="000000"/>
          <w:sz w:val="28"/>
        </w:rPr>
        <w:t>эмиссионная:</w:t>
      </w:r>
      <w:r w:rsidRPr="009171F7">
        <w:rPr>
          <w:color w:val="000000"/>
          <w:sz w:val="28"/>
        </w:rPr>
        <w:t xml:space="preserve"> восстанавливается объем оборотных средств поставщика, которые были отвлечены из оборота;</w:t>
      </w:r>
    </w:p>
    <w:p w:rsidR="00066BDE" w:rsidRPr="009171F7" w:rsidRDefault="00066BDE" w:rsidP="00803DAB">
      <w:pPr>
        <w:keepNext/>
        <w:widowControl w:val="0"/>
        <w:numPr>
          <w:ilvl w:val="0"/>
          <w:numId w:val="10"/>
        </w:numPr>
        <w:shd w:val="clear" w:color="000000" w:fill="auto"/>
        <w:tabs>
          <w:tab w:val="clear" w:pos="1429"/>
          <w:tab w:val="num" w:pos="540"/>
        </w:tabs>
        <w:suppressAutoHyphens/>
        <w:spacing w:line="360" w:lineRule="auto"/>
        <w:ind w:left="0" w:firstLine="709"/>
        <w:jc w:val="both"/>
        <w:rPr>
          <w:color w:val="000000"/>
          <w:sz w:val="28"/>
        </w:rPr>
      </w:pPr>
      <w:r w:rsidRPr="009171F7">
        <w:rPr>
          <w:iCs/>
          <w:color w:val="000000"/>
          <w:sz w:val="28"/>
        </w:rPr>
        <w:t>стимулирующая:</w:t>
      </w:r>
      <w:r w:rsidRPr="009171F7">
        <w:rPr>
          <w:color w:val="000000"/>
          <w:sz w:val="28"/>
        </w:rPr>
        <w:t xml:space="preserve"> ускоряется оборачиваемость дебиторской задолженности, и соответственно оборотных средств;</w:t>
      </w:r>
    </w:p>
    <w:p w:rsidR="00066BDE" w:rsidRPr="009171F7" w:rsidRDefault="00066BDE" w:rsidP="00803DAB">
      <w:pPr>
        <w:keepNext/>
        <w:widowControl w:val="0"/>
        <w:numPr>
          <w:ilvl w:val="0"/>
          <w:numId w:val="10"/>
        </w:numPr>
        <w:shd w:val="clear" w:color="000000" w:fill="auto"/>
        <w:tabs>
          <w:tab w:val="clear" w:pos="1429"/>
          <w:tab w:val="num" w:pos="540"/>
        </w:tabs>
        <w:suppressAutoHyphens/>
        <w:spacing w:line="360" w:lineRule="auto"/>
        <w:ind w:left="0" w:firstLine="709"/>
        <w:jc w:val="both"/>
        <w:rPr>
          <w:color w:val="000000"/>
          <w:sz w:val="28"/>
        </w:rPr>
      </w:pPr>
      <w:r w:rsidRPr="009171F7">
        <w:rPr>
          <w:iCs/>
          <w:color w:val="000000"/>
          <w:sz w:val="28"/>
        </w:rPr>
        <w:t>контрольная:</w:t>
      </w:r>
      <w:r w:rsidRPr="009171F7">
        <w:rPr>
          <w:color w:val="000000"/>
          <w:sz w:val="28"/>
        </w:rPr>
        <w:t xml:space="preserve"> так как банк может взять на себя управление дебиторской задолженностью поставщика, то взаимоотношения между поставщиком и его клиентами упорядочиваются.</w:t>
      </w:r>
    </w:p>
    <w:p w:rsidR="00066BDE" w:rsidRPr="009171F7" w:rsidRDefault="00066BDE" w:rsidP="00803DAB">
      <w:pPr>
        <w:pStyle w:val="3"/>
        <w:widowControl w:val="0"/>
        <w:shd w:val="clear" w:color="000000" w:fill="auto"/>
        <w:suppressAutoHyphens/>
        <w:spacing w:before="0" w:after="0" w:line="360" w:lineRule="auto"/>
        <w:ind w:firstLine="709"/>
        <w:jc w:val="both"/>
        <w:rPr>
          <w:rFonts w:ascii="Times New Roman" w:hAnsi="Times New Roman" w:cs="Times New Roman"/>
          <w:b w:val="0"/>
          <w:color w:val="000000"/>
          <w:sz w:val="28"/>
        </w:rPr>
      </w:pPr>
      <w:bookmarkStart w:id="44" w:name="_Toc241650500"/>
      <w:bookmarkStart w:id="45" w:name="_Toc241650543"/>
      <w:bookmarkStart w:id="46" w:name="_Toc241656040"/>
      <w:bookmarkStart w:id="47" w:name="_Toc241656075"/>
      <w:bookmarkStart w:id="48" w:name="_Toc241656648"/>
      <w:bookmarkStart w:id="49" w:name="_Toc241657121"/>
      <w:bookmarkStart w:id="50" w:name="_Toc241657153"/>
      <w:bookmarkStart w:id="51" w:name="_Toc241657168"/>
      <w:bookmarkStart w:id="52" w:name="_Toc241658520"/>
      <w:bookmarkStart w:id="53" w:name="_Toc241658534"/>
      <w:bookmarkStart w:id="54" w:name="_Toc264770844"/>
      <w:bookmarkStart w:id="55" w:name="_Toc241650498"/>
      <w:bookmarkStart w:id="56" w:name="_Toc241650541"/>
      <w:bookmarkStart w:id="57" w:name="_Toc241656038"/>
      <w:r w:rsidRPr="009171F7">
        <w:rPr>
          <w:rFonts w:ascii="Times New Roman" w:hAnsi="Times New Roman" w:cs="Times New Roman"/>
          <w:b w:val="0"/>
          <w:color w:val="000000"/>
          <w:sz w:val="28"/>
        </w:rPr>
        <w:t>Предмет</w:t>
      </w:r>
      <w:bookmarkEnd w:id="44"/>
      <w:bookmarkEnd w:id="45"/>
      <w:bookmarkEnd w:id="46"/>
      <w:bookmarkEnd w:id="47"/>
      <w:bookmarkEnd w:id="48"/>
      <w:bookmarkEnd w:id="49"/>
      <w:bookmarkEnd w:id="50"/>
      <w:bookmarkEnd w:id="51"/>
      <w:bookmarkEnd w:id="52"/>
      <w:bookmarkEnd w:id="53"/>
      <w:bookmarkEnd w:id="54"/>
    </w:p>
    <w:p w:rsidR="00066BDE" w:rsidRPr="009171F7" w:rsidRDefault="00066BDE" w:rsidP="00803DAB">
      <w:pPr>
        <w:keepNext/>
        <w:widowControl w:val="0"/>
        <w:shd w:val="clear" w:color="000000" w:fill="auto"/>
        <w:suppressAutoHyphens/>
        <w:autoSpaceDE w:val="0"/>
        <w:autoSpaceDN w:val="0"/>
        <w:adjustRightInd w:val="0"/>
        <w:spacing w:line="360" w:lineRule="auto"/>
        <w:ind w:firstLine="709"/>
        <w:jc w:val="both"/>
        <w:rPr>
          <w:color w:val="000000"/>
          <w:sz w:val="28"/>
          <w:szCs w:val="20"/>
        </w:rPr>
      </w:pPr>
      <w:r w:rsidRPr="009171F7">
        <w:rPr>
          <w:color w:val="000000"/>
          <w:sz w:val="28"/>
        </w:rPr>
        <w:t>Предметом уступки по договору факторинга могут быть только требования о передаче денег в оплату поставленных товаров, выполненных работ и оказанных услуг.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денежных средств, которое возникнет в будущем (будущее требование).</w:t>
      </w:r>
      <w:r w:rsidRPr="009171F7">
        <w:rPr>
          <w:rStyle w:val="a5"/>
          <w:color w:val="000000"/>
          <w:sz w:val="28"/>
        </w:rPr>
        <w:footnoteReference w:id="4"/>
      </w:r>
      <w:r w:rsidRPr="009171F7">
        <w:rPr>
          <w:color w:val="000000"/>
          <w:sz w:val="28"/>
          <w:szCs w:val="20"/>
        </w:rPr>
        <w:t xml:space="preserve"> 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денежных средств, которые являются предметом уступки требования, предусмотренной договором. Если уступка денежного требования обусловлена определенным событием, она вступает в силу после наступления этого события.</w:t>
      </w:r>
      <w:r w:rsidRPr="009171F7">
        <w:rPr>
          <w:rStyle w:val="a5"/>
          <w:color w:val="000000"/>
          <w:sz w:val="28"/>
        </w:rPr>
        <w:footnoteReference w:id="5"/>
      </w:r>
    </w:p>
    <w:p w:rsidR="00066BDE" w:rsidRPr="009171F7" w:rsidRDefault="00066BDE" w:rsidP="00803DAB">
      <w:pPr>
        <w:keepNext/>
        <w:widowControl w:val="0"/>
        <w:shd w:val="clear" w:color="000000" w:fill="auto"/>
        <w:suppressAutoHyphens/>
        <w:autoSpaceDE w:val="0"/>
        <w:autoSpaceDN w:val="0"/>
        <w:adjustRightInd w:val="0"/>
        <w:spacing w:line="360" w:lineRule="auto"/>
        <w:ind w:firstLine="709"/>
        <w:jc w:val="both"/>
        <w:rPr>
          <w:color w:val="000000"/>
          <w:sz w:val="28"/>
        </w:rPr>
      </w:pPr>
      <w:r w:rsidRPr="009171F7">
        <w:rPr>
          <w:color w:val="000000"/>
          <w:sz w:val="28"/>
        </w:rPr>
        <w:t>Клиент несет перед финансовым агентом ответственность за действительность денежного требования, являющегося предметом уступки. Денежное требование признается действительным, если клиент обладает правом на передачу денежного требования и в момент уступки этого требования ему не известны обстоятельства, вследствие которых должник вправе его не исполнять.</w:t>
      </w:r>
      <w:r w:rsidRPr="009171F7">
        <w:rPr>
          <w:rStyle w:val="a5"/>
          <w:color w:val="000000"/>
          <w:sz w:val="28"/>
        </w:rPr>
        <w:footnoteReference w:id="6"/>
      </w:r>
    </w:p>
    <w:p w:rsidR="00066BDE" w:rsidRPr="009171F7" w:rsidRDefault="00066BDE" w:rsidP="00803DAB">
      <w:pPr>
        <w:keepNext/>
        <w:widowControl w:val="0"/>
        <w:shd w:val="clear" w:color="000000" w:fill="auto"/>
        <w:suppressAutoHyphens/>
        <w:autoSpaceDE w:val="0"/>
        <w:autoSpaceDN w:val="0"/>
        <w:adjustRightInd w:val="0"/>
        <w:spacing w:line="360" w:lineRule="auto"/>
        <w:ind w:firstLine="709"/>
        <w:jc w:val="both"/>
        <w:rPr>
          <w:color w:val="000000"/>
          <w:sz w:val="28"/>
        </w:rPr>
      </w:pPr>
      <w:r w:rsidRPr="009171F7">
        <w:rPr>
          <w:color w:val="000000"/>
          <w:sz w:val="28"/>
        </w:rPr>
        <w:t>Согласия должника на переуступку денежного требования не требуется. Более того,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w:t>
      </w:r>
      <w:r w:rsidRPr="009171F7">
        <w:rPr>
          <w:rStyle w:val="a5"/>
          <w:color w:val="000000"/>
          <w:sz w:val="28"/>
        </w:rPr>
        <w:footnoteReference w:id="7"/>
      </w:r>
      <w:r w:rsidRPr="009171F7">
        <w:rPr>
          <w:color w:val="000000"/>
          <w:sz w:val="28"/>
        </w:rPr>
        <w:t xml:space="preserve"> Следует отметить, что должник обязан оплатить финансовому агенту денежное требование только в том случае, если был уведомлен об уступке денежного требования этому финансовому агенту. Если уведомления не было, то должник вправе произвести платеж первоначальному кредитору.</w:t>
      </w:r>
    </w:p>
    <w:p w:rsidR="00066BDE" w:rsidRPr="009171F7" w:rsidRDefault="00066BDE" w:rsidP="00803DAB">
      <w:pPr>
        <w:keepNext/>
        <w:widowControl w:val="0"/>
        <w:shd w:val="clear" w:color="000000" w:fill="auto"/>
        <w:suppressAutoHyphens/>
        <w:autoSpaceDE w:val="0"/>
        <w:autoSpaceDN w:val="0"/>
        <w:adjustRightInd w:val="0"/>
        <w:spacing w:line="360" w:lineRule="auto"/>
        <w:ind w:firstLine="709"/>
        <w:jc w:val="both"/>
        <w:rPr>
          <w:color w:val="000000"/>
          <w:sz w:val="28"/>
        </w:rPr>
      </w:pPr>
      <w:r w:rsidRPr="009171F7">
        <w:rPr>
          <w:color w:val="000000"/>
          <w:sz w:val="28"/>
        </w:rPr>
        <w:t>Помимо финансирования под уступку денежного требования, финансовый агент в рамках договора факторинга может предоставлять клиенту различные финансовые услуги, связанные с переуступленными денежными требованиями. Это может быть ведение бухгалтерского учета, выставление должникам счетов по уступленным денежным требованиям? управление кредитом, учет реализации и др.</w:t>
      </w:r>
    </w:p>
    <w:p w:rsidR="00066BDE" w:rsidRPr="009171F7" w:rsidRDefault="00066BDE" w:rsidP="00803DAB">
      <w:pPr>
        <w:pStyle w:val="3"/>
        <w:widowControl w:val="0"/>
        <w:shd w:val="clear" w:color="000000" w:fill="auto"/>
        <w:suppressAutoHyphens/>
        <w:spacing w:before="0" w:after="0" w:line="360" w:lineRule="auto"/>
        <w:ind w:firstLine="709"/>
        <w:jc w:val="both"/>
        <w:rPr>
          <w:rFonts w:ascii="Times New Roman" w:hAnsi="Times New Roman" w:cs="Times New Roman"/>
          <w:b w:val="0"/>
          <w:color w:val="000000"/>
          <w:sz w:val="28"/>
        </w:rPr>
      </w:pPr>
      <w:bookmarkStart w:id="58" w:name="_Toc241656076"/>
      <w:bookmarkStart w:id="59" w:name="_Toc241656649"/>
      <w:bookmarkStart w:id="60" w:name="_Toc241657122"/>
      <w:bookmarkStart w:id="61" w:name="_Toc241657154"/>
      <w:bookmarkStart w:id="62" w:name="_Toc241657169"/>
      <w:bookmarkStart w:id="63" w:name="_Toc241658521"/>
      <w:bookmarkStart w:id="64" w:name="_Toc241658535"/>
      <w:bookmarkStart w:id="65" w:name="_Toc264770845"/>
      <w:r w:rsidRPr="009171F7">
        <w:rPr>
          <w:rFonts w:ascii="Times New Roman" w:hAnsi="Times New Roman" w:cs="Times New Roman"/>
          <w:b w:val="0"/>
          <w:color w:val="000000"/>
          <w:sz w:val="28"/>
        </w:rPr>
        <w:t>Субъекты</w:t>
      </w:r>
      <w:bookmarkEnd w:id="55"/>
      <w:bookmarkEnd w:id="56"/>
      <w:bookmarkEnd w:id="57"/>
      <w:bookmarkEnd w:id="58"/>
      <w:bookmarkEnd w:id="59"/>
      <w:bookmarkEnd w:id="60"/>
      <w:bookmarkEnd w:id="61"/>
      <w:bookmarkEnd w:id="62"/>
      <w:bookmarkEnd w:id="63"/>
      <w:bookmarkEnd w:id="64"/>
      <w:bookmarkEnd w:id="65"/>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Факторинг обладает трехсторонним характером взаимоотношений – в факторинговой сделке участвуют как минимум поставщик, покупатель и финансовый агент (при обслуживании внешнеэкономических контрактов участников может быть больше).</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В роли финансового агента может выступать как банк, так и специализированная факторинговая компания. За рубежом факторинговые компании стремятся объединиться в сети для упрощения и повышения эффективности взаимодействия. Цели таких объединений следующие:</w:t>
      </w:r>
    </w:p>
    <w:p w:rsidR="00066BDE" w:rsidRPr="009171F7" w:rsidRDefault="00066BDE" w:rsidP="00803DAB">
      <w:pPr>
        <w:keepNext/>
        <w:widowControl w:val="0"/>
        <w:numPr>
          <w:ilvl w:val="0"/>
          <w:numId w:val="11"/>
        </w:numPr>
        <w:shd w:val="clear" w:color="000000" w:fill="auto"/>
        <w:tabs>
          <w:tab w:val="clear" w:pos="1429"/>
          <w:tab w:val="num" w:pos="540"/>
        </w:tabs>
        <w:suppressAutoHyphens/>
        <w:spacing w:line="360" w:lineRule="auto"/>
        <w:ind w:left="0" w:firstLine="709"/>
        <w:jc w:val="both"/>
        <w:rPr>
          <w:color w:val="000000"/>
          <w:sz w:val="28"/>
        </w:rPr>
      </w:pPr>
      <w:r w:rsidRPr="009171F7">
        <w:rPr>
          <w:color w:val="000000"/>
          <w:sz w:val="28"/>
        </w:rPr>
        <w:t>развитие международного факторинга;</w:t>
      </w:r>
    </w:p>
    <w:p w:rsidR="00066BDE" w:rsidRPr="009171F7" w:rsidRDefault="00066BDE" w:rsidP="00803DAB">
      <w:pPr>
        <w:keepNext/>
        <w:widowControl w:val="0"/>
        <w:numPr>
          <w:ilvl w:val="0"/>
          <w:numId w:val="11"/>
        </w:numPr>
        <w:shd w:val="clear" w:color="000000" w:fill="auto"/>
        <w:tabs>
          <w:tab w:val="clear" w:pos="1429"/>
          <w:tab w:val="num" w:pos="540"/>
        </w:tabs>
        <w:suppressAutoHyphens/>
        <w:spacing w:line="360" w:lineRule="auto"/>
        <w:ind w:left="0" w:firstLine="709"/>
        <w:jc w:val="both"/>
        <w:rPr>
          <w:color w:val="000000"/>
          <w:sz w:val="28"/>
        </w:rPr>
      </w:pPr>
      <w:r w:rsidRPr="009171F7">
        <w:rPr>
          <w:color w:val="000000"/>
          <w:sz w:val="28"/>
        </w:rPr>
        <w:t>привлечение компаний из разных стран к использованию единообразных правил факторинговых операций;</w:t>
      </w:r>
    </w:p>
    <w:p w:rsidR="00066BDE" w:rsidRPr="009171F7" w:rsidRDefault="00066BDE" w:rsidP="00803DAB">
      <w:pPr>
        <w:keepNext/>
        <w:widowControl w:val="0"/>
        <w:numPr>
          <w:ilvl w:val="0"/>
          <w:numId w:val="11"/>
        </w:numPr>
        <w:shd w:val="clear" w:color="000000" w:fill="auto"/>
        <w:tabs>
          <w:tab w:val="clear" w:pos="1429"/>
          <w:tab w:val="num" w:pos="540"/>
        </w:tabs>
        <w:suppressAutoHyphens/>
        <w:spacing w:line="360" w:lineRule="auto"/>
        <w:ind w:left="0" w:firstLine="709"/>
        <w:jc w:val="both"/>
        <w:rPr>
          <w:color w:val="000000"/>
          <w:sz w:val="28"/>
        </w:rPr>
      </w:pPr>
      <w:r w:rsidRPr="009171F7">
        <w:rPr>
          <w:color w:val="000000"/>
          <w:sz w:val="28"/>
        </w:rPr>
        <w:t>анализ методологических проблем факторинга;</w:t>
      </w:r>
    </w:p>
    <w:p w:rsidR="00066BDE" w:rsidRPr="009171F7" w:rsidRDefault="00066BDE" w:rsidP="00803DAB">
      <w:pPr>
        <w:keepNext/>
        <w:widowControl w:val="0"/>
        <w:numPr>
          <w:ilvl w:val="0"/>
          <w:numId w:val="11"/>
        </w:numPr>
        <w:shd w:val="clear" w:color="000000" w:fill="auto"/>
        <w:tabs>
          <w:tab w:val="clear" w:pos="1429"/>
          <w:tab w:val="num" w:pos="540"/>
        </w:tabs>
        <w:suppressAutoHyphens/>
        <w:spacing w:line="360" w:lineRule="auto"/>
        <w:ind w:left="0" w:firstLine="709"/>
        <w:jc w:val="both"/>
        <w:rPr>
          <w:color w:val="000000"/>
          <w:sz w:val="28"/>
        </w:rPr>
      </w:pPr>
      <w:r w:rsidRPr="009171F7">
        <w:rPr>
          <w:color w:val="000000"/>
          <w:sz w:val="28"/>
        </w:rPr>
        <w:t>выполнение образовательной роли;</w:t>
      </w:r>
    </w:p>
    <w:p w:rsidR="00066BDE" w:rsidRPr="009171F7" w:rsidRDefault="00066BDE" w:rsidP="00803DAB">
      <w:pPr>
        <w:keepNext/>
        <w:widowControl w:val="0"/>
        <w:numPr>
          <w:ilvl w:val="0"/>
          <w:numId w:val="11"/>
        </w:numPr>
        <w:shd w:val="clear" w:color="000000" w:fill="auto"/>
        <w:tabs>
          <w:tab w:val="clear" w:pos="1429"/>
          <w:tab w:val="num" w:pos="540"/>
        </w:tabs>
        <w:suppressAutoHyphens/>
        <w:spacing w:line="360" w:lineRule="auto"/>
        <w:ind w:left="0" w:firstLine="709"/>
        <w:jc w:val="both"/>
        <w:rPr>
          <w:color w:val="000000"/>
          <w:sz w:val="28"/>
        </w:rPr>
      </w:pPr>
      <w:r w:rsidRPr="009171F7">
        <w:rPr>
          <w:color w:val="000000"/>
          <w:sz w:val="28"/>
        </w:rPr>
        <w:t>предоставление участникам факторинговых операций необходимой информации;</w:t>
      </w:r>
    </w:p>
    <w:p w:rsidR="00066BDE" w:rsidRPr="009171F7" w:rsidRDefault="00066BDE" w:rsidP="00803DAB">
      <w:pPr>
        <w:keepNext/>
        <w:widowControl w:val="0"/>
        <w:numPr>
          <w:ilvl w:val="0"/>
          <w:numId w:val="11"/>
        </w:numPr>
        <w:shd w:val="clear" w:color="000000" w:fill="auto"/>
        <w:tabs>
          <w:tab w:val="clear" w:pos="1429"/>
          <w:tab w:val="num" w:pos="540"/>
        </w:tabs>
        <w:suppressAutoHyphens/>
        <w:spacing w:line="360" w:lineRule="auto"/>
        <w:ind w:left="0" w:firstLine="709"/>
        <w:jc w:val="both"/>
        <w:rPr>
          <w:color w:val="000000"/>
          <w:sz w:val="28"/>
        </w:rPr>
      </w:pPr>
      <w:r w:rsidRPr="009171F7">
        <w:rPr>
          <w:color w:val="000000"/>
          <w:sz w:val="28"/>
        </w:rPr>
        <w:t>защита своих участников на уровне международных финансовых организаций.</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Каждый участник факторинговой сети имеет возможность налаживать контакты с потенциальными партнерами из разных стран и перенимать положительный опыт ведения факторингового бизнеса.</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Участником факторингового объединения может стать только компания, удовлетворяющая определенному набору требований. Несмотря на строгость отбора, многие компании стремятся стать членами таких ассоциаций, так участие в них является гарантией качества для потенциальных клиентов.</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За рубежом основные клиенты факторинговых компаний и банков – средние и мелкие фирмы, испытывающие потребность в дополнительном финансировании и профессиональной административной поддержке. Каждая факторинговая компания имеет свои критерии отбора клиентов. Например, существуют отрасли, которые факторинговая компания может не обслуживать из-за повышенного риска, или же потенциальный клиент должен иметь определенный объем оборота.</w:t>
      </w:r>
    </w:p>
    <w:p w:rsidR="00B81743"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В России финансовыми агентами должны быть банки, другие кредитные организации, а также иные коммерческие предприятия, имеющие лицензию на осуществление деятельности такого рода.</w:t>
      </w:r>
      <w:r w:rsidRPr="009171F7">
        <w:rPr>
          <w:rStyle w:val="a5"/>
          <w:color w:val="000000"/>
          <w:sz w:val="28"/>
        </w:rPr>
        <w:footnoteReference w:id="8"/>
      </w:r>
      <w:r w:rsidRPr="009171F7">
        <w:rPr>
          <w:color w:val="000000"/>
          <w:sz w:val="28"/>
        </w:rPr>
        <w:t xml:space="preserve"> Клиентами могут быть коммерческие организации или индивидуальные предприниматели (т.е. факторинговая операция может использоваться только в предпринимательской деятельности).</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Наиболее эффективно использование факторинга для следующих предприятий:</w:t>
      </w:r>
    </w:p>
    <w:p w:rsidR="00066BDE" w:rsidRPr="009171F7" w:rsidRDefault="00066BDE" w:rsidP="00803DAB">
      <w:pPr>
        <w:keepNext/>
        <w:widowControl w:val="0"/>
        <w:numPr>
          <w:ilvl w:val="0"/>
          <w:numId w:val="12"/>
        </w:numPr>
        <w:shd w:val="clear" w:color="000000" w:fill="auto"/>
        <w:tabs>
          <w:tab w:val="clear" w:pos="1429"/>
          <w:tab w:val="num" w:pos="540"/>
        </w:tabs>
        <w:suppressAutoHyphens/>
        <w:spacing w:line="360" w:lineRule="auto"/>
        <w:ind w:left="0" w:firstLine="709"/>
        <w:jc w:val="both"/>
        <w:rPr>
          <w:color w:val="000000"/>
          <w:sz w:val="28"/>
        </w:rPr>
      </w:pPr>
      <w:r w:rsidRPr="009171F7">
        <w:rPr>
          <w:color w:val="000000"/>
          <w:sz w:val="28"/>
        </w:rPr>
        <w:t>малые и средние предприятия, увеличивающие объем продаж или выходящие на новые рынки;</w:t>
      </w:r>
    </w:p>
    <w:p w:rsidR="00066BDE" w:rsidRPr="009171F7" w:rsidRDefault="00066BDE" w:rsidP="00803DAB">
      <w:pPr>
        <w:keepNext/>
        <w:widowControl w:val="0"/>
        <w:numPr>
          <w:ilvl w:val="0"/>
          <w:numId w:val="12"/>
        </w:numPr>
        <w:shd w:val="clear" w:color="000000" w:fill="auto"/>
        <w:tabs>
          <w:tab w:val="clear" w:pos="1429"/>
          <w:tab w:val="num" w:pos="540"/>
        </w:tabs>
        <w:suppressAutoHyphens/>
        <w:spacing w:line="360" w:lineRule="auto"/>
        <w:ind w:left="0" w:firstLine="709"/>
        <w:jc w:val="both"/>
        <w:rPr>
          <w:color w:val="000000"/>
          <w:sz w:val="28"/>
        </w:rPr>
      </w:pPr>
      <w:r w:rsidRPr="009171F7">
        <w:rPr>
          <w:color w:val="000000"/>
          <w:sz w:val="28"/>
        </w:rPr>
        <w:t>новые компании, еще не имеющие отлаженного механизма работы с дебиторской задолженностью.</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Подобные предприятия зачастую не могут получить банковский кредит, так как не удовлетворяют условиям, предъявляемым банками. Факторинг же позволяет этим предприятиям пополнить оборотные средства и ускорить их оборачиваемость.</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Взаимодействие субъектов факторинга происходит посредством отношений по купле-продаже товаров с отсрочкой платежа и отношений по переуступке дебиторской задолженности.</w:t>
      </w:r>
    </w:p>
    <w:p w:rsidR="00066BDE" w:rsidRPr="009171F7" w:rsidRDefault="00066BDE" w:rsidP="00803DAB">
      <w:pPr>
        <w:pStyle w:val="3"/>
        <w:widowControl w:val="0"/>
        <w:shd w:val="clear" w:color="000000" w:fill="auto"/>
        <w:suppressAutoHyphens/>
        <w:spacing w:before="0" w:after="0" w:line="360" w:lineRule="auto"/>
        <w:ind w:firstLine="709"/>
        <w:jc w:val="both"/>
        <w:rPr>
          <w:rFonts w:ascii="Times New Roman" w:hAnsi="Times New Roman" w:cs="Times New Roman"/>
          <w:b w:val="0"/>
          <w:color w:val="000000"/>
          <w:sz w:val="28"/>
        </w:rPr>
      </w:pPr>
      <w:bookmarkStart w:id="66" w:name="_Toc241650499"/>
      <w:bookmarkStart w:id="67" w:name="_Toc241650542"/>
      <w:bookmarkStart w:id="68" w:name="_Toc241656039"/>
      <w:bookmarkStart w:id="69" w:name="_Toc241656077"/>
      <w:bookmarkStart w:id="70" w:name="_Toc241656650"/>
      <w:bookmarkStart w:id="71" w:name="_Toc241657123"/>
      <w:bookmarkStart w:id="72" w:name="_Toc241657155"/>
      <w:bookmarkStart w:id="73" w:name="_Toc241657170"/>
      <w:bookmarkStart w:id="74" w:name="_Toc241658522"/>
      <w:bookmarkStart w:id="75" w:name="_Toc241658536"/>
      <w:bookmarkStart w:id="76" w:name="_Toc264770846"/>
      <w:r w:rsidRPr="009171F7">
        <w:rPr>
          <w:rFonts w:ascii="Times New Roman" w:hAnsi="Times New Roman" w:cs="Times New Roman"/>
          <w:b w:val="0"/>
          <w:color w:val="000000"/>
          <w:sz w:val="28"/>
        </w:rPr>
        <w:t>Этапы</w:t>
      </w:r>
      <w:bookmarkEnd w:id="66"/>
      <w:bookmarkEnd w:id="67"/>
      <w:bookmarkEnd w:id="68"/>
      <w:bookmarkEnd w:id="69"/>
      <w:bookmarkEnd w:id="70"/>
      <w:bookmarkEnd w:id="71"/>
      <w:bookmarkEnd w:id="72"/>
      <w:bookmarkEnd w:id="73"/>
      <w:bookmarkEnd w:id="74"/>
      <w:bookmarkEnd w:id="75"/>
      <w:bookmarkEnd w:id="76"/>
    </w:p>
    <w:p w:rsidR="00066BDE" w:rsidRPr="009171F7" w:rsidRDefault="00066BDE" w:rsidP="00803DAB">
      <w:pPr>
        <w:pStyle w:val="21"/>
        <w:keepNext/>
        <w:widowControl w:val="0"/>
        <w:shd w:val="clear" w:color="000000" w:fill="auto"/>
        <w:suppressAutoHyphens/>
        <w:autoSpaceDE/>
        <w:autoSpaceDN/>
        <w:adjustRightInd/>
        <w:spacing w:line="360" w:lineRule="auto"/>
        <w:rPr>
          <w:color w:val="000000"/>
          <w:sz w:val="28"/>
        </w:rPr>
      </w:pPr>
      <w:r w:rsidRPr="009171F7">
        <w:rPr>
          <w:color w:val="000000"/>
          <w:sz w:val="28"/>
        </w:rPr>
        <w:t>При факторинге сразу после поставки банк выплачивает поставщику 70-90% от номинальной стоимости счета-фактуры по данной поставке. Оставшиеся 10-30% за вычетом комиссионного вознаграждения зачисляются на блокированный счет предприятия и выплачиваются ему только после того, как покупатель погасил свои обязательства.</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Можно выделить три этапа факторинга:</w:t>
      </w:r>
    </w:p>
    <w:p w:rsidR="00066BDE" w:rsidRPr="009171F7" w:rsidRDefault="00066BDE" w:rsidP="00803DAB">
      <w:pPr>
        <w:keepNext/>
        <w:widowControl w:val="0"/>
        <w:numPr>
          <w:ilvl w:val="1"/>
          <w:numId w:val="8"/>
        </w:numPr>
        <w:shd w:val="clear" w:color="000000" w:fill="auto"/>
        <w:tabs>
          <w:tab w:val="clear" w:pos="2509"/>
          <w:tab w:val="num" w:pos="900"/>
        </w:tabs>
        <w:suppressAutoHyphens/>
        <w:spacing w:line="360" w:lineRule="auto"/>
        <w:ind w:left="0" w:firstLine="709"/>
        <w:jc w:val="both"/>
        <w:rPr>
          <w:iCs/>
          <w:color w:val="000000"/>
          <w:sz w:val="28"/>
        </w:rPr>
      </w:pPr>
      <w:r w:rsidRPr="009171F7">
        <w:rPr>
          <w:iCs/>
          <w:color w:val="000000"/>
          <w:sz w:val="28"/>
        </w:rPr>
        <w:t>Обоснование и подготовка проводимой факторинговой операции.</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На этом этапе проводится подготовительная работа по изучению всех условий сделки с целью минимизации возможных рисков. Клиент предоставляет в банк заявление на факторинговое обслуживание и другие необходимые документы (расшифровка дебиторской задолженности, контракты с покупателями, счета-фактуры, бухгалтерская отчетность и др.). после этого банк готовит заключение о платежеспособности поставщика и его дебиторов и решает, стоит ли брать на себя риск или лучше отказаться от операции.</w:t>
      </w:r>
    </w:p>
    <w:p w:rsidR="00066BDE" w:rsidRPr="009171F7" w:rsidRDefault="00066BDE" w:rsidP="00803DAB">
      <w:pPr>
        <w:keepNext/>
        <w:widowControl w:val="0"/>
        <w:numPr>
          <w:ilvl w:val="1"/>
          <w:numId w:val="8"/>
        </w:numPr>
        <w:shd w:val="clear" w:color="000000" w:fill="auto"/>
        <w:tabs>
          <w:tab w:val="clear" w:pos="2509"/>
          <w:tab w:val="num" w:pos="900"/>
        </w:tabs>
        <w:suppressAutoHyphens/>
        <w:spacing w:line="360" w:lineRule="auto"/>
        <w:ind w:left="0" w:firstLine="709"/>
        <w:jc w:val="both"/>
        <w:rPr>
          <w:iCs/>
          <w:color w:val="000000"/>
          <w:sz w:val="28"/>
        </w:rPr>
      </w:pPr>
      <w:r w:rsidRPr="009171F7">
        <w:rPr>
          <w:iCs/>
          <w:color w:val="000000"/>
          <w:sz w:val="28"/>
        </w:rPr>
        <w:t>Юридическое оформление факторинговой сделки.</w:t>
      </w:r>
    </w:p>
    <w:p w:rsidR="00066BDE" w:rsidRPr="009171F7" w:rsidRDefault="00066BDE" w:rsidP="00803DAB">
      <w:pPr>
        <w:pStyle w:val="21"/>
        <w:keepNext/>
        <w:widowControl w:val="0"/>
        <w:shd w:val="clear" w:color="000000" w:fill="auto"/>
        <w:suppressAutoHyphens/>
        <w:autoSpaceDE/>
        <w:autoSpaceDN/>
        <w:adjustRightInd/>
        <w:spacing w:line="360" w:lineRule="auto"/>
        <w:rPr>
          <w:color w:val="000000"/>
          <w:sz w:val="28"/>
        </w:rPr>
      </w:pPr>
      <w:r w:rsidRPr="009171F7">
        <w:rPr>
          <w:color w:val="000000"/>
          <w:sz w:val="28"/>
        </w:rPr>
        <w:t>Между банком и поставщиком заключается договор о факторинге (как правило, на срок от 1 до 4 лет). После этого банк устанавливает программное обеспечение поставщику для оперативного информирования о состоянии дебиторской задолженности.</w:t>
      </w:r>
    </w:p>
    <w:p w:rsidR="00066BDE" w:rsidRPr="009171F7" w:rsidRDefault="00066BDE" w:rsidP="00803DAB">
      <w:pPr>
        <w:keepNext/>
        <w:widowControl w:val="0"/>
        <w:numPr>
          <w:ilvl w:val="1"/>
          <w:numId w:val="8"/>
        </w:numPr>
        <w:shd w:val="clear" w:color="000000" w:fill="auto"/>
        <w:tabs>
          <w:tab w:val="clear" w:pos="2509"/>
          <w:tab w:val="num" w:pos="900"/>
        </w:tabs>
        <w:suppressAutoHyphens/>
        <w:spacing w:line="360" w:lineRule="auto"/>
        <w:ind w:left="0" w:firstLine="709"/>
        <w:jc w:val="both"/>
        <w:rPr>
          <w:iCs/>
          <w:color w:val="000000"/>
          <w:sz w:val="28"/>
        </w:rPr>
      </w:pPr>
      <w:r w:rsidRPr="009171F7">
        <w:rPr>
          <w:iCs/>
          <w:color w:val="000000"/>
          <w:sz w:val="28"/>
        </w:rPr>
        <w:t>Исполнение договора факторинга.</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Поставщик предоставляет в банк копии выставленного на покупателя платежного требования, которое переуступается банку. Банк извещает банк покупателя о замене в платежном требовании наименования получателя на реквизиты банка, оказывающего факторинговую услугу. Поставщик уведомляет покупателя (с помощью специальной надписи на счете-фактуре и в специальном письме) о том, что единственным законным получателем платежа является банк. Далее банк выплачивает поставщику аванс в размере 70-90% от суммы поставки.</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Периодически банк предоставляет поставщику полную информацию о состоянии дебиторской задолженности. По окончании отсрочки платежа покупатель погашает свою задолженность банку, после чего банк выплачивает поставщику оставшуюся сумму за вычетом комиссионного вознаграждения.</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Для уточнения сущности факторинга необходимо сравнить его с классическим банковским кредитованием. Преимущества факторинга:</w:t>
      </w:r>
    </w:p>
    <w:p w:rsidR="00066BDE" w:rsidRPr="009171F7" w:rsidRDefault="00066BDE" w:rsidP="00803DAB">
      <w:pPr>
        <w:keepNext/>
        <w:widowControl w:val="0"/>
        <w:numPr>
          <w:ilvl w:val="0"/>
          <w:numId w:val="15"/>
        </w:numPr>
        <w:shd w:val="clear" w:color="000000" w:fill="auto"/>
        <w:tabs>
          <w:tab w:val="clear" w:pos="1429"/>
          <w:tab w:val="num" w:pos="720"/>
        </w:tabs>
        <w:suppressAutoHyphens/>
        <w:spacing w:line="360" w:lineRule="auto"/>
        <w:ind w:left="0" w:firstLine="709"/>
        <w:jc w:val="both"/>
        <w:rPr>
          <w:color w:val="000000"/>
          <w:sz w:val="28"/>
        </w:rPr>
      </w:pPr>
      <w:r w:rsidRPr="009171F7">
        <w:rPr>
          <w:color w:val="000000"/>
          <w:sz w:val="28"/>
        </w:rPr>
        <w:t>банк проводит постоянную работу по управлению дебиторской задолженностью клиента;</w:t>
      </w:r>
    </w:p>
    <w:p w:rsidR="00066BDE" w:rsidRPr="009171F7" w:rsidRDefault="00066BDE" w:rsidP="00803DAB">
      <w:pPr>
        <w:keepNext/>
        <w:widowControl w:val="0"/>
        <w:numPr>
          <w:ilvl w:val="0"/>
          <w:numId w:val="15"/>
        </w:numPr>
        <w:shd w:val="clear" w:color="000000" w:fill="auto"/>
        <w:tabs>
          <w:tab w:val="clear" w:pos="1429"/>
          <w:tab w:val="num" w:pos="720"/>
        </w:tabs>
        <w:suppressAutoHyphens/>
        <w:spacing w:line="360" w:lineRule="auto"/>
        <w:ind w:left="0" w:firstLine="709"/>
        <w:jc w:val="both"/>
        <w:rPr>
          <w:color w:val="000000"/>
          <w:sz w:val="28"/>
        </w:rPr>
      </w:pPr>
      <w:r w:rsidRPr="009171F7">
        <w:rPr>
          <w:color w:val="000000"/>
          <w:sz w:val="28"/>
        </w:rPr>
        <w:t>банк принимает на себя риск неплатежа дебиторов;</w:t>
      </w:r>
    </w:p>
    <w:p w:rsidR="00066BDE" w:rsidRPr="009171F7" w:rsidRDefault="00066BDE" w:rsidP="00803DAB">
      <w:pPr>
        <w:keepNext/>
        <w:widowControl w:val="0"/>
        <w:numPr>
          <w:ilvl w:val="0"/>
          <w:numId w:val="15"/>
        </w:numPr>
        <w:shd w:val="clear" w:color="000000" w:fill="auto"/>
        <w:tabs>
          <w:tab w:val="clear" w:pos="1429"/>
          <w:tab w:val="num" w:pos="720"/>
        </w:tabs>
        <w:suppressAutoHyphens/>
        <w:spacing w:line="360" w:lineRule="auto"/>
        <w:ind w:left="0" w:firstLine="709"/>
        <w:jc w:val="both"/>
        <w:rPr>
          <w:color w:val="000000"/>
          <w:sz w:val="28"/>
        </w:rPr>
      </w:pPr>
      <w:r w:rsidRPr="009171F7">
        <w:rPr>
          <w:color w:val="000000"/>
          <w:sz w:val="28"/>
        </w:rPr>
        <w:t>сразу после отгрузки предоставляется финансирование;</w:t>
      </w:r>
    </w:p>
    <w:p w:rsidR="00066BDE" w:rsidRPr="009171F7" w:rsidRDefault="00066BDE" w:rsidP="00803DAB">
      <w:pPr>
        <w:keepNext/>
        <w:widowControl w:val="0"/>
        <w:numPr>
          <w:ilvl w:val="0"/>
          <w:numId w:val="15"/>
        </w:numPr>
        <w:shd w:val="clear" w:color="000000" w:fill="auto"/>
        <w:tabs>
          <w:tab w:val="clear" w:pos="1429"/>
          <w:tab w:val="num" w:pos="720"/>
        </w:tabs>
        <w:suppressAutoHyphens/>
        <w:spacing w:line="360" w:lineRule="auto"/>
        <w:ind w:left="0" w:firstLine="709"/>
        <w:jc w:val="both"/>
        <w:rPr>
          <w:color w:val="000000"/>
          <w:sz w:val="28"/>
        </w:rPr>
      </w:pPr>
      <w:r w:rsidRPr="009171F7">
        <w:rPr>
          <w:color w:val="000000"/>
          <w:sz w:val="28"/>
        </w:rPr>
        <w:t>банк оказывает информационную поддержку;</w:t>
      </w:r>
    </w:p>
    <w:p w:rsidR="00066BDE" w:rsidRPr="009171F7" w:rsidRDefault="00066BDE" w:rsidP="00803DAB">
      <w:pPr>
        <w:keepNext/>
        <w:widowControl w:val="0"/>
        <w:numPr>
          <w:ilvl w:val="0"/>
          <w:numId w:val="15"/>
        </w:numPr>
        <w:shd w:val="clear" w:color="000000" w:fill="auto"/>
        <w:tabs>
          <w:tab w:val="clear" w:pos="1429"/>
          <w:tab w:val="num" w:pos="720"/>
        </w:tabs>
        <w:suppressAutoHyphens/>
        <w:spacing w:line="360" w:lineRule="auto"/>
        <w:ind w:left="0" w:firstLine="709"/>
        <w:jc w:val="both"/>
        <w:rPr>
          <w:color w:val="000000"/>
          <w:sz w:val="28"/>
        </w:rPr>
      </w:pPr>
      <w:r w:rsidRPr="009171F7">
        <w:rPr>
          <w:color w:val="000000"/>
          <w:sz w:val="28"/>
        </w:rPr>
        <w:t>сумма финансирования клиента не лимитирована абсолютным пределом, а зависит от величины поставок.</w:t>
      </w:r>
    </w:p>
    <w:p w:rsidR="00803DAB" w:rsidRPr="009171F7" w:rsidRDefault="00803DAB" w:rsidP="00803DAB">
      <w:pPr>
        <w:keepNext/>
        <w:widowControl w:val="0"/>
        <w:shd w:val="clear" w:color="000000" w:fill="auto"/>
        <w:suppressAutoHyphens/>
        <w:spacing w:line="360" w:lineRule="auto"/>
        <w:ind w:left="709"/>
        <w:jc w:val="both"/>
        <w:rPr>
          <w:color w:val="000000"/>
          <w:sz w:val="28"/>
        </w:rPr>
      </w:pPr>
    </w:p>
    <w:p w:rsidR="00066BDE" w:rsidRPr="009171F7" w:rsidRDefault="00066BDE" w:rsidP="00803DAB">
      <w:pPr>
        <w:pStyle w:val="2"/>
        <w:widowControl w:val="0"/>
        <w:numPr>
          <w:ilvl w:val="0"/>
          <w:numId w:val="34"/>
        </w:numPr>
        <w:shd w:val="clear" w:color="000000" w:fill="auto"/>
        <w:spacing w:before="0" w:after="0" w:line="360" w:lineRule="auto"/>
        <w:ind w:left="0" w:firstLine="0"/>
        <w:jc w:val="center"/>
        <w:rPr>
          <w:rFonts w:ascii="Times New Roman" w:hAnsi="Times New Roman" w:cs="Times New Roman"/>
          <w:i w:val="0"/>
          <w:color w:val="000000"/>
        </w:rPr>
      </w:pPr>
      <w:bookmarkStart w:id="77" w:name="_Toc241650501"/>
      <w:bookmarkStart w:id="78" w:name="_Toc241650544"/>
      <w:bookmarkStart w:id="79" w:name="_Toc241656041"/>
      <w:bookmarkStart w:id="80" w:name="_Toc241656078"/>
      <w:bookmarkStart w:id="81" w:name="_Toc241656651"/>
      <w:bookmarkStart w:id="82" w:name="_Toc241657124"/>
      <w:bookmarkStart w:id="83" w:name="_Toc241657156"/>
      <w:bookmarkStart w:id="84" w:name="_Toc241657171"/>
      <w:bookmarkStart w:id="85" w:name="_Toc241658523"/>
      <w:bookmarkStart w:id="86" w:name="_Toc241658537"/>
      <w:bookmarkStart w:id="87" w:name="_Toc264770847"/>
      <w:r w:rsidRPr="009171F7">
        <w:rPr>
          <w:rFonts w:ascii="Times New Roman" w:hAnsi="Times New Roman" w:cs="Times New Roman"/>
          <w:i w:val="0"/>
          <w:color w:val="000000"/>
        </w:rPr>
        <w:t>Виды факторинга</w:t>
      </w:r>
      <w:bookmarkEnd w:id="77"/>
      <w:bookmarkEnd w:id="78"/>
      <w:bookmarkEnd w:id="79"/>
      <w:bookmarkEnd w:id="80"/>
      <w:bookmarkEnd w:id="81"/>
      <w:bookmarkEnd w:id="82"/>
      <w:bookmarkEnd w:id="83"/>
      <w:bookmarkEnd w:id="84"/>
      <w:bookmarkEnd w:id="85"/>
      <w:bookmarkEnd w:id="86"/>
      <w:bookmarkEnd w:id="87"/>
    </w:p>
    <w:p w:rsidR="00066BDE" w:rsidRPr="009171F7" w:rsidRDefault="00066BDE" w:rsidP="00803DAB">
      <w:pPr>
        <w:keepNext/>
        <w:widowControl w:val="0"/>
        <w:shd w:val="clear" w:color="000000" w:fill="auto"/>
        <w:suppressAutoHyphens/>
        <w:spacing w:line="360" w:lineRule="auto"/>
        <w:ind w:firstLine="709"/>
        <w:jc w:val="both"/>
        <w:rPr>
          <w:color w:val="000000"/>
          <w:sz w:val="28"/>
        </w:rPr>
      </w:pPr>
    </w:p>
    <w:p w:rsidR="00066BDE" w:rsidRPr="009171F7" w:rsidRDefault="00066BDE" w:rsidP="00803DAB">
      <w:pPr>
        <w:pStyle w:val="21"/>
        <w:keepNext/>
        <w:widowControl w:val="0"/>
        <w:shd w:val="clear" w:color="000000" w:fill="auto"/>
        <w:suppressAutoHyphens/>
        <w:autoSpaceDE/>
        <w:autoSpaceDN/>
        <w:adjustRightInd/>
        <w:spacing w:line="360" w:lineRule="auto"/>
        <w:rPr>
          <w:color w:val="000000"/>
          <w:sz w:val="28"/>
        </w:rPr>
      </w:pPr>
      <w:r w:rsidRPr="009171F7">
        <w:rPr>
          <w:color w:val="000000"/>
          <w:sz w:val="28"/>
        </w:rPr>
        <w:t>Классифицировать виды факторинга в зависимости от различных признаков можно следующим образом:</w:t>
      </w:r>
    </w:p>
    <w:p w:rsidR="00066BDE" w:rsidRPr="009171F7" w:rsidRDefault="00066BDE" w:rsidP="00803DAB">
      <w:pPr>
        <w:keepNext/>
        <w:widowControl w:val="0"/>
        <w:numPr>
          <w:ilvl w:val="0"/>
          <w:numId w:val="19"/>
        </w:numPr>
        <w:shd w:val="clear" w:color="000000" w:fill="auto"/>
        <w:tabs>
          <w:tab w:val="clear" w:pos="1429"/>
          <w:tab w:val="num" w:pos="720"/>
        </w:tabs>
        <w:suppressAutoHyphens/>
        <w:spacing w:line="360" w:lineRule="auto"/>
        <w:ind w:left="0" w:firstLine="709"/>
        <w:jc w:val="both"/>
        <w:rPr>
          <w:iCs/>
          <w:color w:val="000000"/>
          <w:sz w:val="28"/>
        </w:rPr>
      </w:pPr>
      <w:r w:rsidRPr="009171F7">
        <w:rPr>
          <w:iCs/>
          <w:color w:val="000000"/>
          <w:sz w:val="28"/>
        </w:rPr>
        <w:t>По месту проведения.</w:t>
      </w:r>
    </w:p>
    <w:p w:rsidR="00066BDE" w:rsidRPr="009171F7" w:rsidRDefault="00066BDE" w:rsidP="00803DAB">
      <w:pPr>
        <w:keepNext/>
        <w:widowControl w:val="0"/>
        <w:numPr>
          <w:ilvl w:val="0"/>
          <w:numId w:val="20"/>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Внутренний: все субъекты факторинговой операции находятся в одной стране.</w:t>
      </w:r>
    </w:p>
    <w:p w:rsidR="00066BDE" w:rsidRPr="009171F7" w:rsidRDefault="00066BDE" w:rsidP="00803DAB">
      <w:pPr>
        <w:keepNext/>
        <w:widowControl w:val="0"/>
        <w:numPr>
          <w:ilvl w:val="0"/>
          <w:numId w:val="20"/>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Международный: субъекты факторинговой операции находятся в разных странах.</w:t>
      </w:r>
    </w:p>
    <w:p w:rsidR="00066BDE" w:rsidRPr="009171F7" w:rsidRDefault="00066BDE" w:rsidP="00803DAB">
      <w:pPr>
        <w:keepNext/>
        <w:widowControl w:val="0"/>
        <w:numPr>
          <w:ilvl w:val="0"/>
          <w:numId w:val="19"/>
        </w:numPr>
        <w:shd w:val="clear" w:color="000000" w:fill="auto"/>
        <w:tabs>
          <w:tab w:val="clear" w:pos="1429"/>
          <w:tab w:val="num" w:pos="720"/>
        </w:tabs>
        <w:suppressAutoHyphens/>
        <w:spacing w:line="360" w:lineRule="auto"/>
        <w:ind w:left="0" w:firstLine="709"/>
        <w:jc w:val="both"/>
        <w:rPr>
          <w:iCs/>
          <w:color w:val="000000"/>
          <w:sz w:val="28"/>
        </w:rPr>
      </w:pPr>
      <w:r w:rsidRPr="009171F7">
        <w:rPr>
          <w:iCs/>
          <w:color w:val="000000"/>
          <w:sz w:val="28"/>
        </w:rPr>
        <w:t>По роли клиента банка во внешнеторговой сделке.</w:t>
      </w:r>
    </w:p>
    <w:p w:rsidR="00066BDE" w:rsidRPr="009171F7" w:rsidRDefault="00066BDE" w:rsidP="00803DAB">
      <w:pPr>
        <w:keepNext/>
        <w:widowControl w:val="0"/>
        <w:numPr>
          <w:ilvl w:val="0"/>
          <w:numId w:val="21"/>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Импортный: банк обслуживает импортера, находящегося на территории той же страны.</w:t>
      </w:r>
    </w:p>
    <w:p w:rsidR="00066BDE" w:rsidRPr="009171F7" w:rsidRDefault="00066BDE" w:rsidP="00803DAB">
      <w:pPr>
        <w:keepNext/>
        <w:widowControl w:val="0"/>
        <w:numPr>
          <w:ilvl w:val="0"/>
          <w:numId w:val="21"/>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Экспортный: банк обслуживает экспортера, находящегося на территории той же страны.</w:t>
      </w:r>
    </w:p>
    <w:p w:rsidR="00066BDE" w:rsidRPr="009171F7" w:rsidRDefault="00066BDE" w:rsidP="00803DAB">
      <w:pPr>
        <w:keepNext/>
        <w:widowControl w:val="0"/>
        <w:numPr>
          <w:ilvl w:val="0"/>
          <w:numId w:val="19"/>
        </w:numPr>
        <w:shd w:val="clear" w:color="000000" w:fill="auto"/>
        <w:tabs>
          <w:tab w:val="clear" w:pos="1429"/>
          <w:tab w:val="num" w:pos="720"/>
        </w:tabs>
        <w:suppressAutoHyphens/>
        <w:spacing w:line="360" w:lineRule="auto"/>
        <w:ind w:left="0" w:firstLine="709"/>
        <w:jc w:val="both"/>
        <w:rPr>
          <w:iCs/>
          <w:color w:val="000000"/>
          <w:sz w:val="28"/>
        </w:rPr>
      </w:pPr>
      <w:r w:rsidRPr="009171F7">
        <w:rPr>
          <w:iCs/>
          <w:color w:val="000000"/>
          <w:sz w:val="28"/>
        </w:rPr>
        <w:t>По используемой схеме расчетов.</w:t>
      </w:r>
    </w:p>
    <w:p w:rsidR="00066BDE" w:rsidRPr="009171F7" w:rsidRDefault="00066BDE" w:rsidP="00803DAB">
      <w:pPr>
        <w:keepNext/>
        <w:widowControl w:val="0"/>
        <w:numPr>
          <w:ilvl w:val="0"/>
          <w:numId w:val="22"/>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Прямой: субъектов факторинговой операции три – производитель, факторинговая компания и покупатель, причем</w:t>
      </w:r>
      <w:r w:rsidR="00B81743" w:rsidRPr="009171F7">
        <w:rPr>
          <w:color w:val="000000"/>
          <w:sz w:val="28"/>
        </w:rPr>
        <w:t xml:space="preserve"> </w:t>
      </w:r>
      <w:r w:rsidRPr="009171F7">
        <w:rPr>
          <w:color w:val="000000"/>
          <w:sz w:val="28"/>
        </w:rPr>
        <w:t>производитель или покупатель находится в другой стране.</w:t>
      </w:r>
    </w:p>
    <w:p w:rsidR="00066BDE" w:rsidRPr="009171F7" w:rsidRDefault="00066BDE" w:rsidP="00803DAB">
      <w:pPr>
        <w:keepNext/>
        <w:widowControl w:val="0"/>
        <w:numPr>
          <w:ilvl w:val="0"/>
          <w:numId w:val="22"/>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Взаимный (двухфакторный): субъектов факторинговой операции четыре – производитель, покупатель, два банка.</w:t>
      </w:r>
    </w:p>
    <w:p w:rsidR="00066BDE" w:rsidRPr="009171F7" w:rsidRDefault="00066BDE" w:rsidP="00803DAB">
      <w:pPr>
        <w:keepNext/>
        <w:widowControl w:val="0"/>
        <w:numPr>
          <w:ilvl w:val="0"/>
          <w:numId w:val="19"/>
        </w:numPr>
        <w:shd w:val="clear" w:color="000000" w:fill="auto"/>
        <w:tabs>
          <w:tab w:val="clear" w:pos="1429"/>
          <w:tab w:val="num" w:pos="720"/>
        </w:tabs>
        <w:suppressAutoHyphens/>
        <w:spacing w:line="360" w:lineRule="auto"/>
        <w:ind w:left="0" w:firstLine="709"/>
        <w:jc w:val="both"/>
        <w:rPr>
          <w:iCs/>
          <w:color w:val="000000"/>
          <w:sz w:val="28"/>
        </w:rPr>
      </w:pPr>
      <w:r w:rsidRPr="009171F7">
        <w:rPr>
          <w:iCs/>
          <w:color w:val="000000"/>
          <w:sz w:val="28"/>
        </w:rPr>
        <w:t>По информированности дебиторов о факторинговом обслуживании.</w:t>
      </w:r>
    </w:p>
    <w:p w:rsidR="00066BDE" w:rsidRPr="009171F7" w:rsidRDefault="00066BDE" w:rsidP="00803DAB">
      <w:pPr>
        <w:keepNext/>
        <w:widowControl w:val="0"/>
        <w:numPr>
          <w:ilvl w:val="0"/>
          <w:numId w:val="23"/>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Открытый: должник уведомлен об участии в факторинговой сделке.</w:t>
      </w:r>
    </w:p>
    <w:p w:rsidR="00066BDE" w:rsidRPr="009171F7" w:rsidRDefault="00066BDE" w:rsidP="00803DAB">
      <w:pPr>
        <w:keepNext/>
        <w:widowControl w:val="0"/>
        <w:numPr>
          <w:ilvl w:val="0"/>
          <w:numId w:val="23"/>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Закрытый: должник не уведомлен об участии в факторинговой сделке.</w:t>
      </w:r>
    </w:p>
    <w:p w:rsidR="00066BDE" w:rsidRPr="009171F7" w:rsidRDefault="00066BDE" w:rsidP="00803DAB">
      <w:pPr>
        <w:keepNext/>
        <w:widowControl w:val="0"/>
        <w:numPr>
          <w:ilvl w:val="0"/>
          <w:numId w:val="19"/>
        </w:numPr>
        <w:shd w:val="clear" w:color="000000" w:fill="auto"/>
        <w:tabs>
          <w:tab w:val="clear" w:pos="1429"/>
          <w:tab w:val="num" w:pos="720"/>
        </w:tabs>
        <w:suppressAutoHyphens/>
        <w:spacing w:line="360" w:lineRule="auto"/>
        <w:ind w:left="0" w:firstLine="709"/>
        <w:jc w:val="both"/>
        <w:rPr>
          <w:iCs/>
          <w:color w:val="000000"/>
          <w:sz w:val="28"/>
        </w:rPr>
      </w:pPr>
      <w:r w:rsidRPr="009171F7">
        <w:rPr>
          <w:iCs/>
          <w:color w:val="000000"/>
          <w:sz w:val="28"/>
        </w:rPr>
        <w:t>По наличию у банка права обратного требования к клиенту.</w:t>
      </w:r>
    </w:p>
    <w:p w:rsidR="00066BDE" w:rsidRPr="009171F7" w:rsidRDefault="00066BDE" w:rsidP="00803DAB">
      <w:pPr>
        <w:keepNext/>
        <w:widowControl w:val="0"/>
        <w:numPr>
          <w:ilvl w:val="0"/>
          <w:numId w:val="24"/>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С правом регресса: банк имеет право обратного требования к поставщику возместить уплаченную сумму.</w:t>
      </w:r>
    </w:p>
    <w:p w:rsidR="00066BDE" w:rsidRPr="009171F7" w:rsidRDefault="00066BDE" w:rsidP="00803DAB">
      <w:pPr>
        <w:keepNext/>
        <w:widowControl w:val="0"/>
        <w:numPr>
          <w:ilvl w:val="0"/>
          <w:numId w:val="24"/>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Без права регресса: банк не имеет права обратного требования к поставщику возместить уплаченную сумму.</w:t>
      </w:r>
    </w:p>
    <w:p w:rsidR="00066BDE" w:rsidRPr="009171F7" w:rsidRDefault="00066BDE" w:rsidP="00803DAB">
      <w:pPr>
        <w:keepNext/>
        <w:widowControl w:val="0"/>
        <w:numPr>
          <w:ilvl w:val="0"/>
          <w:numId w:val="19"/>
        </w:numPr>
        <w:shd w:val="clear" w:color="000000" w:fill="auto"/>
        <w:tabs>
          <w:tab w:val="clear" w:pos="1429"/>
          <w:tab w:val="num" w:pos="720"/>
        </w:tabs>
        <w:suppressAutoHyphens/>
        <w:spacing w:line="360" w:lineRule="auto"/>
        <w:ind w:left="0" w:firstLine="709"/>
        <w:jc w:val="both"/>
        <w:rPr>
          <w:iCs/>
          <w:color w:val="000000"/>
          <w:sz w:val="28"/>
        </w:rPr>
      </w:pPr>
      <w:r w:rsidRPr="009171F7">
        <w:rPr>
          <w:iCs/>
          <w:color w:val="000000"/>
          <w:sz w:val="28"/>
        </w:rPr>
        <w:t>По наличию финансирования.</w:t>
      </w:r>
    </w:p>
    <w:p w:rsidR="00066BDE" w:rsidRPr="009171F7" w:rsidRDefault="00066BDE" w:rsidP="00803DAB">
      <w:pPr>
        <w:keepNext/>
        <w:widowControl w:val="0"/>
        <w:numPr>
          <w:ilvl w:val="0"/>
          <w:numId w:val="25"/>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Без финансирования: поставщик предъявляет клиенту счета через банк, который и должен получить денежные средства в пользу поставщика.</w:t>
      </w:r>
    </w:p>
    <w:p w:rsidR="00066BDE" w:rsidRPr="009171F7" w:rsidRDefault="00066BDE" w:rsidP="00803DAB">
      <w:pPr>
        <w:keepNext/>
        <w:widowControl w:val="0"/>
        <w:numPr>
          <w:ilvl w:val="0"/>
          <w:numId w:val="25"/>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С финансированием: банк покупает у поставщика счета-фактуры, немедленно выплачивая 70-90% от их номинальной стоимости, а оставшуюся часть бронирует на отдельном счете.</w:t>
      </w:r>
    </w:p>
    <w:p w:rsidR="00066BDE" w:rsidRPr="009171F7" w:rsidRDefault="00066BDE" w:rsidP="00803DAB">
      <w:pPr>
        <w:keepNext/>
        <w:widowControl w:val="0"/>
        <w:numPr>
          <w:ilvl w:val="0"/>
          <w:numId w:val="19"/>
        </w:numPr>
        <w:shd w:val="clear" w:color="000000" w:fill="auto"/>
        <w:tabs>
          <w:tab w:val="clear" w:pos="1429"/>
          <w:tab w:val="num" w:pos="720"/>
        </w:tabs>
        <w:suppressAutoHyphens/>
        <w:spacing w:line="360" w:lineRule="auto"/>
        <w:ind w:left="0" w:firstLine="709"/>
        <w:jc w:val="both"/>
        <w:rPr>
          <w:iCs/>
          <w:color w:val="000000"/>
          <w:sz w:val="28"/>
        </w:rPr>
      </w:pPr>
      <w:r w:rsidRPr="009171F7">
        <w:rPr>
          <w:iCs/>
          <w:color w:val="000000"/>
          <w:sz w:val="28"/>
        </w:rPr>
        <w:t>По способу кредитования.</w:t>
      </w:r>
    </w:p>
    <w:p w:rsidR="00066BDE" w:rsidRPr="009171F7" w:rsidRDefault="00066BDE" w:rsidP="00803DAB">
      <w:pPr>
        <w:keepNext/>
        <w:widowControl w:val="0"/>
        <w:numPr>
          <w:ilvl w:val="0"/>
          <w:numId w:val="26"/>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В форме предварительной оплаты: клиенту предварительно оплачивается фиксированный процент от суммы долговых обязательств, который заранее оговорен.</w:t>
      </w:r>
    </w:p>
    <w:p w:rsidR="00066BDE" w:rsidRPr="009171F7" w:rsidRDefault="00066BDE" w:rsidP="00803DAB">
      <w:pPr>
        <w:keepNext/>
        <w:widowControl w:val="0"/>
        <w:numPr>
          <w:ilvl w:val="0"/>
          <w:numId w:val="26"/>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Оплата к определенной дате: денежные средства перечисляются поставщику на определенную дату или по истечении определенного срока.</w:t>
      </w:r>
    </w:p>
    <w:p w:rsidR="00066BDE" w:rsidRPr="009171F7" w:rsidRDefault="00066BDE" w:rsidP="00803DAB">
      <w:pPr>
        <w:keepNext/>
        <w:widowControl w:val="0"/>
        <w:numPr>
          <w:ilvl w:val="0"/>
          <w:numId w:val="19"/>
        </w:numPr>
        <w:shd w:val="clear" w:color="000000" w:fill="auto"/>
        <w:tabs>
          <w:tab w:val="clear" w:pos="1429"/>
          <w:tab w:val="num" w:pos="720"/>
        </w:tabs>
        <w:suppressAutoHyphens/>
        <w:spacing w:line="360" w:lineRule="auto"/>
        <w:ind w:left="0" w:firstLine="709"/>
        <w:jc w:val="both"/>
        <w:rPr>
          <w:iCs/>
          <w:color w:val="000000"/>
          <w:sz w:val="28"/>
        </w:rPr>
      </w:pPr>
      <w:r w:rsidRPr="009171F7">
        <w:rPr>
          <w:iCs/>
          <w:color w:val="000000"/>
          <w:sz w:val="28"/>
        </w:rPr>
        <w:t>По объему предоставляемых услуг.</w:t>
      </w:r>
    </w:p>
    <w:p w:rsidR="00066BDE" w:rsidRPr="009171F7" w:rsidRDefault="00066BDE" w:rsidP="00803DAB">
      <w:pPr>
        <w:keepNext/>
        <w:widowControl w:val="0"/>
        <w:numPr>
          <w:ilvl w:val="0"/>
          <w:numId w:val="27"/>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Традиционный: поставщики пользуются только основными услугами банка по факторингу.</w:t>
      </w:r>
    </w:p>
    <w:p w:rsidR="00066BDE" w:rsidRPr="009171F7" w:rsidRDefault="00066BDE" w:rsidP="00803DAB">
      <w:pPr>
        <w:keepNext/>
        <w:widowControl w:val="0"/>
        <w:numPr>
          <w:ilvl w:val="0"/>
          <w:numId w:val="27"/>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Универсальный: предоставляются услуги, предполагающие полную защиту интересов клиентов, гарантированный приток средств, управление кредитом, учет реализации, кредитование в форме предварительной оплаты.</w:t>
      </w:r>
    </w:p>
    <w:p w:rsidR="00066BDE" w:rsidRPr="009171F7" w:rsidRDefault="00066BDE" w:rsidP="00803DAB">
      <w:pPr>
        <w:keepNext/>
        <w:widowControl w:val="0"/>
        <w:numPr>
          <w:ilvl w:val="0"/>
          <w:numId w:val="19"/>
        </w:numPr>
        <w:shd w:val="clear" w:color="000000" w:fill="auto"/>
        <w:tabs>
          <w:tab w:val="clear" w:pos="1429"/>
          <w:tab w:val="num" w:pos="720"/>
        </w:tabs>
        <w:suppressAutoHyphens/>
        <w:spacing w:line="360" w:lineRule="auto"/>
        <w:ind w:left="0" w:firstLine="709"/>
        <w:jc w:val="both"/>
        <w:rPr>
          <w:iCs/>
          <w:color w:val="000000"/>
          <w:sz w:val="28"/>
        </w:rPr>
      </w:pPr>
      <w:r w:rsidRPr="009171F7">
        <w:rPr>
          <w:iCs/>
          <w:color w:val="000000"/>
          <w:sz w:val="28"/>
        </w:rPr>
        <w:t>По количеству банков, участвующих в сделке.</w:t>
      </w:r>
    </w:p>
    <w:p w:rsidR="00066BDE" w:rsidRPr="009171F7" w:rsidRDefault="00066BDE" w:rsidP="00803DAB">
      <w:pPr>
        <w:keepNext/>
        <w:widowControl w:val="0"/>
        <w:numPr>
          <w:ilvl w:val="0"/>
          <w:numId w:val="28"/>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Однофакторный: в сделке принимает участие один банк.</w:t>
      </w:r>
    </w:p>
    <w:p w:rsidR="00066BDE" w:rsidRPr="009171F7" w:rsidRDefault="00066BDE" w:rsidP="00803DAB">
      <w:pPr>
        <w:keepNext/>
        <w:widowControl w:val="0"/>
        <w:numPr>
          <w:ilvl w:val="0"/>
          <w:numId w:val="28"/>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Взаимный (двухфакторный): в сделке участвует два банка, каждый из которых обслуживает своего клиента.</w:t>
      </w:r>
    </w:p>
    <w:p w:rsidR="00066BDE" w:rsidRPr="009171F7" w:rsidRDefault="00066BDE" w:rsidP="00803DAB">
      <w:pPr>
        <w:keepNext/>
        <w:widowControl w:val="0"/>
        <w:numPr>
          <w:ilvl w:val="0"/>
          <w:numId w:val="28"/>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Дробный: поставщик переуступает все свои долговые требования сразу нескольким банкам.</w:t>
      </w:r>
    </w:p>
    <w:p w:rsidR="00066BDE" w:rsidRPr="009171F7" w:rsidRDefault="00066BDE" w:rsidP="00803DAB">
      <w:pPr>
        <w:keepNext/>
        <w:widowControl w:val="0"/>
        <w:numPr>
          <w:ilvl w:val="0"/>
          <w:numId w:val="19"/>
        </w:numPr>
        <w:shd w:val="clear" w:color="000000" w:fill="auto"/>
        <w:tabs>
          <w:tab w:val="clear" w:pos="1429"/>
          <w:tab w:val="num" w:pos="720"/>
        </w:tabs>
        <w:suppressAutoHyphens/>
        <w:spacing w:line="360" w:lineRule="auto"/>
        <w:ind w:left="0" w:firstLine="709"/>
        <w:jc w:val="both"/>
        <w:rPr>
          <w:iCs/>
          <w:color w:val="000000"/>
          <w:sz w:val="28"/>
        </w:rPr>
      </w:pPr>
      <w:r w:rsidRPr="009171F7">
        <w:rPr>
          <w:iCs/>
          <w:color w:val="000000"/>
          <w:sz w:val="28"/>
        </w:rPr>
        <w:t>По характеру деятельности обслуживаемого клиента.</w:t>
      </w:r>
    </w:p>
    <w:p w:rsidR="00066BDE" w:rsidRPr="009171F7" w:rsidRDefault="00066BDE" w:rsidP="00803DAB">
      <w:pPr>
        <w:keepNext/>
        <w:widowControl w:val="0"/>
        <w:numPr>
          <w:ilvl w:val="0"/>
          <w:numId w:val="29"/>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Поставщик товаров.</w:t>
      </w:r>
    </w:p>
    <w:p w:rsidR="00066BDE" w:rsidRPr="009171F7" w:rsidRDefault="00066BDE" w:rsidP="00803DAB">
      <w:pPr>
        <w:keepNext/>
        <w:widowControl w:val="0"/>
        <w:numPr>
          <w:ilvl w:val="0"/>
          <w:numId w:val="29"/>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Поставщик услуг.</w:t>
      </w:r>
    </w:p>
    <w:p w:rsidR="00066BDE" w:rsidRPr="009171F7" w:rsidRDefault="00066BDE" w:rsidP="00803DAB">
      <w:pPr>
        <w:keepNext/>
        <w:widowControl w:val="0"/>
        <w:numPr>
          <w:ilvl w:val="0"/>
          <w:numId w:val="19"/>
        </w:numPr>
        <w:shd w:val="clear" w:color="000000" w:fill="auto"/>
        <w:tabs>
          <w:tab w:val="clear" w:pos="1429"/>
          <w:tab w:val="num" w:pos="720"/>
        </w:tabs>
        <w:suppressAutoHyphens/>
        <w:spacing w:line="360" w:lineRule="auto"/>
        <w:ind w:left="0" w:firstLine="709"/>
        <w:jc w:val="both"/>
        <w:rPr>
          <w:iCs/>
          <w:color w:val="000000"/>
          <w:sz w:val="28"/>
        </w:rPr>
      </w:pPr>
      <w:r w:rsidRPr="009171F7">
        <w:rPr>
          <w:iCs/>
          <w:color w:val="000000"/>
          <w:sz w:val="28"/>
        </w:rPr>
        <w:t>По периодичности обслуживания.</w:t>
      </w:r>
    </w:p>
    <w:p w:rsidR="00066BDE" w:rsidRPr="009171F7" w:rsidRDefault="00066BDE" w:rsidP="00803DAB">
      <w:pPr>
        <w:keepNext/>
        <w:widowControl w:val="0"/>
        <w:numPr>
          <w:ilvl w:val="0"/>
          <w:numId w:val="30"/>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Регулярный: поставщик переуступает банку долги всех своих клиентов.</w:t>
      </w:r>
    </w:p>
    <w:p w:rsidR="00066BDE" w:rsidRPr="009171F7" w:rsidRDefault="00066BDE" w:rsidP="00803DAB">
      <w:pPr>
        <w:keepNext/>
        <w:widowControl w:val="0"/>
        <w:numPr>
          <w:ilvl w:val="0"/>
          <w:numId w:val="30"/>
        </w:numPr>
        <w:shd w:val="clear" w:color="000000" w:fill="auto"/>
        <w:tabs>
          <w:tab w:val="clear" w:pos="720"/>
          <w:tab w:val="num" w:pos="900"/>
        </w:tabs>
        <w:suppressAutoHyphens/>
        <w:spacing w:line="360" w:lineRule="auto"/>
        <w:ind w:left="0" w:firstLine="709"/>
        <w:jc w:val="both"/>
        <w:rPr>
          <w:color w:val="000000"/>
          <w:sz w:val="28"/>
        </w:rPr>
      </w:pPr>
      <w:r w:rsidRPr="009171F7">
        <w:rPr>
          <w:color w:val="000000"/>
          <w:sz w:val="28"/>
        </w:rPr>
        <w:t>Разовый: поставщик обращается в факторинговую компанию только при необходимости немедленного получения средств.</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Следует отметить, что Конвенция не рассматривает внутренний и закрытый факторинг как собственно факторинг. Российское законодательство также требует, чтобы должник был уведомлен об участии в факторинговой сделке.</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p>
    <w:p w:rsidR="00066BDE" w:rsidRPr="009171F7" w:rsidRDefault="00066BDE" w:rsidP="00803DAB">
      <w:pPr>
        <w:pStyle w:val="2"/>
        <w:widowControl w:val="0"/>
        <w:numPr>
          <w:ilvl w:val="0"/>
          <w:numId w:val="35"/>
        </w:numPr>
        <w:shd w:val="clear" w:color="000000" w:fill="auto"/>
        <w:spacing w:before="0" w:after="0" w:line="360" w:lineRule="auto"/>
        <w:jc w:val="center"/>
        <w:rPr>
          <w:rFonts w:ascii="Times New Roman" w:hAnsi="Times New Roman" w:cs="Times New Roman"/>
          <w:i w:val="0"/>
          <w:color w:val="000000"/>
        </w:rPr>
      </w:pPr>
      <w:bookmarkStart w:id="88" w:name="_Toc241650502"/>
      <w:bookmarkStart w:id="89" w:name="_Toc241650545"/>
      <w:bookmarkStart w:id="90" w:name="_Toc241656042"/>
      <w:bookmarkStart w:id="91" w:name="_Toc241656079"/>
      <w:bookmarkStart w:id="92" w:name="_Toc241656652"/>
      <w:bookmarkStart w:id="93" w:name="_Toc241657125"/>
      <w:bookmarkStart w:id="94" w:name="_Toc241657157"/>
      <w:bookmarkStart w:id="95" w:name="_Toc241657172"/>
      <w:bookmarkStart w:id="96" w:name="_Toc241658524"/>
      <w:bookmarkStart w:id="97" w:name="_Toc241658538"/>
      <w:bookmarkStart w:id="98" w:name="_Toc264770848"/>
      <w:r w:rsidRPr="009171F7">
        <w:rPr>
          <w:rFonts w:ascii="Times New Roman" w:hAnsi="Times New Roman" w:cs="Times New Roman"/>
          <w:i w:val="0"/>
          <w:color w:val="000000"/>
        </w:rPr>
        <w:t>Риски при факторинг</w:t>
      </w:r>
      <w:bookmarkEnd w:id="88"/>
      <w:bookmarkEnd w:id="89"/>
      <w:r w:rsidRPr="009171F7">
        <w:rPr>
          <w:rFonts w:ascii="Times New Roman" w:hAnsi="Times New Roman" w:cs="Times New Roman"/>
          <w:i w:val="0"/>
          <w:color w:val="000000"/>
        </w:rPr>
        <w:t>овом обслуживании</w:t>
      </w:r>
      <w:bookmarkEnd w:id="90"/>
      <w:bookmarkEnd w:id="91"/>
      <w:bookmarkEnd w:id="92"/>
      <w:bookmarkEnd w:id="93"/>
      <w:bookmarkEnd w:id="94"/>
      <w:bookmarkEnd w:id="95"/>
      <w:bookmarkEnd w:id="96"/>
      <w:bookmarkEnd w:id="97"/>
      <w:bookmarkEnd w:id="98"/>
    </w:p>
    <w:p w:rsidR="00066BDE" w:rsidRPr="009171F7" w:rsidRDefault="00066BDE" w:rsidP="00803DAB">
      <w:pPr>
        <w:keepNext/>
        <w:widowControl w:val="0"/>
        <w:shd w:val="clear" w:color="000000" w:fill="auto"/>
        <w:suppressAutoHyphens/>
        <w:spacing w:line="360" w:lineRule="auto"/>
        <w:ind w:firstLine="709"/>
        <w:jc w:val="both"/>
        <w:rPr>
          <w:color w:val="000000"/>
          <w:sz w:val="28"/>
        </w:rPr>
      </w:pP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При осуществлении факторинговой операции банк становится собственником неоплаченных платежных требований, гарантируя платежи по ним клиенту. Т.о., факторинг является для банка рискованной операцией. Риски банковского факторинга можно разделить на внутренние и внешние.</w:t>
      </w:r>
    </w:p>
    <w:p w:rsidR="00B81743"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Внешние риски – это, во-первых, несовершенство законодательства, регулирующего факторинговые операции. Из-за этого возникают спорные моменты, урегулирование которых приводит к потерям банков и их клиентов. Во-вторых, это недостаточная информированность клиентов о факторинговом обслуживании, что является причиной недополучения банками прибыли и медленным развитием факторинга в стране. В-третьих, у клиентов отсутствует потребность в комплексном факторинговом обслуживании, из-за чего у банков не формируется постоянная факторинговая клиентура. В-четвертых, существуют сложности со сбором полной информации о должниках клиентов, всвязи с чем некоторым клиентам факторинговые услуги предоставить невозможно. В-пятых, форс-мажорные обстоятельства могут привести к финансовым потерям как банка, так и клиента. В-шестых, на экономические отношения с другими государствами могут быть введены ограничения, что опять же приведет к финансовым потерям. В-седьмых, существует риск инфляции, обесценивающий возвращаемые банку дебиторами денежные средства. Т.о., внешние риски</w:t>
      </w:r>
      <w:r w:rsidR="00B81743" w:rsidRPr="009171F7">
        <w:rPr>
          <w:color w:val="000000"/>
          <w:sz w:val="28"/>
        </w:rPr>
        <w:t xml:space="preserve"> </w:t>
      </w:r>
      <w:r w:rsidRPr="009171F7">
        <w:rPr>
          <w:color w:val="000000"/>
          <w:sz w:val="28"/>
        </w:rPr>
        <w:t>в основном связаны с функционированием механизма факторинга, а также с проблемами развития всей экономики в стране в целом и банковского сектора в частности.</w:t>
      </w:r>
    </w:p>
    <w:p w:rsidR="00B81743"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Внутренние риски – это, во-первых, кредитный риск, связанный с неоплатой поставки должником. Во-вторых, это процентный риск, когда процентные ставки по привлеченным средствам превышают процентные ставки по предоставленному факторинговому обслуживанию. В-третьих, это валютный риск, когда из-за изменения курса одной из иностранных валют банк несет валютные потери. В-четвертых, это юридический риск, когда из-за некорректно составленного договора факторинга банк несет убытки либо вынужден вести судебные разбирательства с клиентом. В-пятых, существует также технический риск – сбои в работе программного обеспечения, ведущие к дополнительным затратам на их устранение и уплату неустоек клиентам. В-шестых, может иметь место организационный риск, когда из-за отсутствия отработанного механизма работы с клиентами они переходят на обслуживание в другие банки.</w:t>
      </w:r>
    </w:p>
    <w:p w:rsidR="00B81743"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Для обеспечения эффективности факторинговых операций банки должны разработать меры по контролю за рисками, на основании проведенного анализа определить приемлемое для банка соотношение прибыльности и рискованности, и на основе этого принимать решение по каждой сделке.</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p>
    <w:p w:rsidR="00066BDE" w:rsidRPr="009171F7" w:rsidRDefault="00803DAB" w:rsidP="00803DAB">
      <w:pPr>
        <w:pStyle w:val="2"/>
        <w:widowControl w:val="0"/>
        <w:shd w:val="clear" w:color="000000" w:fill="auto"/>
        <w:spacing w:before="0" w:after="0" w:line="360" w:lineRule="auto"/>
        <w:ind w:firstLine="709"/>
        <w:jc w:val="center"/>
        <w:rPr>
          <w:rFonts w:ascii="Times New Roman" w:hAnsi="Times New Roman" w:cs="Times New Roman"/>
          <w:i w:val="0"/>
          <w:color w:val="000000"/>
        </w:rPr>
      </w:pPr>
      <w:bookmarkStart w:id="99" w:name="_Toc241650503"/>
      <w:bookmarkStart w:id="100" w:name="_Toc241650546"/>
      <w:bookmarkStart w:id="101" w:name="_Toc241656043"/>
      <w:bookmarkStart w:id="102" w:name="_Toc241656080"/>
      <w:bookmarkStart w:id="103" w:name="_Toc241656653"/>
      <w:bookmarkStart w:id="104" w:name="_Toc241657126"/>
      <w:bookmarkStart w:id="105" w:name="_Toc241657158"/>
      <w:bookmarkStart w:id="106" w:name="_Toc241657173"/>
      <w:bookmarkStart w:id="107" w:name="_Toc241658525"/>
      <w:bookmarkStart w:id="108" w:name="_Toc241658539"/>
      <w:bookmarkStart w:id="109" w:name="_Toc264770849"/>
      <w:r w:rsidRPr="009171F7">
        <w:rPr>
          <w:rFonts w:ascii="Times New Roman" w:hAnsi="Times New Roman" w:cs="Times New Roman"/>
          <w:i w:val="0"/>
          <w:color w:val="000000"/>
        </w:rPr>
        <w:t xml:space="preserve">5. </w:t>
      </w:r>
      <w:r w:rsidR="00066BDE" w:rsidRPr="009171F7">
        <w:rPr>
          <w:rFonts w:ascii="Times New Roman" w:hAnsi="Times New Roman" w:cs="Times New Roman"/>
          <w:i w:val="0"/>
          <w:color w:val="000000"/>
        </w:rPr>
        <w:t xml:space="preserve">Факторинговое обслуживание в </w:t>
      </w:r>
      <w:bookmarkEnd w:id="99"/>
      <w:bookmarkEnd w:id="100"/>
      <w:bookmarkEnd w:id="101"/>
      <w:bookmarkEnd w:id="102"/>
      <w:r w:rsidR="00066BDE" w:rsidRPr="009171F7">
        <w:rPr>
          <w:rFonts w:ascii="Times New Roman" w:hAnsi="Times New Roman" w:cs="Times New Roman"/>
          <w:i w:val="0"/>
          <w:color w:val="000000"/>
        </w:rPr>
        <w:t>России</w:t>
      </w:r>
      <w:bookmarkEnd w:id="103"/>
      <w:bookmarkEnd w:id="104"/>
      <w:bookmarkEnd w:id="105"/>
      <w:bookmarkEnd w:id="106"/>
      <w:bookmarkEnd w:id="107"/>
      <w:bookmarkEnd w:id="108"/>
      <w:bookmarkEnd w:id="109"/>
    </w:p>
    <w:p w:rsidR="00B81743" w:rsidRPr="009171F7" w:rsidRDefault="00B81743" w:rsidP="00803DAB">
      <w:pPr>
        <w:keepNext/>
        <w:widowControl w:val="0"/>
        <w:shd w:val="clear" w:color="000000" w:fill="auto"/>
        <w:suppressAutoHyphens/>
        <w:spacing w:line="360" w:lineRule="auto"/>
        <w:ind w:firstLine="709"/>
        <w:jc w:val="both"/>
        <w:rPr>
          <w:color w:val="000000"/>
          <w:sz w:val="28"/>
        </w:rPr>
      </w:pP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В России предпринимались неоднократные попытки дополнить и усовершенствовать нормативно-правовую базу, регулирующую факторинговые операции, но, несмотря на это, некоторые моменты требуют дальнейшей доработки. Развитие факторинга в России сталкивается с проблемами на макро- и микроуровнях, в частности:</w:t>
      </w:r>
    </w:p>
    <w:p w:rsidR="00066BDE" w:rsidRPr="009171F7" w:rsidRDefault="00066BDE" w:rsidP="00803DAB">
      <w:pPr>
        <w:keepNext/>
        <w:widowControl w:val="0"/>
        <w:numPr>
          <w:ilvl w:val="0"/>
          <w:numId w:val="18"/>
        </w:numPr>
        <w:shd w:val="clear" w:color="000000" w:fill="auto"/>
        <w:tabs>
          <w:tab w:val="clear" w:pos="1609"/>
          <w:tab w:val="num" w:pos="540"/>
        </w:tabs>
        <w:suppressAutoHyphens/>
        <w:spacing w:line="360" w:lineRule="auto"/>
        <w:ind w:left="0" w:firstLine="709"/>
        <w:jc w:val="both"/>
        <w:rPr>
          <w:color w:val="000000"/>
          <w:sz w:val="28"/>
        </w:rPr>
      </w:pPr>
      <w:r w:rsidRPr="009171F7">
        <w:rPr>
          <w:color w:val="000000"/>
          <w:sz w:val="28"/>
        </w:rPr>
        <w:t>Сложность становления банковской системы в России. По словам английского специалиста Г.Мэллоу, российские банки могут развиваться лишь настолько, насколько им позволяют экономические и политические неурядицы в стране, и традиционный банковский бизнес идет у них «тонким ручейком».</w:t>
      </w:r>
    </w:p>
    <w:p w:rsidR="00066BDE" w:rsidRPr="009171F7" w:rsidRDefault="00066BDE" w:rsidP="00803DAB">
      <w:pPr>
        <w:keepNext/>
        <w:widowControl w:val="0"/>
        <w:numPr>
          <w:ilvl w:val="0"/>
          <w:numId w:val="18"/>
        </w:numPr>
        <w:shd w:val="clear" w:color="000000" w:fill="auto"/>
        <w:tabs>
          <w:tab w:val="clear" w:pos="1609"/>
          <w:tab w:val="num" w:pos="540"/>
        </w:tabs>
        <w:suppressAutoHyphens/>
        <w:spacing w:line="360" w:lineRule="auto"/>
        <w:ind w:left="0" w:firstLine="709"/>
        <w:jc w:val="both"/>
        <w:rPr>
          <w:color w:val="000000"/>
          <w:sz w:val="28"/>
        </w:rPr>
      </w:pPr>
      <w:r w:rsidRPr="009171F7">
        <w:rPr>
          <w:color w:val="000000"/>
          <w:sz w:val="28"/>
        </w:rPr>
        <w:t>Нормативно-правовая база не вполне четко определяет сущность факторинга. Отсутствует четко отработанная структура взаимоотношений экономических субъектов в сфере факторингового обслуживания.</w:t>
      </w:r>
    </w:p>
    <w:p w:rsidR="00066BDE" w:rsidRPr="009171F7" w:rsidRDefault="00066BDE" w:rsidP="00803DAB">
      <w:pPr>
        <w:keepNext/>
        <w:widowControl w:val="0"/>
        <w:numPr>
          <w:ilvl w:val="0"/>
          <w:numId w:val="18"/>
        </w:numPr>
        <w:shd w:val="clear" w:color="000000" w:fill="auto"/>
        <w:tabs>
          <w:tab w:val="clear" w:pos="1609"/>
          <w:tab w:val="num" w:pos="540"/>
        </w:tabs>
        <w:suppressAutoHyphens/>
        <w:spacing w:line="360" w:lineRule="auto"/>
        <w:ind w:left="0" w:firstLine="709"/>
        <w:jc w:val="both"/>
        <w:rPr>
          <w:color w:val="000000"/>
          <w:sz w:val="28"/>
        </w:rPr>
      </w:pPr>
      <w:r w:rsidRPr="009171F7">
        <w:rPr>
          <w:color w:val="000000"/>
          <w:sz w:val="28"/>
        </w:rPr>
        <w:t>Для внедрения факторинга нужен длительный период подготовки обслуживания (до 2-3 лет).</w:t>
      </w:r>
    </w:p>
    <w:p w:rsidR="00B81743"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Механизм факторинга в России требует усовершенствования и доработки для повышения эффективности его функционирования. Необходимо разрабатывать связи между коммерческими банками и международными факторинговыми объединениями В настоящее время членами международных факторинговых объединений являются лишь единичные российские банки. Участие в подобных организациях является гарантией качества для клиентов, и для их привлечения количество входящих в объединения российских банков необходимо увеличивать.</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p>
    <w:p w:rsidR="00066BDE" w:rsidRPr="009171F7" w:rsidRDefault="00066BDE" w:rsidP="00803DAB">
      <w:pPr>
        <w:pStyle w:val="2"/>
        <w:widowControl w:val="0"/>
        <w:numPr>
          <w:ilvl w:val="0"/>
          <w:numId w:val="36"/>
        </w:numPr>
        <w:shd w:val="clear" w:color="000000" w:fill="auto"/>
        <w:spacing w:before="0" w:after="0" w:line="360" w:lineRule="auto"/>
        <w:ind w:left="0" w:firstLine="709"/>
        <w:jc w:val="center"/>
        <w:rPr>
          <w:rFonts w:ascii="Times New Roman" w:hAnsi="Times New Roman" w:cs="Times New Roman"/>
          <w:i w:val="0"/>
          <w:color w:val="000000"/>
        </w:rPr>
      </w:pPr>
      <w:bookmarkStart w:id="110" w:name="_Toc241650504"/>
      <w:bookmarkStart w:id="111" w:name="_Toc241650547"/>
      <w:bookmarkStart w:id="112" w:name="_Toc241656044"/>
      <w:bookmarkStart w:id="113" w:name="_Toc241656081"/>
      <w:bookmarkStart w:id="114" w:name="_Toc241656654"/>
      <w:bookmarkStart w:id="115" w:name="_Toc241657127"/>
      <w:bookmarkStart w:id="116" w:name="_Toc241657159"/>
      <w:bookmarkStart w:id="117" w:name="_Toc241657174"/>
      <w:bookmarkStart w:id="118" w:name="_Toc241658526"/>
      <w:bookmarkStart w:id="119" w:name="_Toc241658540"/>
      <w:bookmarkStart w:id="120" w:name="_Toc264770850"/>
      <w:r w:rsidRPr="009171F7">
        <w:rPr>
          <w:rFonts w:ascii="Times New Roman" w:hAnsi="Times New Roman" w:cs="Times New Roman"/>
          <w:i w:val="0"/>
          <w:color w:val="000000"/>
        </w:rPr>
        <w:t>Роль и значение факторинга</w:t>
      </w:r>
      <w:bookmarkEnd w:id="110"/>
      <w:bookmarkEnd w:id="111"/>
      <w:bookmarkEnd w:id="112"/>
      <w:bookmarkEnd w:id="113"/>
      <w:bookmarkEnd w:id="114"/>
      <w:bookmarkEnd w:id="115"/>
      <w:bookmarkEnd w:id="116"/>
      <w:bookmarkEnd w:id="117"/>
      <w:bookmarkEnd w:id="118"/>
      <w:bookmarkEnd w:id="119"/>
      <w:bookmarkEnd w:id="120"/>
    </w:p>
    <w:p w:rsidR="00066BDE" w:rsidRPr="009171F7" w:rsidRDefault="00066BDE" w:rsidP="00803DAB">
      <w:pPr>
        <w:keepNext/>
        <w:widowControl w:val="0"/>
        <w:shd w:val="clear" w:color="000000" w:fill="auto"/>
        <w:suppressAutoHyphens/>
        <w:spacing w:line="360" w:lineRule="auto"/>
        <w:ind w:firstLine="709"/>
        <w:jc w:val="both"/>
        <w:rPr>
          <w:color w:val="000000"/>
          <w:sz w:val="28"/>
        </w:rPr>
      </w:pPr>
    </w:p>
    <w:p w:rsidR="00B81743"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Использование факторинга способствует сокращению управленческих расходов и повышению эффективности деятельности любого предприятия, так как помимо финансирования, факторинговая компания осуществляет кредитный контроль по сделкам предприятия, проводит общий анализ его хозяйственный деятельности, сбытовой стратегии, конъюнктуры рынка, оказывает бухгалтерские, консультационные, юридические и другие услуги.</w:t>
      </w:r>
    </w:p>
    <w:p w:rsidR="00B81743"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Поставщик, уступающий требование, сокращает свои расходы на обслуживание дебиторской задолженности, освобождается частично или полностью от риска неплатежеспособности должника. Факторинговая схема позволяет без сокращения объема реализации на условиях товарного кредитования управлять дефицитом оборотных средств таким образом, что предприятие может полностью и своевременно рассчитываться с поставщиками и государством.</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rPr>
        <w:t>Факторинг содействует созданию четкой системы взаиморасчетов между предприятиями и сокращению объема дебиторской задолженности. Использование факторинга усиливает ответственность сторон, решает проблему пополнения оборотных средств предприятия, сокращает цепочки неплатежей, расширяет экспортные операции благодаря снижению рисков экспортеров.</w:t>
      </w: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p>
    <w:p w:rsidR="00066BDE" w:rsidRPr="009171F7" w:rsidRDefault="00803DAB" w:rsidP="00803DAB">
      <w:pPr>
        <w:pStyle w:val="1"/>
        <w:widowControl w:val="0"/>
        <w:shd w:val="clear" w:color="000000" w:fill="auto"/>
        <w:spacing w:before="0" w:after="0" w:line="360" w:lineRule="auto"/>
        <w:jc w:val="center"/>
        <w:rPr>
          <w:rFonts w:ascii="Times New Roman" w:hAnsi="Times New Roman" w:cs="Times New Roman"/>
          <w:color w:val="000000"/>
          <w:kern w:val="0"/>
          <w:sz w:val="28"/>
        </w:rPr>
      </w:pPr>
      <w:bookmarkStart w:id="121" w:name="_Toc264770852"/>
      <w:r w:rsidRPr="009171F7">
        <w:rPr>
          <w:rFonts w:ascii="Times New Roman" w:hAnsi="Times New Roman" w:cs="Times New Roman"/>
          <w:bCs w:val="0"/>
          <w:color w:val="000000"/>
          <w:kern w:val="0"/>
          <w:sz w:val="28"/>
          <w:szCs w:val="24"/>
        </w:rPr>
        <w:t>7</w:t>
      </w:r>
      <w:r w:rsidR="00B81743" w:rsidRPr="009171F7">
        <w:rPr>
          <w:rFonts w:ascii="Times New Roman" w:hAnsi="Times New Roman" w:cs="Times New Roman"/>
          <w:bCs w:val="0"/>
          <w:color w:val="000000"/>
          <w:kern w:val="0"/>
          <w:sz w:val="28"/>
          <w:szCs w:val="24"/>
        </w:rPr>
        <w:t xml:space="preserve">. </w:t>
      </w:r>
      <w:r w:rsidR="00066BDE" w:rsidRPr="009171F7">
        <w:rPr>
          <w:rFonts w:ascii="Times New Roman" w:hAnsi="Times New Roman" w:cs="Times New Roman"/>
          <w:color w:val="000000"/>
          <w:kern w:val="0"/>
          <w:sz w:val="28"/>
        </w:rPr>
        <w:t>Цели, функции и организационная структура Банка международных расчетов (БМР)</w:t>
      </w:r>
      <w:bookmarkEnd w:id="121"/>
    </w:p>
    <w:p w:rsidR="00066BDE" w:rsidRPr="009171F7" w:rsidRDefault="00066BDE" w:rsidP="00803DAB">
      <w:pPr>
        <w:keepNext/>
        <w:widowControl w:val="0"/>
        <w:shd w:val="clear" w:color="000000" w:fill="auto"/>
        <w:suppressAutoHyphens/>
        <w:spacing w:line="360" w:lineRule="auto"/>
        <w:ind w:firstLine="709"/>
        <w:jc w:val="both"/>
        <w:rPr>
          <w:color w:val="000000"/>
          <w:sz w:val="28"/>
        </w:rPr>
      </w:pPr>
    </w:p>
    <w:p w:rsidR="00066BDE" w:rsidRPr="009171F7" w:rsidRDefault="00066BDE" w:rsidP="00803DAB">
      <w:pPr>
        <w:keepNext/>
        <w:widowControl w:val="0"/>
        <w:shd w:val="clear" w:color="000000" w:fill="auto"/>
        <w:suppressAutoHyphens/>
        <w:spacing w:line="360" w:lineRule="auto"/>
        <w:ind w:firstLine="709"/>
        <w:jc w:val="both"/>
        <w:rPr>
          <w:color w:val="000000"/>
          <w:sz w:val="28"/>
        </w:rPr>
      </w:pPr>
      <w:r w:rsidRPr="009171F7">
        <w:rPr>
          <w:color w:val="000000"/>
          <w:sz w:val="28"/>
          <w:szCs w:val="20"/>
        </w:rPr>
        <w:t>Банк Международных Расчетов был создан в 1930 г. на основе межправительственного Гаагского соглашения шести государств и конвенции этих государств со Швейцарией, на территории которой функционирует Банк. Шесть государств - это Бельгия, Великобритания, Германия, Италия, Франция и Япония.</w:t>
      </w:r>
    </w:p>
    <w:p w:rsidR="00066BDE" w:rsidRPr="009171F7" w:rsidRDefault="00066BDE" w:rsidP="00803DAB">
      <w:pPr>
        <w:keepNext/>
        <w:widowControl w:val="0"/>
        <w:shd w:val="clear" w:color="000000" w:fill="auto"/>
        <w:suppressAutoHyphens/>
        <w:spacing w:line="360" w:lineRule="auto"/>
        <w:ind w:firstLine="709"/>
        <w:jc w:val="both"/>
        <w:rPr>
          <w:color w:val="000000"/>
          <w:sz w:val="28"/>
          <w:szCs w:val="20"/>
        </w:rPr>
      </w:pPr>
      <w:r w:rsidRPr="009171F7">
        <w:rPr>
          <w:color w:val="000000"/>
          <w:sz w:val="28"/>
          <w:szCs w:val="20"/>
        </w:rPr>
        <w:t>Банк Международных Расчетов не подчиняется швейцарскому банковскому законодательству. Правовой статус банка утвержден его соглашением со Швейцарским федеральным советом 10 февраля 1987 г. Фактически БМР был организован центральными банками этих стран. В 1931—1932 гг. к нему присоединились 19 центральных банков стран Европы. В настоящее время число членов Банка Международных Расчетов достигло 34. Это все страны Западной Европы, б государств Восточной Европы (которые вступили в довоенный период и остались его акционерами в силу преемственности), Япония, Австралия, ЮАР, Россия с 10 февраля 1996 г. США, и др.</w:t>
      </w:r>
    </w:p>
    <w:p w:rsidR="00066BDE" w:rsidRPr="009171F7" w:rsidRDefault="00066BDE" w:rsidP="00803DAB">
      <w:pPr>
        <w:keepNext/>
        <w:widowControl w:val="0"/>
        <w:shd w:val="clear" w:color="000000" w:fill="auto"/>
        <w:suppressAutoHyphens/>
        <w:spacing w:line="360" w:lineRule="auto"/>
        <w:ind w:firstLine="709"/>
        <w:jc w:val="both"/>
        <w:rPr>
          <w:color w:val="000000"/>
          <w:sz w:val="28"/>
          <w:szCs w:val="20"/>
        </w:rPr>
      </w:pPr>
      <w:r w:rsidRPr="009171F7">
        <w:rPr>
          <w:color w:val="000000"/>
          <w:sz w:val="28"/>
          <w:szCs w:val="20"/>
        </w:rPr>
        <w:t>Официально США не участвовали в создании Банка Международных Расчетов. Однако федеральные резервные банки поддерживают с БМР корреспондентские отношения и другие контакты. Представители ФРС и американского казначейства присутствуют на ежемесячных совещаниях управляющих центральными банками в Базеле, участвуют в общих собраниях Банка. Федеральный резервный банк Нью-Йорка, будучи корреспондентом БМР, выполняет по его поручению операции на рынке ссудных капиталов США. Помимо центральных банков шести стран, учредителями БМР и первоначальными подписчиками на его капитал</w:t>
      </w:r>
      <w:r w:rsidR="00B81743" w:rsidRPr="009171F7">
        <w:rPr>
          <w:color w:val="000000"/>
          <w:sz w:val="28"/>
          <w:szCs w:val="20"/>
        </w:rPr>
        <w:t xml:space="preserve"> </w:t>
      </w:r>
      <w:r w:rsidRPr="009171F7">
        <w:rPr>
          <w:color w:val="000000"/>
          <w:sz w:val="28"/>
          <w:szCs w:val="20"/>
        </w:rPr>
        <w:t>были частные коммерческие банки США во главе с банкирским домом Моргана. Хотя США участвуют в Банке Международных Расчетов, лидирующее положение в нем традиционно принадлежит странам Западной Европы (в отличие от МВФ и группы МБРР).</w:t>
      </w:r>
    </w:p>
    <w:p w:rsidR="00066BDE" w:rsidRPr="009171F7" w:rsidRDefault="00066BDE" w:rsidP="00803DAB">
      <w:pPr>
        <w:keepNext/>
        <w:widowControl w:val="0"/>
        <w:shd w:val="clear" w:color="000000" w:fill="auto"/>
        <w:suppressAutoHyphens/>
        <w:spacing w:line="360" w:lineRule="auto"/>
        <w:ind w:firstLine="709"/>
        <w:jc w:val="both"/>
        <w:rPr>
          <w:color w:val="000000"/>
          <w:sz w:val="28"/>
          <w:szCs w:val="20"/>
        </w:rPr>
      </w:pPr>
      <w:r w:rsidRPr="009171F7">
        <w:rPr>
          <w:color w:val="000000"/>
          <w:sz w:val="28"/>
          <w:szCs w:val="20"/>
        </w:rPr>
        <w:t>Банк Международных Расчетов можно квалифицировать как международный банк центральных банков. Центральные банки являются основателями, руководителями и клиентами Банка Международных Расчетов. Операции с коммерческими банками и частными лицами БМР может осуществлять лишь с согласия центрального банка соответствующей страны.</w:t>
      </w:r>
    </w:p>
    <w:p w:rsidR="00066BDE" w:rsidRPr="009171F7" w:rsidRDefault="00066BDE" w:rsidP="00803DAB">
      <w:pPr>
        <w:keepNext/>
        <w:widowControl w:val="0"/>
        <w:shd w:val="clear" w:color="000000" w:fill="auto"/>
        <w:suppressAutoHyphens/>
        <w:spacing w:line="360" w:lineRule="auto"/>
        <w:ind w:firstLine="709"/>
        <w:jc w:val="both"/>
        <w:rPr>
          <w:color w:val="000000"/>
          <w:sz w:val="28"/>
          <w:szCs w:val="20"/>
        </w:rPr>
      </w:pPr>
      <w:r w:rsidRPr="009171F7">
        <w:rPr>
          <w:color w:val="000000"/>
          <w:sz w:val="28"/>
          <w:szCs w:val="20"/>
        </w:rPr>
        <w:t>Банк Международных Расчетов организован как акционерное общество с капиталом в 1,5 млрд. золотых франков (оплачено 19,7%). Несмотря на межгосударственные соглашения о замене с 1978 г. этой международной счетной валютной единицы на СДР, БМР продолжает использовать в этом качестве франк с золотым содержанием 0,290 г чистого золота, введенный во Франции в 1799 г. и с 1865 г. служивший единой валютой Латинского монетного союза, в том числе Швейцарии.</w:t>
      </w:r>
    </w:p>
    <w:p w:rsidR="00066BDE" w:rsidRPr="009171F7" w:rsidRDefault="00066BDE" w:rsidP="00803DAB">
      <w:pPr>
        <w:keepNext/>
        <w:widowControl w:val="0"/>
        <w:shd w:val="clear" w:color="000000" w:fill="auto"/>
        <w:suppressAutoHyphens/>
        <w:spacing w:line="360" w:lineRule="auto"/>
        <w:ind w:firstLine="709"/>
        <w:jc w:val="both"/>
        <w:rPr>
          <w:color w:val="000000"/>
          <w:sz w:val="28"/>
          <w:szCs w:val="20"/>
        </w:rPr>
      </w:pPr>
      <w:r w:rsidRPr="009171F7">
        <w:rPr>
          <w:color w:val="000000"/>
          <w:sz w:val="28"/>
          <w:szCs w:val="20"/>
        </w:rPr>
        <w:t>Органами управления Банка Международных Расчетов являются Общее собрание акционеров, Совет директоров в составе управляющих 13 центральных банков (в том числе Германии, Бельгии, Франции, Великобритании, Италии, являвшихся основателями Банка) и Правление. Остальные члены ограничиваются получением дивидендов и статусом клиента.</w:t>
      </w:r>
    </w:p>
    <w:p w:rsidR="00066BDE" w:rsidRPr="009171F7" w:rsidRDefault="00066BDE" w:rsidP="00803DAB">
      <w:pPr>
        <w:keepNext/>
        <w:widowControl w:val="0"/>
        <w:shd w:val="clear" w:color="000000" w:fill="auto"/>
        <w:suppressAutoHyphens/>
        <w:spacing w:line="360" w:lineRule="auto"/>
        <w:ind w:firstLine="709"/>
        <w:jc w:val="both"/>
        <w:rPr>
          <w:color w:val="000000"/>
          <w:sz w:val="28"/>
          <w:szCs w:val="20"/>
        </w:rPr>
      </w:pPr>
      <w:r w:rsidRPr="009171F7">
        <w:rPr>
          <w:color w:val="000000"/>
          <w:sz w:val="28"/>
          <w:szCs w:val="20"/>
        </w:rPr>
        <w:t>Банк Международных Расчетов — банк центральных банков. В соответствии с уставом операции банка должны согласовываться с денежной политикой центральных банков соответствующих стран. Банку не разрешено открывать текущие счета и предоставлять кредиты правительствам.</w:t>
      </w:r>
    </w:p>
    <w:p w:rsidR="00066BDE" w:rsidRPr="009171F7" w:rsidRDefault="00066BDE" w:rsidP="00803DAB">
      <w:pPr>
        <w:keepNext/>
        <w:widowControl w:val="0"/>
        <w:shd w:val="clear" w:color="000000" w:fill="auto"/>
        <w:suppressAutoHyphens/>
        <w:spacing w:line="360" w:lineRule="auto"/>
        <w:ind w:firstLine="709"/>
        <w:jc w:val="both"/>
        <w:rPr>
          <w:color w:val="000000"/>
          <w:sz w:val="28"/>
          <w:szCs w:val="20"/>
        </w:rPr>
      </w:pPr>
      <w:r w:rsidRPr="009171F7">
        <w:rPr>
          <w:color w:val="000000"/>
          <w:sz w:val="28"/>
          <w:szCs w:val="20"/>
        </w:rPr>
        <w:t>На Банк Международных Расчетов по Уставу возложены две основные функции:</w:t>
      </w:r>
    </w:p>
    <w:p w:rsidR="00066BDE" w:rsidRPr="009171F7" w:rsidRDefault="00066BDE" w:rsidP="00803DAB">
      <w:pPr>
        <w:keepNext/>
        <w:widowControl w:val="0"/>
        <w:numPr>
          <w:ilvl w:val="0"/>
          <w:numId w:val="32"/>
        </w:numPr>
        <w:shd w:val="clear" w:color="000000" w:fill="auto"/>
        <w:tabs>
          <w:tab w:val="clear" w:pos="1174"/>
          <w:tab w:val="num" w:pos="720"/>
        </w:tabs>
        <w:suppressAutoHyphens/>
        <w:spacing w:line="360" w:lineRule="auto"/>
        <w:ind w:left="0" w:firstLine="709"/>
        <w:jc w:val="both"/>
        <w:rPr>
          <w:color w:val="000000"/>
          <w:sz w:val="28"/>
          <w:szCs w:val="20"/>
        </w:rPr>
      </w:pPr>
      <w:r w:rsidRPr="009171F7">
        <w:rPr>
          <w:color w:val="000000"/>
          <w:sz w:val="28"/>
          <w:szCs w:val="20"/>
        </w:rPr>
        <w:t>содействовать сотрудничеству между центральными банками, обеспечивать благоприятные условия для международных финансовых операций;</w:t>
      </w:r>
    </w:p>
    <w:p w:rsidR="00066BDE" w:rsidRPr="009171F7" w:rsidRDefault="00066BDE" w:rsidP="00803DAB">
      <w:pPr>
        <w:keepNext/>
        <w:widowControl w:val="0"/>
        <w:numPr>
          <w:ilvl w:val="0"/>
          <w:numId w:val="32"/>
        </w:numPr>
        <w:shd w:val="clear" w:color="000000" w:fill="auto"/>
        <w:tabs>
          <w:tab w:val="clear" w:pos="1174"/>
          <w:tab w:val="num" w:pos="720"/>
        </w:tabs>
        <w:suppressAutoHyphens/>
        <w:spacing w:line="360" w:lineRule="auto"/>
        <w:ind w:left="0" w:firstLine="709"/>
        <w:jc w:val="both"/>
        <w:rPr>
          <w:color w:val="000000"/>
          <w:sz w:val="28"/>
          <w:szCs w:val="20"/>
        </w:rPr>
      </w:pPr>
      <w:r w:rsidRPr="009171F7">
        <w:rPr>
          <w:color w:val="000000"/>
          <w:sz w:val="28"/>
          <w:szCs w:val="20"/>
        </w:rPr>
        <w:t>действовать в качестве банка-агента или банка-депозитария при проведении международных операций своих членов. Исходя из этих функций БМР выполняет следующие операции:</w:t>
      </w:r>
    </w:p>
    <w:p w:rsidR="00066BDE" w:rsidRPr="009171F7" w:rsidRDefault="00066BDE" w:rsidP="00803DAB">
      <w:pPr>
        <w:keepNext/>
        <w:widowControl w:val="0"/>
        <w:numPr>
          <w:ilvl w:val="1"/>
          <w:numId w:val="32"/>
        </w:numPr>
        <w:shd w:val="clear" w:color="000000" w:fill="auto"/>
        <w:tabs>
          <w:tab w:val="clear" w:pos="1894"/>
          <w:tab w:val="num" w:pos="1080"/>
        </w:tabs>
        <w:suppressAutoHyphens/>
        <w:spacing w:line="360" w:lineRule="auto"/>
        <w:ind w:left="0" w:firstLine="709"/>
        <w:jc w:val="both"/>
        <w:rPr>
          <w:color w:val="000000"/>
          <w:sz w:val="28"/>
          <w:szCs w:val="20"/>
        </w:rPr>
      </w:pPr>
      <w:r w:rsidRPr="009171F7">
        <w:rPr>
          <w:color w:val="000000"/>
          <w:sz w:val="28"/>
          <w:szCs w:val="20"/>
        </w:rPr>
        <w:t>депозитно-ссудные операции с центральными банками;</w:t>
      </w:r>
    </w:p>
    <w:p w:rsidR="00066BDE" w:rsidRPr="009171F7" w:rsidRDefault="00066BDE" w:rsidP="00803DAB">
      <w:pPr>
        <w:keepNext/>
        <w:widowControl w:val="0"/>
        <w:numPr>
          <w:ilvl w:val="1"/>
          <w:numId w:val="32"/>
        </w:numPr>
        <w:shd w:val="clear" w:color="000000" w:fill="auto"/>
        <w:tabs>
          <w:tab w:val="clear" w:pos="1894"/>
          <w:tab w:val="num" w:pos="1080"/>
        </w:tabs>
        <w:suppressAutoHyphens/>
        <w:spacing w:line="360" w:lineRule="auto"/>
        <w:ind w:left="0" w:firstLine="709"/>
        <w:jc w:val="both"/>
        <w:rPr>
          <w:color w:val="000000"/>
          <w:sz w:val="28"/>
          <w:szCs w:val="20"/>
        </w:rPr>
      </w:pPr>
      <w:r w:rsidRPr="009171F7">
        <w:rPr>
          <w:color w:val="000000"/>
          <w:sz w:val="28"/>
          <w:szCs w:val="20"/>
        </w:rPr>
        <w:t>прием правительственных вкладов по особым соглашениям;</w:t>
      </w:r>
    </w:p>
    <w:p w:rsidR="00066BDE" w:rsidRPr="009171F7" w:rsidRDefault="00066BDE" w:rsidP="00803DAB">
      <w:pPr>
        <w:keepNext/>
        <w:widowControl w:val="0"/>
        <w:numPr>
          <w:ilvl w:val="1"/>
          <w:numId w:val="32"/>
        </w:numPr>
        <w:shd w:val="clear" w:color="000000" w:fill="auto"/>
        <w:tabs>
          <w:tab w:val="clear" w:pos="1894"/>
          <w:tab w:val="num" w:pos="1080"/>
        </w:tabs>
        <w:suppressAutoHyphens/>
        <w:spacing w:line="360" w:lineRule="auto"/>
        <w:ind w:left="0" w:firstLine="709"/>
        <w:jc w:val="both"/>
        <w:rPr>
          <w:color w:val="000000"/>
          <w:sz w:val="28"/>
          <w:szCs w:val="20"/>
        </w:rPr>
      </w:pPr>
      <w:r w:rsidRPr="009171F7">
        <w:rPr>
          <w:color w:val="000000"/>
          <w:sz w:val="28"/>
          <w:szCs w:val="20"/>
        </w:rPr>
        <w:t>операции с валютой и ценными бумагами (кроме акций);</w:t>
      </w:r>
    </w:p>
    <w:p w:rsidR="00066BDE" w:rsidRPr="009171F7" w:rsidRDefault="00066BDE" w:rsidP="00803DAB">
      <w:pPr>
        <w:keepNext/>
        <w:widowControl w:val="0"/>
        <w:numPr>
          <w:ilvl w:val="1"/>
          <w:numId w:val="32"/>
        </w:numPr>
        <w:shd w:val="clear" w:color="000000" w:fill="auto"/>
        <w:tabs>
          <w:tab w:val="clear" w:pos="1894"/>
          <w:tab w:val="num" w:pos="1080"/>
        </w:tabs>
        <w:suppressAutoHyphens/>
        <w:spacing w:line="360" w:lineRule="auto"/>
        <w:ind w:left="0" w:firstLine="709"/>
        <w:jc w:val="both"/>
        <w:rPr>
          <w:color w:val="000000"/>
          <w:sz w:val="28"/>
          <w:szCs w:val="20"/>
        </w:rPr>
      </w:pPr>
      <w:r w:rsidRPr="009171F7">
        <w:rPr>
          <w:color w:val="000000"/>
          <w:sz w:val="28"/>
          <w:szCs w:val="20"/>
        </w:rPr>
        <w:t>куплю-продажу и хранение золота;</w:t>
      </w:r>
    </w:p>
    <w:p w:rsidR="00066BDE" w:rsidRPr="009171F7" w:rsidRDefault="00066BDE" w:rsidP="00803DAB">
      <w:pPr>
        <w:keepNext/>
        <w:widowControl w:val="0"/>
        <w:numPr>
          <w:ilvl w:val="1"/>
          <w:numId w:val="32"/>
        </w:numPr>
        <w:shd w:val="clear" w:color="000000" w:fill="auto"/>
        <w:tabs>
          <w:tab w:val="clear" w:pos="1894"/>
          <w:tab w:val="num" w:pos="1080"/>
        </w:tabs>
        <w:suppressAutoHyphens/>
        <w:spacing w:line="360" w:lineRule="auto"/>
        <w:ind w:left="0" w:firstLine="709"/>
        <w:jc w:val="both"/>
        <w:rPr>
          <w:color w:val="000000"/>
          <w:sz w:val="28"/>
          <w:szCs w:val="20"/>
        </w:rPr>
      </w:pPr>
      <w:r w:rsidRPr="009171F7">
        <w:rPr>
          <w:color w:val="000000"/>
          <w:sz w:val="28"/>
          <w:szCs w:val="20"/>
        </w:rPr>
        <w:t>операции на мировых рынках (валют, кредитов, ценных бумаг, золота) в качестве агента или корреспондента центральных банков;</w:t>
      </w:r>
    </w:p>
    <w:p w:rsidR="00066BDE" w:rsidRPr="009171F7" w:rsidRDefault="00066BDE" w:rsidP="00803DAB">
      <w:pPr>
        <w:keepNext/>
        <w:widowControl w:val="0"/>
        <w:numPr>
          <w:ilvl w:val="1"/>
          <w:numId w:val="32"/>
        </w:numPr>
        <w:shd w:val="clear" w:color="000000" w:fill="auto"/>
        <w:tabs>
          <w:tab w:val="clear" w:pos="1894"/>
          <w:tab w:val="num" w:pos="1080"/>
        </w:tabs>
        <w:suppressAutoHyphens/>
        <w:spacing w:line="360" w:lineRule="auto"/>
        <w:ind w:left="0" w:firstLine="709"/>
        <w:jc w:val="both"/>
        <w:rPr>
          <w:color w:val="000000"/>
          <w:sz w:val="28"/>
          <w:szCs w:val="20"/>
        </w:rPr>
      </w:pPr>
      <w:r w:rsidRPr="009171F7">
        <w:rPr>
          <w:color w:val="000000"/>
          <w:sz w:val="28"/>
          <w:szCs w:val="20"/>
        </w:rPr>
        <w:t>заключение соглашений с центральными банками в целях содействия взаимным международным расчетам.</w:t>
      </w:r>
    </w:p>
    <w:p w:rsidR="00066BDE" w:rsidRPr="009171F7" w:rsidRDefault="00066BDE" w:rsidP="00803DAB">
      <w:pPr>
        <w:pStyle w:val="32"/>
        <w:keepNext/>
        <w:widowControl w:val="0"/>
        <w:shd w:val="clear" w:color="000000" w:fill="auto"/>
        <w:suppressAutoHyphens/>
        <w:spacing w:line="360" w:lineRule="auto"/>
        <w:ind w:firstLine="709"/>
        <w:rPr>
          <w:color w:val="000000"/>
          <w:sz w:val="28"/>
        </w:rPr>
      </w:pPr>
      <w:r w:rsidRPr="009171F7">
        <w:rPr>
          <w:color w:val="000000"/>
          <w:sz w:val="28"/>
        </w:rPr>
        <w:t>Банк Международных Расчетов осуществляет и некоторые специальные функции (например, совместные валютные интервенции центральных банков с целью поддержания курсов ведущих валют), выполняет функции попечителя по межправительственным кредитам. Центральные банки возложили на БМР функцию наблюдения за состоянием и функционированием еврорынка. На основе получаемой от центральных банков информации Банк Международных Расчетов применяет собственную, наиболее корректную методику исчисления объема этого рынка, не подчиняющегося национальному законодательству. БМР осуществляет межгосударственное регулирование международных валютно-кредитных и финансовых отношений в целях их стабилизации, а также организует регулярные встречи управляющих центральными банками с целью координации мировой валютной и кредитной политики.</w:t>
      </w:r>
    </w:p>
    <w:p w:rsidR="00B81743" w:rsidRPr="009171F7" w:rsidRDefault="00066BDE" w:rsidP="00803DAB">
      <w:pPr>
        <w:keepNext/>
        <w:widowControl w:val="0"/>
        <w:shd w:val="clear" w:color="000000" w:fill="auto"/>
        <w:suppressAutoHyphens/>
        <w:spacing w:line="360" w:lineRule="auto"/>
        <w:ind w:firstLine="709"/>
        <w:jc w:val="both"/>
        <w:rPr>
          <w:color w:val="000000"/>
          <w:sz w:val="28"/>
          <w:szCs w:val="20"/>
        </w:rPr>
      </w:pPr>
      <w:r w:rsidRPr="009171F7">
        <w:rPr>
          <w:color w:val="000000"/>
          <w:sz w:val="28"/>
          <w:szCs w:val="20"/>
        </w:rPr>
        <w:t>Основной источник ресурсов Банка Международных Расчетов — краткосрочные (до трех месяцев) вклады центральных банков в иностранной валюте или золоте. Для выплаты процентов по ним БМР размещает их на рыночных условиях в других центральных банках, международных организациях или в банках-корреспондентах. Основной активной операцией Банка Международных Расчетов являются инвалютные кредиты центральным банкам.</w:t>
      </w:r>
    </w:p>
    <w:p w:rsidR="00066BDE" w:rsidRPr="009171F7" w:rsidRDefault="00066BDE" w:rsidP="00803DAB">
      <w:pPr>
        <w:keepNext/>
        <w:widowControl w:val="0"/>
        <w:shd w:val="clear" w:color="000000" w:fill="auto"/>
        <w:suppressAutoHyphens/>
        <w:spacing w:line="360" w:lineRule="auto"/>
        <w:ind w:firstLine="709"/>
        <w:jc w:val="both"/>
        <w:rPr>
          <w:color w:val="000000"/>
          <w:sz w:val="28"/>
          <w:szCs w:val="20"/>
        </w:rPr>
      </w:pPr>
      <w:r w:rsidRPr="009171F7">
        <w:rPr>
          <w:color w:val="000000"/>
          <w:sz w:val="28"/>
          <w:szCs w:val="20"/>
        </w:rPr>
        <w:t>Банк Международных Расчетов, являясь организатором сотрудничества центральных банков, выполняет ряд специфических функций - совместное проведение международных операций, взаимные консультации по валютно-финансовым вопросам, агентские функции. В 60-х годах Банк Международных Расчетов способствовал функционированию золотого пула в целях стабилизации рыночной цены золота, участвовал в коллективной поддержке фунта стерлингов, французского франка. С 70-х годов Банк Международных Расчетов проводит операции «своп» с центральными банками для регулирования курсовых колебаний валют путем валютной интервенции.</w:t>
      </w:r>
    </w:p>
    <w:p w:rsidR="00066BDE" w:rsidRPr="009171F7" w:rsidRDefault="00066BDE" w:rsidP="00803DAB">
      <w:pPr>
        <w:keepNext/>
        <w:widowControl w:val="0"/>
        <w:shd w:val="clear" w:color="000000" w:fill="auto"/>
        <w:suppressAutoHyphens/>
        <w:spacing w:line="360" w:lineRule="auto"/>
        <w:ind w:firstLine="709"/>
        <w:jc w:val="both"/>
        <w:rPr>
          <w:color w:val="000000"/>
          <w:sz w:val="28"/>
          <w:szCs w:val="20"/>
        </w:rPr>
      </w:pPr>
      <w:r w:rsidRPr="009171F7">
        <w:rPr>
          <w:color w:val="000000"/>
          <w:sz w:val="28"/>
          <w:szCs w:val="20"/>
        </w:rPr>
        <w:t>С 1982 г. Банк Международных Расчетов предоставляет промежуточный кредит под гарантию центрального банка странам, ожидающим кредит МВФ, чтобы избежать кризиса их международной валютной ликвидности. Такие кредиты получали Венгрия, Мексика, Бразилия, Аргентина, Югославия. Для поддержания политики расширенного доступа стран с дефицитным платежным балансом к кредитам МВФ Банк Международных Расчетов вместе с 17 центральными банками предоставил МВФ кредит в 2,5 млрд долл.</w:t>
      </w:r>
    </w:p>
    <w:p w:rsidR="00066BDE" w:rsidRPr="009171F7" w:rsidRDefault="00066BDE" w:rsidP="00803DAB">
      <w:pPr>
        <w:pStyle w:val="32"/>
        <w:keepNext/>
        <w:widowControl w:val="0"/>
        <w:shd w:val="clear" w:color="000000" w:fill="auto"/>
        <w:suppressAutoHyphens/>
        <w:spacing w:line="360" w:lineRule="auto"/>
        <w:ind w:firstLine="709"/>
        <w:rPr>
          <w:color w:val="000000"/>
          <w:sz w:val="28"/>
        </w:rPr>
      </w:pPr>
      <w:r w:rsidRPr="009171F7">
        <w:rPr>
          <w:color w:val="000000"/>
          <w:sz w:val="28"/>
        </w:rPr>
        <w:t>Банк Международных Расчетов — ведущий информационно-исследовательский центр. Годовые отчеты Банка — одно из авторитетных экономических изданий в мире. На базе своих исследований Банк Международных Расчетов в 1975 г. опубликовал хартию наблюдения за международными операциями банков, дополненную Базельским соглашением 1983 г. Под эгидой Банка Международных Расчетов проведена работа Комитета Кука (представитель Банка Англии), который в 1988 г. опубликовал рекомендации относительно коэффициента платежеспособности международных банков. Коэффициент Кука (минимальное соотношение между собственными средствами банка и его балансовыми и забалансовыми активами на уровне 8%) принят в 1993 г. странами «группы десяти», а также Люксембургом и Швейцарией. Иногда рекомендации, подготовленные Банком Международных Расчетов на базе консенсуса, имеют большее значение, чем межгосударственные и наднациональные решения.</w:t>
      </w:r>
    </w:p>
    <w:p w:rsidR="00066BDE" w:rsidRPr="009171F7" w:rsidRDefault="00066BDE" w:rsidP="00803DAB">
      <w:pPr>
        <w:keepNext/>
        <w:widowControl w:val="0"/>
        <w:shd w:val="clear" w:color="000000" w:fill="auto"/>
        <w:suppressAutoHyphens/>
        <w:spacing w:line="360" w:lineRule="auto"/>
        <w:ind w:firstLine="709"/>
        <w:jc w:val="both"/>
        <w:rPr>
          <w:color w:val="000000"/>
          <w:sz w:val="28"/>
          <w:szCs w:val="20"/>
        </w:rPr>
      </w:pPr>
      <w:r w:rsidRPr="009171F7">
        <w:rPr>
          <w:color w:val="000000"/>
          <w:sz w:val="28"/>
          <w:szCs w:val="20"/>
        </w:rPr>
        <w:t xml:space="preserve">Специфика </w:t>
      </w:r>
      <w:r w:rsidRPr="009171F7">
        <w:rPr>
          <w:color w:val="000000"/>
          <w:sz w:val="28"/>
        </w:rPr>
        <w:t>Банка Международных Расчетов</w:t>
      </w:r>
      <w:r w:rsidRPr="009171F7">
        <w:rPr>
          <w:color w:val="000000"/>
          <w:sz w:val="28"/>
          <w:szCs w:val="20"/>
        </w:rPr>
        <w:t xml:space="preserve"> заключается в строго конфиденциальном характере его деятельности и ежемесячных заседаний Базельского клуба (в который входят страны — члены Банка). На заседаниях обсуждаются актуальные проблемы и перспективы валютно-кредитных отношений. Это определяет место </w:t>
      </w:r>
      <w:r w:rsidRPr="009171F7">
        <w:rPr>
          <w:color w:val="000000"/>
          <w:sz w:val="28"/>
        </w:rPr>
        <w:t>Банка Международных Расчетов</w:t>
      </w:r>
      <w:r w:rsidRPr="009171F7">
        <w:rPr>
          <w:color w:val="000000"/>
          <w:sz w:val="28"/>
          <w:szCs w:val="20"/>
        </w:rPr>
        <w:t xml:space="preserve"> как органа, дополняющего МВФ и группу ВБ, с которыми он имеет тесные связи. </w:t>
      </w:r>
      <w:r w:rsidRPr="009171F7">
        <w:rPr>
          <w:color w:val="000000"/>
          <w:sz w:val="28"/>
        </w:rPr>
        <w:t>Банк Международных Расчетов</w:t>
      </w:r>
      <w:r w:rsidRPr="009171F7">
        <w:rPr>
          <w:color w:val="000000"/>
          <w:sz w:val="28"/>
          <w:szCs w:val="20"/>
        </w:rPr>
        <w:t xml:space="preserve"> имеет административный пост во Временном комитете МВФ и в «группе десяти», обеспечивает работу секретариата Комитета управляющих ЕЭС, созданного в 1964 г., Административного совета ЕФВС (1979 г.), осуществляет клиринговые расчеты в ЭКЮ (с середины 80-х годов), а с 1999 г. — в евро.</w:t>
      </w:r>
    </w:p>
    <w:p w:rsidR="00066BDE" w:rsidRPr="009171F7" w:rsidRDefault="00066BDE" w:rsidP="00803DAB">
      <w:pPr>
        <w:keepNext/>
        <w:widowControl w:val="0"/>
        <w:shd w:val="clear" w:color="000000" w:fill="auto"/>
        <w:suppressAutoHyphens/>
        <w:spacing w:line="360" w:lineRule="auto"/>
        <w:ind w:firstLine="709"/>
        <w:jc w:val="both"/>
        <w:rPr>
          <w:color w:val="000000"/>
          <w:sz w:val="28"/>
          <w:szCs w:val="20"/>
        </w:rPr>
      </w:pPr>
      <w:r w:rsidRPr="009171F7">
        <w:rPr>
          <w:color w:val="000000"/>
          <w:sz w:val="28"/>
          <w:szCs w:val="20"/>
        </w:rPr>
        <w:t xml:space="preserve">Оставаясь в основном региональным западноевропейским международным банком и валютно-финансовым центром «группы десяти», </w:t>
      </w:r>
      <w:r w:rsidRPr="009171F7">
        <w:rPr>
          <w:color w:val="000000"/>
          <w:sz w:val="28"/>
        </w:rPr>
        <w:t>Банк Международных Расчетов</w:t>
      </w:r>
      <w:r w:rsidRPr="009171F7">
        <w:rPr>
          <w:color w:val="000000"/>
          <w:sz w:val="28"/>
          <w:szCs w:val="20"/>
        </w:rPr>
        <w:t xml:space="preserve"> по составу участников и характеру деятельности фактически является международной валютно-кредитной организацией. Это обусловлено тем, что </w:t>
      </w:r>
      <w:r w:rsidRPr="009171F7">
        <w:rPr>
          <w:color w:val="000000"/>
          <w:sz w:val="28"/>
        </w:rPr>
        <w:t>Банк Международных Расчетов</w:t>
      </w:r>
      <w:r w:rsidRPr="009171F7">
        <w:rPr>
          <w:color w:val="000000"/>
          <w:sz w:val="28"/>
          <w:szCs w:val="20"/>
        </w:rPr>
        <w:t xml:space="preserve"> является международным банком центральных банков, агентом и распорядителем в различных международных валютно-расчетных и финансовых операциях, центром экономических исследований и форумом международного валютно-кредитного сотрудничества.</w:t>
      </w:r>
    </w:p>
    <w:p w:rsidR="00066BDE" w:rsidRPr="009171F7" w:rsidRDefault="00066BDE" w:rsidP="00803DAB">
      <w:pPr>
        <w:keepNext/>
        <w:widowControl w:val="0"/>
        <w:shd w:val="clear" w:color="000000" w:fill="auto"/>
        <w:suppressAutoHyphens/>
        <w:spacing w:line="360" w:lineRule="auto"/>
        <w:ind w:firstLine="709"/>
        <w:jc w:val="both"/>
        <w:rPr>
          <w:color w:val="000000"/>
          <w:sz w:val="28"/>
          <w:szCs w:val="20"/>
        </w:rPr>
      </w:pPr>
      <w:r w:rsidRPr="009171F7">
        <w:rPr>
          <w:color w:val="000000"/>
          <w:sz w:val="28"/>
        </w:rPr>
        <w:t>Банк Международных Расчетов</w:t>
      </w:r>
      <w:r w:rsidRPr="009171F7">
        <w:rPr>
          <w:color w:val="000000"/>
          <w:sz w:val="28"/>
          <w:szCs w:val="20"/>
        </w:rPr>
        <w:t xml:space="preserve"> играл важную роль в организации и осуществлении платежных соглашений западноевропейских стран (1947—1958 гг.), в выработке коллективных мер по преодолению спекулятивных атак на мировом валютном рынке (1960—1971 гг.), координации мер и обмену информацией о валютных рынках и валютной интервенции, по интервенции на рынках золота в рамках золотого пула (1961—1966 гг.), в обсуждении проблем еврорынка, в совершенствовании банковского надзора. Созданный </w:t>
      </w:r>
      <w:r w:rsidRPr="009171F7">
        <w:rPr>
          <w:color w:val="000000"/>
          <w:sz w:val="28"/>
        </w:rPr>
        <w:t>Банком Международных Расчетов</w:t>
      </w:r>
      <w:r w:rsidRPr="009171F7">
        <w:rPr>
          <w:color w:val="000000"/>
          <w:sz w:val="28"/>
          <w:szCs w:val="20"/>
        </w:rPr>
        <w:t xml:space="preserve"> Базельский комитет по банковскому надзору (декабрь 1974 г.) организует обсуждение этой проблемы, координирует меры по надзору за деятельностью банков в мире. БМР опубликовал Банковский конкордат (1983 г.) по этому вопросу, обеспечил подготовку Базельского соглашения (1988 г.) о минимальных международных стандартах и оценке достаточности капитала, которые ведущие банки обязаны соблюдать с 1998 г. Летом 1990 г. была создана специальная служба </w:t>
      </w:r>
      <w:r w:rsidRPr="009171F7">
        <w:rPr>
          <w:color w:val="000000"/>
          <w:sz w:val="28"/>
        </w:rPr>
        <w:t>Банка Международных Расчетов</w:t>
      </w:r>
      <w:r w:rsidRPr="009171F7">
        <w:rPr>
          <w:color w:val="000000"/>
          <w:sz w:val="28"/>
          <w:szCs w:val="20"/>
        </w:rPr>
        <w:t xml:space="preserve"> по оказанию технической помощи центральным банкам и обучению банкиров стран Восточной Европы, бывшего СССР и ряда стран Азии, вступившим на путь перехода и рыночной экономики. Особое внимание </w:t>
      </w:r>
      <w:r w:rsidRPr="009171F7">
        <w:rPr>
          <w:color w:val="000000"/>
          <w:sz w:val="28"/>
        </w:rPr>
        <w:t>Банк Международных Расчетов</w:t>
      </w:r>
      <w:r w:rsidRPr="009171F7">
        <w:rPr>
          <w:color w:val="000000"/>
          <w:sz w:val="28"/>
          <w:szCs w:val="20"/>
        </w:rPr>
        <w:t xml:space="preserve"> уделяет сотрудничеству центральных банков стран ЕС.</w:t>
      </w:r>
    </w:p>
    <w:p w:rsidR="00066BDE" w:rsidRPr="009171F7" w:rsidRDefault="00066BDE" w:rsidP="00803DAB">
      <w:pPr>
        <w:keepNext/>
        <w:widowControl w:val="0"/>
        <w:shd w:val="clear" w:color="000000" w:fill="auto"/>
        <w:suppressAutoHyphens/>
        <w:spacing w:line="360" w:lineRule="auto"/>
        <w:ind w:firstLine="709"/>
        <w:jc w:val="both"/>
        <w:rPr>
          <w:color w:val="000000"/>
          <w:sz w:val="28"/>
          <w:szCs w:val="20"/>
        </w:rPr>
      </w:pPr>
      <w:r w:rsidRPr="009171F7">
        <w:rPr>
          <w:color w:val="000000"/>
          <w:sz w:val="28"/>
        </w:rPr>
        <w:t>Банк Международных Расчетов</w:t>
      </w:r>
      <w:r w:rsidRPr="009171F7">
        <w:rPr>
          <w:color w:val="000000"/>
          <w:sz w:val="28"/>
          <w:szCs w:val="20"/>
        </w:rPr>
        <w:t xml:space="preserve"> является агентом ЕОУС, ОЭСР, ЕФВС (1979—1993 гг.), Европейского валютного института (1994—1998 гг.), с июня 1998 г. — Европейского центрального банка, а также агентом международных валютных клирингов (ЕПС, по операциям в ЭКЮ до 1998 г., а с 1999 г. — в евро).</w:t>
      </w:r>
    </w:p>
    <w:p w:rsidR="00B81743" w:rsidRPr="009171F7" w:rsidRDefault="00B81743" w:rsidP="00803DAB">
      <w:pPr>
        <w:pStyle w:val="2"/>
        <w:widowControl w:val="0"/>
        <w:shd w:val="clear" w:color="000000" w:fill="auto"/>
        <w:spacing w:before="0" w:after="0" w:line="360" w:lineRule="auto"/>
        <w:jc w:val="center"/>
        <w:rPr>
          <w:rFonts w:ascii="Times New Roman" w:hAnsi="Times New Roman" w:cs="Times New Roman"/>
          <w:i w:val="0"/>
          <w:color w:val="000000"/>
        </w:rPr>
      </w:pPr>
      <w:bookmarkStart w:id="122" w:name="_Toc241650505"/>
      <w:bookmarkStart w:id="123" w:name="_Toc241650548"/>
      <w:bookmarkStart w:id="124" w:name="_Toc241656045"/>
      <w:bookmarkStart w:id="125" w:name="_Toc241656082"/>
      <w:bookmarkStart w:id="126" w:name="_Toc241656655"/>
      <w:bookmarkStart w:id="127" w:name="_Toc241657128"/>
      <w:bookmarkStart w:id="128" w:name="_Toc241657160"/>
      <w:bookmarkStart w:id="129" w:name="_Toc241657175"/>
      <w:bookmarkStart w:id="130" w:name="_Toc241658528"/>
      <w:bookmarkStart w:id="131" w:name="_Toc241658542"/>
      <w:bookmarkStart w:id="132" w:name="_Toc264770853"/>
      <w:r w:rsidRPr="009171F7">
        <w:rPr>
          <w:rFonts w:ascii="Times New Roman" w:hAnsi="Times New Roman" w:cs="Times New Roman"/>
          <w:b w:val="0"/>
          <w:bCs w:val="0"/>
          <w:color w:val="000000"/>
          <w:szCs w:val="24"/>
        </w:rPr>
        <w:br w:type="page"/>
      </w:r>
      <w:bookmarkStart w:id="133" w:name="_Toc241658527"/>
      <w:bookmarkStart w:id="134" w:name="_Toc241658541"/>
      <w:bookmarkStart w:id="135" w:name="_Toc264770851"/>
      <w:r w:rsidRPr="009171F7">
        <w:rPr>
          <w:rFonts w:ascii="Times New Roman" w:hAnsi="Times New Roman" w:cs="Times New Roman"/>
          <w:i w:val="0"/>
          <w:color w:val="000000"/>
        </w:rPr>
        <w:t>Заключение</w:t>
      </w:r>
      <w:bookmarkEnd w:id="133"/>
      <w:bookmarkEnd w:id="134"/>
      <w:bookmarkEnd w:id="135"/>
    </w:p>
    <w:p w:rsidR="00B81743" w:rsidRPr="009171F7" w:rsidRDefault="00B81743" w:rsidP="00803DAB">
      <w:pPr>
        <w:keepNext/>
        <w:widowControl w:val="0"/>
        <w:shd w:val="clear" w:color="000000" w:fill="auto"/>
        <w:spacing w:line="360" w:lineRule="auto"/>
        <w:jc w:val="center"/>
        <w:rPr>
          <w:b/>
          <w:color w:val="000000"/>
          <w:sz w:val="28"/>
        </w:rPr>
      </w:pPr>
    </w:p>
    <w:p w:rsidR="00B81743" w:rsidRPr="009171F7" w:rsidRDefault="00B81743"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Привлекая клиентов посредством коммерческого кредитования, предприятие-поставщик иммобилизует оборотные средства в дебиторскую задолженность, обслуживание которой приводит к косвенным потерям и сопряжено с некоторыми рисками. Одним из наиболее эффективных способов решения данной проблемы является факторинг – комплекс финансовых услуг коммерческого банка или другой кредитной организации, включающий кредитование предприятия-поставщика под уступку права взыскания его дебиторской задолженности, а также оказание услуг, направленных на сокращение косвенных потерь, возникающих в результате коммерческого кредитования покупателей.</w:t>
      </w:r>
    </w:p>
    <w:p w:rsidR="00B81743" w:rsidRPr="009171F7" w:rsidRDefault="00B81743" w:rsidP="00803DAB">
      <w:pPr>
        <w:keepNext/>
        <w:widowControl w:val="0"/>
        <w:shd w:val="clear" w:color="000000" w:fill="auto"/>
        <w:suppressAutoHyphens/>
        <w:spacing w:line="360" w:lineRule="auto"/>
        <w:ind w:firstLine="709"/>
        <w:jc w:val="both"/>
        <w:rPr>
          <w:color w:val="000000"/>
          <w:sz w:val="28"/>
        </w:rPr>
      </w:pPr>
      <w:r w:rsidRPr="009171F7">
        <w:rPr>
          <w:color w:val="000000"/>
          <w:sz w:val="28"/>
        </w:rPr>
        <w:t>Целью факторинга является улучшение финансового состояния как поставщика, у которого ускоряется оборачиваемость оборотных средств, так и банка, который с помощью факторинга универсализирует свою деятельность.</w:t>
      </w:r>
    </w:p>
    <w:p w:rsidR="00B81743" w:rsidRPr="009171F7" w:rsidRDefault="00B81743" w:rsidP="00803DAB">
      <w:pPr>
        <w:keepNext/>
        <w:widowControl w:val="0"/>
        <w:shd w:val="clear" w:color="000000" w:fill="auto"/>
        <w:suppressAutoHyphens/>
        <w:spacing w:line="360" w:lineRule="auto"/>
        <w:ind w:firstLine="709"/>
        <w:jc w:val="both"/>
        <w:rPr>
          <w:color w:val="000000"/>
          <w:sz w:val="28"/>
        </w:rPr>
      </w:pPr>
      <w:r w:rsidRPr="009171F7">
        <w:rPr>
          <w:color w:val="000000"/>
          <w:sz w:val="28"/>
        </w:rPr>
        <w:t>За рубежом факторинг получил широкое распространение, чему способствует и создание международных факторинговых объединений. В России инфраструктура факторингового рынка еще не сформировалась, что объясняется рядом трудностей на макро- и микроуровнях. Для распространения факторинга в России необходима разработка комплекса мер, обеспечивающих создание отлаженного механизма, соответствующего экономически интересам коммерческих банков, их клиентов и дебиторов.</w:t>
      </w:r>
    </w:p>
    <w:p w:rsidR="00B81743" w:rsidRPr="009171F7" w:rsidRDefault="00B81743" w:rsidP="00803DAB">
      <w:pPr>
        <w:keepNext/>
        <w:widowControl w:val="0"/>
        <w:shd w:val="clear" w:color="000000" w:fill="auto"/>
        <w:suppressAutoHyphens/>
        <w:spacing w:line="360" w:lineRule="auto"/>
        <w:ind w:firstLine="709"/>
        <w:jc w:val="both"/>
        <w:rPr>
          <w:color w:val="000000"/>
          <w:sz w:val="28"/>
        </w:rPr>
      </w:pPr>
      <w:r w:rsidRPr="009171F7">
        <w:rPr>
          <w:color w:val="000000"/>
          <w:sz w:val="28"/>
        </w:rPr>
        <w:t>Факторинг выполняет эмиссионную, стимулирующую и контрольную функции, усиливает ответственность сторон, решает проблему пополнения оборотных средств предприятия, сокращает цепочки неплатежей и расширяет экспортные операции благодаря снижению рисков экспортеров.</w:t>
      </w:r>
    </w:p>
    <w:p w:rsidR="00066BDE" w:rsidRPr="009171F7" w:rsidRDefault="00B81743" w:rsidP="00803DAB">
      <w:pPr>
        <w:pStyle w:val="1"/>
        <w:widowControl w:val="0"/>
        <w:shd w:val="clear" w:color="000000" w:fill="auto"/>
        <w:spacing w:before="0" w:after="0" w:line="360" w:lineRule="auto"/>
        <w:jc w:val="center"/>
        <w:rPr>
          <w:rFonts w:ascii="Times New Roman" w:hAnsi="Times New Roman" w:cs="Times New Roman"/>
          <w:color w:val="000000"/>
          <w:kern w:val="0"/>
          <w:sz w:val="28"/>
        </w:rPr>
      </w:pPr>
      <w:r w:rsidRPr="009171F7">
        <w:rPr>
          <w:rFonts w:ascii="Times New Roman" w:hAnsi="Times New Roman" w:cs="Times New Roman"/>
          <w:b w:val="0"/>
          <w:bCs w:val="0"/>
          <w:color w:val="000000"/>
          <w:kern w:val="0"/>
          <w:sz w:val="28"/>
          <w:szCs w:val="24"/>
        </w:rPr>
        <w:br w:type="page"/>
      </w:r>
      <w:r w:rsidR="00066BDE" w:rsidRPr="009171F7">
        <w:rPr>
          <w:rFonts w:ascii="Times New Roman" w:hAnsi="Times New Roman" w:cs="Times New Roman"/>
          <w:color w:val="000000"/>
          <w:kern w:val="0"/>
          <w:sz w:val="28"/>
        </w:rPr>
        <w:t>Список литературы</w:t>
      </w:r>
      <w:bookmarkEnd w:id="122"/>
      <w:bookmarkEnd w:id="123"/>
      <w:bookmarkEnd w:id="124"/>
      <w:bookmarkEnd w:id="125"/>
      <w:bookmarkEnd w:id="126"/>
      <w:bookmarkEnd w:id="127"/>
      <w:bookmarkEnd w:id="128"/>
      <w:bookmarkEnd w:id="129"/>
      <w:bookmarkEnd w:id="130"/>
      <w:bookmarkEnd w:id="131"/>
      <w:bookmarkEnd w:id="132"/>
    </w:p>
    <w:p w:rsidR="00066BDE" w:rsidRPr="009171F7" w:rsidRDefault="00066BDE" w:rsidP="00803DAB">
      <w:pPr>
        <w:keepNext/>
        <w:widowControl w:val="0"/>
        <w:shd w:val="clear" w:color="000000" w:fill="auto"/>
        <w:suppressAutoHyphens/>
        <w:spacing w:line="360" w:lineRule="auto"/>
        <w:ind w:firstLine="709"/>
        <w:jc w:val="both"/>
        <w:rPr>
          <w:color w:val="000000"/>
          <w:sz w:val="28"/>
        </w:rPr>
      </w:pPr>
    </w:p>
    <w:p w:rsidR="00066BDE" w:rsidRPr="009171F7" w:rsidRDefault="00066BDE" w:rsidP="00803DAB">
      <w:pPr>
        <w:pStyle w:val="a6"/>
        <w:keepNext/>
        <w:widowControl w:val="0"/>
        <w:numPr>
          <w:ilvl w:val="0"/>
          <w:numId w:val="33"/>
        </w:numPr>
        <w:shd w:val="clear" w:color="000000" w:fill="auto"/>
        <w:tabs>
          <w:tab w:val="left" w:pos="284"/>
        </w:tabs>
        <w:suppressAutoHyphens/>
        <w:spacing w:line="360" w:lineRule="auto"/>
        <w:ind w:left="0" w:firstLine="0"/>
        <w:rPr>
          <w:color w:val="000000"/>
          <w:sz w:val="28"/>
        </w:rPr>
      </w:pPr>
      <w:r w:rsidRPr="009171F7">
        <w:rPr>
          <w:color w:val="000000"/>
          <w:sz w:val="28"/>
        </w:rPr>
        <w:t>«Гражданский Кодекс Российской Федерации (часть вторая)» от 26.01.1996 N 14-ФЗ (принят ГД ФС РФ 22.12.1995) (ред. от 25.12.2008).</w:t>
      </w:r>
    </w:p>
    <w:p w:rsidR="00B81743" w:rsidRPr="009171F7" w:rsidRDefault="00066BDE" w:rsidP="00803DAB">
      <w:pPr>
        <w:keepNext/>
        <w:widowControl w:val="0"/>
        <w:numPr>
          <w:ilvl w:val="0"/>
          <w:numId w:val="33"/>
        </w:numPr>
        <w:shd w:val="clear" w:color="000000" w:fill="auto"/>
        <w:tabs>
          <w:tab w:val="left" w:pos="284"/>
        </w:tabs>
        <w:suppressAutoHyphens/>
        <w:spacing w:line="360" w:lineRule="auto"/>
        <w:ind w:left="0" w:firstLine="0"/>
        <w:jc w:val="both"/>
        <w:rPr>
          <w:color w:val="000000"/>
          <w:sz w:val="28"/>
          <w:szCs w:val="20"/>
        </w:rPr>
      </w:pPr>
      <w:r w:rsidRPr="009171F7">
        <w:rPr>
          <w:color w:val="000000"/>
          <w:sz w:val="28"/>
          <w:szCs w:val="20"/>
        </w:rPr>
        <w:t>Международные валютно-кредитные и финансовые отношения. / под ред. Красавиной Л.Н. - М.: «Финансы и статистика», 2000 г.</w:t>
      </w:r>
    </w:p>
    <w:p w:rsidR="00066BDE" w:rsidRPr="009171F7" w:rsidRDefault="00066BDE" w:rsidP="00803DAB">
      <w:pPr>
        <w:keepNext/>
        <w:widowControl w:val="0"/>
        <w:numPr>
          <w:ilvl w:val="0"/>
          <w:numId w:val="33"/>
        </w:numPr>
        <w:shd w:val="clear" w:color="000000" w:fill="auto"/>
        <w:tabs>
          <w:tab w:val="left" w:pos="284"/>
        </w:tabs>
        <w:suppressAutoHyphens/>
        <w:autoSpaceDE w:val="0"/>
        <w:autoSpaceDN w:val="0"/>
        <w:adjustRightInd w:val="0"/>
        <w:spacing w:line="360" w:lineRule="auto"/>
        <w:ind w:left="0" w:firstLine="0"/>
        <w:jc w:val="both"/>
        <w:rPr>
          <w:color w:val="000000"/>
          <w:sz w:val="28"/>
        </w:rPr>
      </w:pPr>
      <w:r w:rsidRPr="009171F7">
        <w:rPr>
          <w:color w:val="000000"/>
          <w:sz w:val="28"/>
        </w:rPr>
        <w:t>«Конвенция ЮНИДРУА о международном факторинге» [рус., англ.] (Заключена в г. Оттаве 28.05.1988).</w:t>
      </w:r>
    </w:p>
    <w:p w:rsidR="00066BDE" w:rsidRPr="009171F7" w:rsidRDefault="00066BDE" w:rsidP="00803DAB">
      <w:pPr>
        <w:keepNext/>
        <w:widowControl w:val="0"/>
        <w:numPr>
          <w:ilvl w:val="0"/>
          <w:numId w:val="33"/>
        </w:numPr>
        <w:shd w:val="clear" w:color="000000" w:fill="auto"/>
        <w:tabs>
          <w:tab w:val="left" w:pos="284"/>
        </w:tabs>
        <w:suppressAutoHyphens/>
        <w:autoSpaceDE w:val="0"/>
        <w:autoSpaceDN w:val="0"/>
        <w:adjustRightInd w:val="0"/>
        <w:spacing w:line="360" w:lineRule="auto"/>
        <w:ind w:left="0" w:firstLine="0"/>
        <w:jc w:val="both"/>
        <w:rPr>
          <w:color w:val="000000"/>
          <w:sz w:val="28"/>
        </w:rPr>
      </w:pPr>
      <w:r w:rsidRPr="009171F7">
        <w:rPr>
          <w:color w:val="000000"/>
          <w:sz w:val="28"/>
        </w:rPr>
        <w:t>Савельева М.М. Международные финансы: учеб. пособие. – СПб.: СПбГИЭУ, 2008 г.</w:t>
      </w:r>
    </w:p>
    <w:p w:rsidR="00066BDE" w:rsidRPr="009171F7" w:rsidRDefault="00066BDE" w:rsidP="00803DAB">
      <w:pPr>
        <w:keepNext/>
        <w:widowControl w:val="0"/>
        <w:numPr>
          <w:ilvl w:val="0"/>
          <w:numId w:val="33"/>
        </w:numPr>
        <w:shd w:val="clear" w:color="000000" w:fill="auto"/>
        <w:tabs>
          <w:tab w:val="left" w:pos="284"/>
        </w:tabs>
        <w:suppressAutoHyphens/>
        <w:autoSpaceDE w:val="0"/>
        <w:autoSpaceDN w:val="0"/>
        <w:adjustRightInd w:val="0"/>
        <w:spacing w:line="360" w:lineRule="auto"/>
        <w:ind w:left="0" w:firstLine="0"/>
        <w:jc w:val="both"/>
        <w:rPr>
          <w:color w:val="000000"/>
          <w:sz w:val="28"/>
        </w:rPr>
      </w:pPr>
      <w:r w:rsidRPr="009171F7">
        <w:rPr>
          <w:color w:val="000000"/>
          <w:sz w:val="28"/>
        </w:rPr>
        <w:t>Соколова Ю.А. Факторинг: Учеб. пособие / Под ред. Гондарчук О.В. – СПб.: СПбГИЭУ, 2005 г.</w:t>
      </w:r>
      <w:bookmarkStart w:id="136" w:name="_GoBack"/>
      <w:bookmarkEnd w:id="136"/>
    </w:p>
    <w:sectPr w:rsidR="00066BDE" w:rsidRPr="009171F7" w:rsidSect="00B81743">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1F7" w:rsidRDefault="009171F7">
      <w:r>
        <w:separator/>
      </w:r>
    </w:p>
  </w:endnote>
  <w:endnote w:type="continuationSeparator" w:id="0">
    <w:p w:rsidR="009171F7" w:rsidRDefault="0091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1F7" w:rsidRDefault="009171F7">
      <w:r>
        <w:separator/>
      </w:r>
    </w:p>
  </w:footnote>
  <w:footnote w:type="continuationSeparator" w:id="0">
    <w:p w:rsidR="009171F7" w:rsidRDefault="009171F7">
      <w:r>
        <w:continuationSeparator/>
      </w:r>
    </w:p>
  </w:footnote>
  <w:footnote w:id="1">
    <w:p w:rsidR="009171F7" w:rsidRDefault="00066BDE">
      <w:pPr>
        <w:pStyle w:val="a3"/>
      </w:pPr>
      <w:r>
        <w:rPr>
          <w:rStyle w:val="a5"/>
        </w:rPr>
        <w:footnoteRef/>
      </w:r>
      <w:r>
        <w:t xml:space="preserve"> «Конвенция ЮНИДРУА о международном факторинге», гл. 1, ст. 1, п. 2.</w:t>
      </w:r>
    </w:p>
  </w:footnote>
  <w:footnote w:id="2">
    <w:p w:rsidR="009171F7" w:rsidRDefault="00066BDE">
      <w:pPr>
        <w:pStyle w:val="a3"/>
      </w:pPr>
      <w:r>
        <w:rPr>
          <w:rStyle w:val="a5"/>
        </w:rPr>
        <w:footnoteRef/>
      </w:r>
      <w:r>
        <w:t xml:space="preserve"> ГК РФ (ч. 2) от 26.01.1996 N 14-ФЗ (принят ГД ФС РФ 22.12.1995) (ред. от 25.12.2008), гл. 43, ст. 824, п. 1.</w:t>
      </w:r>
    </w:p>
  </w:footnote>
  <w:footnote w:id="3">
    <w:p w:rsidR="009171F7" w:rsidRDefault="00066BDE">
      <w:pPr>
        <w:autoSpaceDE w:val="0"/>
        <w:autoSpaceDN w:val="0"/>
        <w:adjustRightInd w:val="0"/>
        <w:jc w:val="both"/>
      </w:pPr>
      <w:r>
        <w:rPr>
          <w:rStyle w:val="a5"/>
          <w:sz w:val="20"/>
        </w:rPr>
        <w:footnoteRef/>
      </w:r>
      <w:r>
        <w:rPr>
          <w:sz w:val="20"/>
        </w:rPr>
        <w:t xml:space="preserve"> Соколова Ю.А. Факторинг: Учеб. пособие / Под ред. Гондарчук О.В. – СПб.: СПбГИЭУ, 2005 г., стр. 43.</w:t>
      </w:r>
    </w:p>
  </w:footnote>
  <w:footnote w:id="4">
    <w:p w:rsidR="009171F7" w:rsidRDefault="00066BDE">
      <w:pPr>
        <w:pStyle w:val="a3"/>
      </w:pPr>
      <w:r>
        <w:rPr>
          <w:rStyle w:val="a5"/>
        </w:rPr>
        <w:footnoteRef/>
      </w:r>
      <w:r>
        <w:t xml:space="preserve"> ГК РФ (ч. 2) от 26.01.1996 N 14-ФЗ (принят ГД ФС РФ 22.12.1995) (ред. от 25.12.2008), гл. 43, ст. 826, п. 1.</w:t>
      </w:r>
    </w:p>
  </w:footnote>
  <w:footnote w:id="5">
    <w:p w:rsidR="009171F7" w:rsidRDefault="00066BDE">
      <w:pPr>
        <w:pStyle w:val="a3"/>
      </w:pPr>
      <w:r>
        <w:rPr>
          <w:rStyle w:val="a5"/>
        </w:rPr>
        <w:footnoteRef/>
      </w:r>
      <w:r>
        <w:t xml:space="preserve"> ГК РФ (ч. 2) от 26.01.1996 N 14-ФЗ (принят ГД ФС РФ 22.12.1995) (ред. от 25.12.2008), гл. 43, ст. 826, п. 2.</w:t>
      </w:r>
    </w:p>
  </w:footnote>
  <w:footnote w:id="6">
    <w:p w:rsidR="009171F7" w:rsidRDefault="00066BDE">
      <w:pPr>
        <w:pStyle w:val="a3"/>
      </w:pPr>
      <w:r>
        <w:rPr>
          <w:rStyle w:val="a5"/>
        </w:rPr>
        <w:footnoteRef/>
      </w:r>
      <w:r>
        <w:t xml:space="preserve"> ГК РФ (ч. 2) от 26.01.1996 N 14-ФЗ (принят ГД ФС РФ 22.12.1995) (ред. от 25.12.2008), гл. 43, ст. 827.</w:t>
      </w:r>
    </w:p>
  </w:footnote>
  <w:footnote w:id="7">
    <w:p w:rsidR="009171F7" w:rsidRDefault="00066BDE">
      <w:pPr>
        <w:pStyle w:val="a3"/>
      </w:pPr>
      <w:r>
        <w:rPr>
          <w:rStyle w:val="a5"/>
        </w:rPr>
        <w:footnoteRef/>
      </w:r>
      <w:r>
        <w:t xml:space="preserve"> ГК РФ (ч. 2) от 26.01.1996 N 14-ФЗ (принят ГД ФС РФ 22.12.1995) (ред. от 25.12.2008), гл. 43, ст. 828, п. 1.</w:t>
      </w:r>
    </w:p>
  </w:footnote>
  <w:footnote w:id="8">
    <w:p w:rsidR="009171F7" w:rsidRDefault="00066BDE">
      <w:pPr>
        <w:pStyle w:val="a3"/>
      </w:pPr>
      <w:r>
        <w:rPr>
          <w:rStyle w:val="a5"/>
        </w:rPr>
        <w:footnoteRef/>
      </w:r>
      <w:r>
        <w:t xml:space="preserve"> ГК РФ (ч. 2) от 26.01.1996 N 14-ФЗ (принят ГД ФС РФ 22.12.1995) (ред. от 25.12.2008), гл. 43, ст. 825.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3A21"/>
    <w:multiLevelType w:val="hybridMultilevel"/>
    <w:tmpl w:val="A1B06D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7B3C36"/>
    <w:multiLevelType w:val="hybridMultilevel"/>
    <w:tmpl w:val="E56273AC"/>
    <w:lvl w:ilvl="0" w:tplc="0419000B">
      <w:start w:val="1"/>
      <w:numFmt w:val="bullet"/>
      <w:lvlText w:val=""/>
      <w:lvlJc w:val="left"/>
      <w:pPr>
        <w:tabs>
          <w:tab w:val="num" w:pos="1429"/>
        </w:tabs>
        <w:ind w:left="1429" w:hanging="360"/>
      </w:pPr>
      <w:rPr>
        <w:rFonts w:ascii="Wingdings" w:hAnsi="Wingdings" w:hint="default"/>
      </w:rPr>
    </w:lvl>
    <w:lvl w:ilvl="1" w:tplc="28164DD0">
      <w:start w:val="1"/>
      <w:numFmt w:val="upperRoman"/>
      <w:lvlText w:val="%2."/>
      <w:lvlJc w:val="left"/>
      <w:pPr>
        <w:tabs>
          <w:tab w:val="num" w:pos="2509"/>
        </w:tabs>
        <w:ind w:left="2509" w:hanging="72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AB15F2E"/>
    <w:multiLevelType w:val="hybridMultilevel"/>
    <w:tmpl w:val="5B9C00B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AD5501A"/>
    <w:multiLevelType w:val="hybridMultilevel"/>
    <w:tmpl w:val="97C018AA"/>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E1663DF"/>
    <w:multiLevelType w:val="hybridMultilevel"/>
    <w:tmpl w:val="037AB01E"/>
    <w:lvl w:ilvl="0" w:tplc="EDF09C4A">
      <w:start w:val="1"/>
      <w:numFmt w:val="bullet"/>
      <w:lvlText w:val=""/>
      <w:lvlJc w:val="left"/>
      <w:pPr>
        <w:tabs>
          <w:tab w:val="num" w:pos="1609"/>
        </w:tabs>
        <w:ind w:left="1609" w:hanging="360"/>
      </w:pPr>
      <w:rPr>
        <w:rFonts w:ascii="Wingdings" w:hAnsi="Wingdings" w:hint="default"/>
        <w:sz w:val="18"/>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1EBF44A9"/>
    <w:multiLevelType w:val="hybridMultilevel"/>
    <w:tmpl w:val="A91AC0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03F4EBF"/>
    <w:multiLevelType w:val="hybridMultilevel"/>
    <w:tmpl w:val="9560F542"/>
    <w:lvl w:ilvl="0" w:tplc="C05E6E80">
      <w:start w:val="1"/>
      <w:numFmt w:val="bullet"/>
      <w:lvlText w:val=""/>
      <w:lvlJc w:val="left"/>
      <w:pPr>
        <w:tabs>
          <w:tab w:val="num" w:pos="1609"/>
        </w:tabs>
        <w:ind w:left="1609" w:hanging="360"/>
      </w:pPr>
      <w:rPr>
        <w:rFonts w:ascii="Wingdings" w:hAnsi="Wingdings" w:hint="default"/>
        <w:sz w:val="16"/>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22EA2DD6"/>
    <w:multiLevelType w:val="hybridMultilevel"/>
    <w:tmpl w:val="47DAF21A"/>
    <w:lvl w:ilvl="0" w:tplc="3B1027EE">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621684E"/>
    <w:multiLevelType w:val="hybridMultilevel"/>
    <w:tmpl w:val="9B404D42"/>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2CA74BEE"/>
    <w:multiLevelType w:val="hybridMultilevel"/>
    <w:tmpl w:val="443AD53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F4072D4"/>
    <w:multiLevelType w:val="hybridMultilevel"/>
    <w:tmpl w:val="1768395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F767216"/>
    <w:multiLevelType w:val="hybridMultilevel"/>
    <w:tmpl w:val="037AB01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32D30F35"/>
    <w:multiLevelType w:val="hybridMultilevel"/>
    <w:tmpl w:val="5170AC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33960F9"/>
    <w:multiLevelType w:val="hybridMultilevel"/>
    <w:tmpl w:val="EE5CD6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6B50EBE"/>
    <w:multiLevelType w:val="hybridMultilevel"/>
    <w:tmpl w:val="6832D212"/>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6C567D7"/>
    <w:multiLevelType w:val="hybridMultilevel"/>
    <w:tmpl w:val="CD50EE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96E6F08"/>
    <w:multiLevelType w:val="hybridMultilevel"/>
    <w:tmpl w:val="C8141A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E087D80"/>
    <w:multiLevelType w:val="hybridMultilevel"/>
    <w:tmpl w:val="D60C3C1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22B259F"/>
    <w:multiLevelType w:val="hybridMultilevel"/>
    <w:tmpl w:val="70C0E7AC"/>
    <w:lvl w:ilvl="0" w:tplc="C05E6E80">
      <w:start w:val="1"/>
      <w:numFmt w:val="bullet"/>
      <w:lvlText w:val=""/>
      <w:lvlJc w:val="left"/>
      <w:pPr>
        <w:tabs>
          <w:tab w:val="num" w:pos="1429"/>
        </w:tabs>
        <w:ind w:left="1429" w:hanging="360"/>
      </w:pPr>
      <w:rPr>
        <w:rFonts w:ascii="Wingdings" w:hAnsi="Wingdings" w:hint="default"/>
        <w:sz w:val="16"/>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2853A13"/>
    <w:multiLevelType w:val="hybridMultilevel"/>
    <w:tmpl w:val="70C0E7AC"/>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443B5AEE"/>
    <w:multiLevelType w:val="hybridMultilevel"/>
    <w:tmpl w:val="32DEF1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5951C2F"/>
    <w:multiLevelType w:val="hybridMultilevel"/>
    <w:tmpl w:val="B6CEA8B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897011A"/>
    <w:multiLevelType w:val="hybridMultilevel"/>
    <w:tmpl w:val="EA72D0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8AB1597"/>
    <w:multiLevelType w:val="hybridMultilevel"/>
    <w:tmpl w:val="DEFE41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9CC5DEC"/>
    <w:multiLevelType w:val="hybridMultilevel"/>
    <w:tmpl w:val="D60C3C1E"/>
    <w:lvl w:ilvl="0" w:tplc="C05E6E80">
      <w:start w:val="1"/>
      <w:numFmt w:val="bullet"/>
      <w:lvlText w:val=""/>
      <w:lvlJc w:val="left"/>
      <w:pPr>
        <w:tabs>
          <w:tab w:val="num" w:pos="1429"/>
        </w:tabs>
        <w:ind w:left="1429"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F4E1C61"/>
    <w:multiLevelType w:val="hybridMultilevel"/>
    <w:tmpl w:val="EFC26968"/>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5ACB6922"/>
    <w:multiLevelType w:val="hybridMultilevel"/>
    <w:tmpl w:val="0E7E4410"/>
    <w:lvl w:ilvl="0" w:tplc="04190013">
      <w:start w:val="1"/>
      <w:numFmt w:val="upperRoman"/>
      <w:lvlText w:val="%1."/>
      <w:lvlJc w:val="right"/>
      <w:pPr>
        <w:tabs>
          <w:tab w:val="num" w:pos="1429"/>
        </w:tabs>
        <w:ind w:left="1429" w:hanging="180"/>
      </w:pPr>
      <w:rPr>
        <w:rFonts w:cs="Times New Roman"/>
      </w:rPr>
    </w:lvl>
    <w:lvl w:ilvl="1" w:tplc="0419000F">
      <w:start w:val="1"/>
      <w:numFmt w:val="decimal"/>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5CBB2C9E"/>
    <w:multiLevelType w:val="hybridMultilevel"/>
    <w:tmpl w:val="E9AE4A6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01A0EF5"/>
    <w:multiLevelType w:val="hybridMultilevel"/>
    <w:tmpl w:val="0AEC69B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0D92F74"/>
    <w:multiLevelType w:val="hybridMultilevel"/>
    <w:tmpl w:val="51F4732A"/>
    <w:lvl w:ilvl="0" w:tplc="04190011">
      <w:start w:val="1"/>
      <w:numFmt w:val="decimal"/>
      <w:lvlText w:val="%1)"/>
      <w:lvlJc w:val="left"/>
      <w:pPr>
        <w:tabs>
          <w:tab w:val="num" w:pos="1174"/>
        </w:tabs>
        <w:ind w:left="1174" w:hanging="360"/>
      </w:pPr>
      <w:rPr>
        <w:rFonts w:cs="Times New Roman"/>
      </w:rPr>
    </w:lvl>
    <w:lvl w:ilvl="1" w:tplc="0419000B">
      <w:start w:val="1"/>
      <w:numFmt w:val="bullet"/>
      <w:lvlText w:val=""/>
      <w:lvlJc w:val="left"/>
      <w:pPr>
        <w:tabs>
          <w:tab w:val="num" w:pos="1894"/>
        </w:tabs>
        <w:ind w:left="1894" w:hanging="360"/>
      </w:pPr>
      <w:rPr>
        <w:rFonts w:ascii="Wingdings" w:hAnsi="Wingdings" w:hint="default"/>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30">
    <w:nsid w:val="641C4D7C"/>
    <w:multiLevelType w:val="hybridMultilevel"/>
    <w:tmpl w:val="BF66310A"/>
    <w:lvl w:ilvl="0" w:tplc="04190017">
      <w:start w:val="1"/>
      <w:numFmt w:val="lowerLetter"/>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1">
    <w:nsid w:val="6FD64547"/>
    <w:multiLevelType w:val="hybridMultilevel"/>
    <w:tmpl w:val="048E0B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4D13CDA"/>
    <w:multiLevelType w:val="hybridMultilevel"/>
    <w:tmpl w:val="922E55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AC1123F"/>
    <w:multiLevelType w:val="hybridMultilevel"/>
    <w:tmpl w:val="E8967F8A"/>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AD74C31"/>
    <w:multiLevelType w:val="hybridMultilevel"/>
    <w:tmpl w:val="E5487E4C"/>
    <w:lvl w:ilvl="0" w:tplc="123AC2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F966398"/>
    <w:multiLevelType w:val="hybridMultilevel"/>
    <w:tmpl w:val="037AB01E"/>
    <w:lvl w:ilvl="0" w:tplc="C05E6E80">
      <w:start w:val="1"/>
      <w:numFmt w:val="bullet"/>
      <w:lvlText w:val=""/>
      <w:lvlJc w:val="left"/>
      <w:pPr>
        <w:tabs>
          <w:tab w:val="num" w:pos="1609"/>
        </w:tabs>
        <w:ind w:left="1609" w:hanging="360"/>
      </w:pPr>
      <w:rPr>
        <w:rFonts w:ascii="Wingdings" w:hAnsi="Wingdings" w:hint="default"/>
        <w:sz w:val="16"/>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30"/>
  </w:num>
  <w:num w:numId="2">
    <w:abstractNumId w:val="8"/>
  </w:num>
  <w:num w:numId="3">
    <w:abstractNumId w:val="19"/>
  </w:num>
  <w:num w:numId="4">
    <w:abstractNumId w:val="14"/>
  </w:num>
  <w:num w:numId="5">
    <w:abstractNumId w:val="18"/>
  </w:num>
  <w:num w:numId="6">
    <w:abstractNumId w:val="35"/>
  </w:num>
  <w:num w:numId="7">
    <w:abstractNumId w:val="4"/>
  </w:num>
  <w:num w:numId="8">
    <w:abstractNumId w:val="1"/>
  </w:num>
  <w:num w:numId="9">
    <w:abstractNumId w:val="11"/>
  </w:num>
  <w:num w:numId="10">
    <w:abstractNumId w:val="2"/>
  </w:num>
  <w:num w:numId="11">
    <w:abstractNumId w:val="10"/>
  </w:num>
  <w:num w:numId="12">
    <w:abstractNumId w:val="9"/>
  </w:num>
  <w:num w:numId="13">
    <w:abstractNumId w:val="17"/>
  </w:num>
  <w:num w:numId="14">
    <w:abstractNumId w:val="24"/>
  </w:num>
  <w:num w:numId="15">
    <w:abstractNumId w:val="25"/>
  </w:num>
  <w:num w:numId="16">
    <w:abstractNumId w:val="28"/>
  </w:num>
  <w:num w:numId="17">
    <w:abstractNumId w:val="27"/>
  </w:num>
  <w:num w:numId="18">
    <w:abstractNumId w:val="6"/>
  </w:num>
  <w:num w:numId="19">
    <w:abstractNumId w:val="26"/>
  </w:num>
  <w:num w:numId="20">
    <w:abstractNumId w:val="23"/>
  </w:num>
  <w:num w:numId="21">
    <w:abstractNumId w:val="5"/>
  </w:num>
  <w:num w:numId="22">
    <w:abstractNumId w:val="20"/>
  </w:num>
  <w:num w:numId="23">
    <w:abstractNumId w:val="15"/>
  </w:num>
  <w:num w:numId="24">
    <w:abstractNumId w:val="13"/>
  </w:num>
  <w:num w:numId="25">
    <w:abstractNumId w:val="16"/>
  </w:num>
  <w:num w:numId="26">
    <w:abstractNumId w:val="22"/>
  </w:num>
  <w:num w:numId="27">
    <w:abstractNumId w:val="32"/>
  </w:num>
  <w:num w:numId="28">
    <w:abstractNumId w:val="0"/>
  </w:num>
  <w:num w:numId="29">
    <w:abstractNumId w:val="12"/>
  </w:num>
  <w:num w:numId="30">
    <w:abstractNumId w:val="31"/>
  </w:num>
  <w:num w:numId="31">
    <w:abstractNumId w:val="3"/>
  </w:num>
  <w:num w:numId="32">
    <w:abstractNumId w:val="29"/>
  </w:num>
  <w:num w:numId="33">
    <w:abstractNumId w:val="21"/>
  </w:num>
  <w:num w:numId="34">
    <w:abstractNumId w:val="34"/>
  </w:num>
  <w:num w:numId="35">
    <w:abstractNumId w:val="7"/>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743"/>
    <w:rsid w:val="00066BDE"/>
    <w:rsid w:val="0007533A"/>
    <w:rsid w:val="00093027"/>
    <w:rsid w:val="00163FB3"/>
    <w:rsid w:val="006F086F"/>
    <w:rsid w:val="00803DAB"/>
    <w:rsid w:val="009171F7"/>
    <w:rsid w:val="00B81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A2AEBA-EA3C-4CD8-AA5C-69B9A7CB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before="40"/>
      <w:ind w:left="180"/>
      <w:jc w:val="both"/>
      <w:outlineLvl w:val="3"/>
    </w:pPr>
    <w:rPr>
      <w:b/>
      <w:bCs/>
      <w:sz w:val="28"/>
      <w:szCs w:val="28"/>
    </w:rPr>
  </w:style>
  <w:style w:type="paragraph" w:styleId="5">
    <w:name w:val="heading 5"/>
    <w:basedOn w:val="a"/>
    <w:next w:val="a"/>
    <w:link w:val="50"/>
    <w:uiPriority w:val="9"/>
    <w:qFormat/>
    <w:pPr>
      <w:keepNext/>
      <w:spacing w:before="120"/>
      <w:ind w:left="180"/>
      <w:jc w:val="both"/>
      <w:outlineLvl w:val="4"/>
    </w:pPr>
    <w:rPr>
      <w:sz w:val="28"/>
      <w:szCs w:val="28"/>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spacing w:before="240" w:after="60"/>
      <w:outlineLvl w:val="6"/>
    </w:pPr>
  </w:style>
  <w:style w:type="paragraph" w:styleId="8">
    <w:name w:val="heading 8"/>
    <w:basedOn w:val="a"/>
    <w:next w:val="a"/>
    <w:link w:val="80"/>
    <w:uiPriority w:val="9"/>
    <w:qFormat/>
    <w:pPr>
      <w:spacing w:before="240" w:after="60"/>
      <w:outlineLvl w:val="7"/>
    </w:pPr>
    <w:rPr>
      <w:i/>
      <w:iCs/>
    </w:rPr>
  </w:style>
  <w:style w:type="paragraph" w:styleId="9">
    <w:name w:val="heading 9"/>
    <w:basedOn w:val="a"/>
    <w:next w:val="a"/>
    <w:link w:val="90"/>
    <w:uiPriority w:val="9"/>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footnote text"/>
    <w:basedOn w:val="a"/>
    <w:link w:val="a4"/>
    <w:uiPriority w:val="99"/>
    <w:semiHidden/>
    <w:rPr>
      <w:sz w:val="20"/>
      <w:szCs w:val="20"/>
    </w:rPr>
  </w:style>
  <w:style w:type="character" w:customStyle="1" w:styleId="a4">
    <w:name w:val="Текст виноски Знак"/>
    <w:link w:val="a3"/>
    <w:uiPriority w:val="99"/>
    <w:semiHidden/>
    <w:locked/>
    <w:rPr>
      <w:rFonts w:cs="Times New Roman"/>
    </w:rPr>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semiHidden/>
    <w:pPr>
      <w:autoSpaceDE w:val="0"/>
      <w:autoSpaceDN w:val="0"/>
      <w:adjustRightInd w:val="0"/>
      <w:ind w:left="540"/>
      <w:jc w:val="both"/>
    </w:pPr>
    <w:rPr>
      <w:szCs w:val="20"/>
    </w:rPr>
  </w:style>
  <w:style w:type="character" w:customStyle="1" w:styleId="a7">
    <w:name w:val="Основний текст з відступом Знак"/>
    <w:link w:val="a6"/>
    <w:uiPriority w:val="99"/>
    <w:semiHidden/>
    <w:locked/>
    <w:rPr>
      <w:rFonts w:cs="Times New Roman"/>
      <w:sz w:val="24"/>
      <w:szCs w:val="24"/>
    </w:rPr>
  </w:style>
  <w:style w:type="paragraph" w:styleId="21">
    <w:name w:val="Body Text Indent 2"/>
    <w:basedOn w:val="a"/>
    <w:link w:val="22"/>
    <w:uiPriority w:val="99"/>
    <w:semiHidden/>
    <w:pPr>
      <w:autoSpaceDE w:val="0"/>
      <w:autoSpaceDN w:val="0"/>
      <w:adjustRightInd w:val="0"/>
      <w:ind w:firstLine="709"/>
      <w:jc w:val="both"/>
    </w:pPr>
  </w:style>
  <w:style w:type="character" w:customStyle="1" w:styleId="22">
    <w:name w:val="Основний текст з відступом 2 Знак"/>
    <w:link w:val="21"/>
    <w:uiPriority w:val="99"/>
    <w:semiHidden/>
    <w:locked/>
    <w:rPr>
      <w:rFonts w:cs="Times New Roman"/>
      <w:sz w:val="24"/>
      <w:szCs w:val="24"/>
    </w:rPr>
  </w:style>
  <w:style w:type="paragraph" w:styleId="11">
    <w:name w:val="toc 1"/>
    <w:basedOn w:val="a"/>
    <w:next w:val="a"/>
    <w:autoRedefine/>
    <w:uiPriority w:val="39"/>
    <w:pPr>
      <w:spacing w:before="120" w:after="120"/>
    </w:pPr>
    <w:rPr>
      <w:b/>
      <w:bCs/>
      <w:caps/>
    </w:rPr>
  </w:style>
  <w:style w:type="paragraph" w:styleId="23">
    <w:name w:val="toc 2"/>
    <w:basedOn w:val="a"/>
    <w:next w:val="a"/>
    <w:autoRedefine/>
    <w:uiPriority w:val="39"/>
    <w:pPr>
      <w:ind w:left="240"/>
    </w:pPr>
    <w:rPr>
      <w:smallCaps/>
    </w:rPr>
  </w:style>
  <w:style w:type="paragraph" w:styleId="31">
    <w:name w:val="toc 3"/>
    <w:basedOn w:val="a"/>
    <w:next w:val="a"/>
    <w:autoRedefine/>
    <w:uiPriority w:val="39"/>
    <w:pPr>
      <w:ind w:left="480"/>
    </w:pPr>
    <w:rPr>
      <w:i/>
      <w:iCs/>
    </w:rPr>
  </w:style>
  <w:style w:type="paragraph" w:styleId="41">
    <w:name w:val="toc 4"/>
    <w:basedOn w:val="a"/>
    <w:next w:val="a"/>
    <w:autoRedefine/>
    <w:uiPriority w:val="39"/>
    <w:semiHidden/>
    <w:pPr>
      <w:ind w:left="720"/>
    </w:pPr>
    <w:rPr>
      <w:szCs w:val="21"/>
    </w:rPr>
  </w:style>
  <w:style w:type="paragraph" w:styleId="51">
    <w:name w:val="toc 5"/>
    <w:basedOn w:val="a"/>
    <w:next w:val="a"/>
    <w:autoRedefine/>
    <w:uiPriority w:val="39"/>
    <w:semiHidden/>
    <w:pPr>
      <w:ind w:left="960"/>
    </w:pPr>
    <w:rPr>
      <w:szCs w:val="21"/>
    </w:rPr>
  </w:style>
  <w:style w:type="paragraph" w:styleId="61">
    <w:name w:val="toc 6"/>
    <w:basedOn w:val="a"/>
    <w:next w:val="a"/>
    <w:autoRedefine/>
    <w:uiPriority w:val="39"/>
    <w:semiHidden/>
    <w:pPr>
      <w:ind w:left="1200"/>
    </w:pPr>
    <w:rPr>
      <w:szCs w:val="21"/>
    </w:rPr>
  </w:style>
  <w:style w:type="paragraph" w:styleId="71">
    <w:name w:val="toc 7"/>
    <w:basedOn w:val="a"/>
    <w:next w:val="a"/>
    <w:autoRedefine/>
    <w:uiPriority w:val="39"/>
    <w:semiHidden/>
    <w:pPr>
      <w:ind w:left="1440"/>
    </w:pPr>
    <w:rPr>
      <w:szCs w:val="21"/>
    </w:rPr>
  </w:style>
  <w:style w:type="paragraph" w:styleId="81">
    <w:name w:val="toc 8"/>
    <w:basedOn w:val="a"/>
    <w:next w:val="a"/>
    <w:autoRedefine/>
    <w:uiPriority w:val="39"/>
    <w:semiHidden/>
    <w:pPr>
      <w:ind w:left="1680"/>
    </w:pPr>
    <w:rPr>
      <w:szCs w:val="21"/>
    </w:rPr>
  </w:style>
  <w:style w:type="paragraph" w:styleId="91">
    <w:name w:val="toc 9"/>
    <w:basedOn w:val="a"/>
    <w:next w:val="a"/>
    <w:autoRedefine/>
    <w:uiPriority w:val="39"/>
    <w:semiHidden/>
    <w:pPr>
      <w:ind w:left="1920"/>
    </w:pPr>
    <w:rPr>
      <w:szCs w:val="21"/>
    </w:rPr>
  </w:style>
  <w:style w:type="character" w:styleId="a8">
    <w:name w:val="Hyperlink"/>
    <w:uiPriority w:val="99"/>
    <w:rPr>
      <w:rFonts w:cs="Times New Roman"/>
      <w:color w:val="0000FF"/>
      <w:u w:val="single"/>
    </w:rPr>
  </w:style>
  <w:style w:type="paragraph" w:styleId="a9">
    <w:name w:val="header"/>
    <w:basedOn w:val="a"/>
    <w:link w:val="aa"/>
    <w:uiPriority w:val="99"/>
    <w:semiHidden/>
    <w:pPr>
      <w:tabs>
        <w:tab w:val="center" w:pos="4677"/>
        <w:tab w:val="right" w:pos="9355"/>
      </w:tabs>
    </w:pPr>
  </w:style>
  <w:style w:type="character" w:customStyle="1" w:styleId="aa">
    <w:name w:val="Верхній колонтитул Знак"/>
    <w:link w:val="a9"/>
    <w:uiPriority w:val="99"/>
    <w:semiHidden/>
    <w:locked/>
    <w:rPr>
      <w:rFonts w:cs="Times New Roman"/>
      <w:sz w:val="24"/>
      <w:szCs w:val="24"/>
    </w:rPr>
  </w:style>
  <w:style w:type="paragraph" w:styleId="ab">
    <w:name w:val="footer"/>
    <w:basedOn w:val="a"/>
    <w:link w:val="ac"/>
    <w:uiPriority w:val="99"/>
    <w:semiHidden/>
    <w:pPr>
      <w:tabs>
        <w:tab w:val="center" w:pos="4677"/>
        <w:tab w:val="right" w:pos="9355"/>
      </w:tabs>
    </w:pPr>
  </w:style>
  <w:style w:type="character" w:customStyle="1" w:styleId="ac">
    <w:name w:val="Нижній колонтитул Знак"/>
    <w:link w:val="ab"/>
    <w:uiPriority w:val="99"/>
    <w:semiHidden/>
    <w:locked/>
    <w:rPr>
      <w:rFonts w:cs="Times New Roman"/>
      <w:sz w:val="24"/>
      <w:szCs w:val="24"/>
    </w:rPr>
  </w:style>
  <w:style w:type="character" w:styleId="ad">
    <w:name w:val="page number"/>
    <w:uiPriority w:val="99"/>
    <w:semiHidden/>
    <w:rPr>
      <w:rFonts w:cs="Times New Roman"/>
    </w:rPr>
  </w:style>
  <w:style w:type="paragraph" w:styleId="32">
    <w:name w:val="Body Text Indent 3"/>
    <w:basedOn w:val="a"/>
    <w:link w:val="33"/>
    <w:uiPriority w:val="99"/>
    <w:semiHidden/>
    <w:pPr>
      <w:ind w:firstLine="454"/>
      <w:jc w:val="both"/>
    </w:pPr>
    <w:rPr>
      <w:szCs w:val="20"/>
    </w:rPr>
  </w:style>
  <w:style w:type="character" w:customStyle="1" w:styleId="33">
    <w:name w:val="Основний текст з відступом 3 Знак"/>
    <w:link w:val="32"/>
    <w:uiPriority w:val="99"/>
    <w:semiHidden/>
    <w:locked/>
    <w:rPr>
      <w:rFonts w:cs="Times New Roman"/>
      <w:sz w:val="16"/>
      <w:szCs w:val="16"/>
    </w:rPr>
  </w:style>
  <w:style w:type="paragraph" w:styleId="ae">
    <w:name w:val="Title"/>
    <w:basedOn w:val="a"/>
    <w:link w:val="af"/>
    <w:uiPriority w:val="10"/>
    <w:qFormat/>
    <w:pPr>
      <w:jc w:val="center"/>
    </w:pPr>
    <w:rPr>
      <w:szCs w:val="20"/>
    </w:rPr>
  </w:style>
  <w:style w:type="character" w:customStyle="1" w:styleId="af">
    <w:name w:val="Назва Знак"/>
    <w:link w:val="ae"/>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6876D-1B1D-48D0-84B1-3D4F110F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5416</Words>
  <Characters>30874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Sveta</Company>
  <LinksUpToDate>false</LinksUpToDate>
  <CharactersWithSpaces>36218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Sveta</dc:creator>
  <cp:keywords/>
  <dc:description/>
  <cp:lastModifiedBy>Irina</cp:lastModifiedBy>
  <cp:revision>2</cp:revision>
  <dcterms:created xsi:type="dcterms:W3CDTF">2014-09-12T06:04:00Z</dcterms:created>
  <dcterms:modified xsi:type="dcterms:W3CDTF">2014-09-12T06:04:00Z</dcterms:modified>
</cp:coreProperties>
</file>