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МЕДИЦИНСКИЙ КОЛЛЕДЖ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«МОНАДА»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>КОНТРОЛЬНАЯ РАБОТА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По Фармакогнозии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>Выполнила: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ст. гр. ЗФМ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Заатова Ремзие.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>Проверила: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Заховаева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Алла Семеновна</w:t>
      </w:r>
    </w:p>
    <w:p w:rsid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ЕВПАТОРИЯ</w:t>
      </w:r>
    </w:p>
    <w:p w:rsidR="00107D1A" w:rsidRPr="00107D1A" w:rsidRDefault="00107D1A" w:rsidP="00107D1A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107D1A">
        <w:rPr>
          <w:sz w:val="28"/>
          <w:szCs w:val="28"/>
        </w:rPr>
        <w:t>2008</w:t>
      </w:r>
    </w:p>
    <w:p w:rsidR="007B348F" w:rsidRPr="00107D1A" w:rsidRDefault="00107D1A" w:rsidP="00107D1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07D1A">
        <w:rPr>
          <w:b/>
          <w:bCs/>
          <w:sz w:val="28"/>
          <w:szCs w:val="28"/>
        </w:rPr>
        <w:t>План</w:t>
      </w:r>
    </w:p>
    <w:p w:rsidR="00107D1A" w:rsidRPr="00107D1A" w:rsidRDefault="00107D1A" w:rsidP="00107D1A">
      <w:pPr>
        <w:spacing w:line="360" w:lineRule="auto"/>
        <w:ind w:firstLine="709"/>
        <w:jc w:val="both"/>
        <w:rPr>
          <w:sz w:val="28"/>
          <w:szCs w:val="28"/>
        </w:rPr>
      </w:pPr>
    </w:p>
    <w:p w:rsidR="00022499" w:rsidRPr="00107D1A" w:rsidRDefault="00022499" w:rsidP="00107D1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107D1A">
        <w:rPr>
          <w:sz w:val="28"/>
          <w:szCs w:val="28"/>
        </w:rPr>
        <w:t>Свойства жиров, зависимость от строения.</w:t>
      </w:r>
    </w:p>
    <w:p w:rsidR="00022499" w:rsidRPr="00107D1A" w:rsidRDefault="00022499" w:rsidP="00107D1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107D1A">
        <w:rPr>
          <w:sz w:val="28"/>
          <w:szCs w:val="28"/>
        </w:rPr>
        <w:t>Полынь обыкновенная. Растительный источник, семейство. Лекарственное растительное сырье на латинском, русском, украинском языках. Лекарственные препараты. Фармакологическое действие. Применение в медицине.</w:t>
      </w:r>
    </w:p>
    <w:p w:rsidR="00022499" w:rsidRPr="00107D1A" w:rsidRDefault="00022499" w:rsidP="00107D1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107D1A">
        <w:rPr>
          <w:sz w:val="28"/>
          <w:szCs w:val="28"/>
        </w:rPr>
        <w:t xml:space="preserve">Диагностические признаки порошков Лекарственного растительного сырья: листья, цветки, кора, корни, плоды, семена. </w:t>
      </w:r>
    </w:p>
    <w:p w:rsidR="00401FA4" w:rsidRPr="00107D1A" w:rsidRDefault="00107D1A" w:rsidP="00107D1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1FA4" w:rsidRPr="00107D1A">
        <w:rPr>
          <w:b/>
          <w:bCs/>
          <w:sz w:val="28"/>
          <w:szCs w:val="28"/>
        </w:rPr>
        <w:t>Свойства жиров, зависимость от строения</w:t>
      </w:r>
    </w:p>
    <w:p w:rsidR="00107D1A" w:rsidRDefault="00107D1A" w:rsidP="00107D1A">
      <w:pPr>
        <w:spacing w:line="360" w:lineRule="auto"/>
        <w:ind w:firstLine="709"/>
        <w:jc w:val="both"/>
        <w:rPr>
          <w:sz w:val="28"/>
          <w:szCs w:val="28"/>
        </w:rPr>
      </w:pPr>
    </w:p>
    <w:p w:rsidR="00401FA4" w:rsidRPr="00107D1A" w:rsidRDefault="00401FA4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Свойства жиров определяются качественным составом жирных кислот, их количественным соотношением,процентным содержанием свободных, не связанных с глицерином жирных кислот,соотношением различных триглицеридов. </w:t>
      </w:r>
    </w:p>
    <w:p w:rsidR="00401FA4" w:rsidRPr="00107D1A" w:rsidRDefault="00401FA4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Насыщенные жирные кислоты образуют триглицериды плотной консистенции (при обычной температуре), причем плотность возрастает с увеличением числа углеродных атомов в кислоте,как это видно из сопоставл</w:t>
      </w:r>
      <w:r w:rsidR="00E830B3" w:rsidRPr="00107D1A">
        <w:rPr>
          <w:sz w:val="28"/>
          <w:szCs w:val="28"/>
        </w:rPr>
        <w:t xml:space="preserve">ения точек температур плавления. </w:t>
      </w:r>
    </w:p>
    <w:p w:rsidR="00E830B3" w:rsidRPr="00107D1A" w:rsidRDefault="00E830B3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Плотными (твердыми) жирами могут быть как животные (например, говяжий жир), так и растительные (например, масло какао) жиры. </w:t>
      </w:r>
    </w:p>
    <w:p w:rsidR="00752559" w:rsidRPr="00107D1A" w:rsidRDefault="00E830B3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Насыщенные жиры кислоты образуют триглицериды жидкой консистенции (при обычной температуре). Жидкими жирами могут быть как животные (например,рыбий жир), так и проявляющее количество растительных масел. </w:t>
      </w:r>
    </w:p>
    <w:p w:rsidR="00B401CE" w:rsidRPr="00107D1A" w:rsidRDefault="00752559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Из приведеных примеров видно, что термин «</w:t>
      </w:r>
      <w:r w:rsidR="00B401CE" w:rsidRPr="00107D1A">
        <w:rPr>
          <w:sz w:val="28"/>
          <w:szCs w:val="28"/>
        </w:rPr>
        <w:t>жир</w:t>
      </w:r>
      <w:r w:rsidRPr="00107D1A">
        <w:rPr>
          <w:sz w:val="28"/>
          <w:szCs w:val="28"/>
        </w:rPr>
        <w:t>»</w:t>
      </w:r>
      <w:r w:rsidR="00B401CE" w:rsidRPr="00107D1A">
        <w:rPr>
          <w:sz w:val="28"/>
          <w:szCs w:val="28"/>
        </w:rPr>
        <w:t xml:space="preserve"> и «масло» равноценны,хотя в практике первый термин (помимо общего химического значения) обычно применяется к жирам твердой консистенции животного происхождения, а второй – к жидким жирам растительного происхождения. Термины «масло какао», «кокосовый жир», «рыбий жир» не укладываются в указанное деление, но они настолько употребительны, что нет смысла их изменять.</w:t>
      </w:r>
    </w:p>
    <w:p w:rsidR="002A45C1" w:rsidRPr="00107D1A" w:rsidRDefault="00B401CE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Жиры и масла жирны на ощупь, нанес</w:t>
      </w:r>
      <w:r w:rsidR="002A45C1" w:rsidRPr="00107D1A">
        <w:rPr>
          <w:sz w:val="28"/>
          <w:szCs w:val="28"/>
        </w:rPr>
        <w:t>е</w:t>
      </w:r>
      <w:r w:rsidRPr="00107D1A">
        <w:rPr>
          <w:sz w:val="28"/>
          <w:szCs w:val="28"/>
        </w:rPr>
        <w:t>нные (жиры</w:t>
      </w:r>
      <w:r w:rsidR="002A45C1" w:rsidRPr="00107D1A">
        <w:rPr>
          <w:sz w:val="28"/>
          <w:szCs w:val="28"/>
        </w:rPr>
        <w:t xml:space="preserve"> </w:t>
      </w:r>
      <w:r w:rsidRPr="00107D1A">
        <w:rPr>
          <w:sz w:val="28"/>
          <w:szCs w:val="28"/>
        </w:rPr>
        <w:t>в жидком виде) на бумагу оставляют</w:t>
      </w:r>
      <w:r w:rsidR="002A45C1" w:rsidRPr="00107D1A">
        <w:rPr>
          <w:sz w:val="28"/>
          <w:szCs w:val="28"/>
        </w:rPr>
        <w:t xml:space="preserve"> характерное «жирное» пятно, не исчезающее при нагревании (в отличие от эфирных масел), а наоборот, еще сильнее расплывающиеся. При обыкновенной температуре масла не загораются, но нагретые или с фителем горят ярким пламенем. </w:t>
      </w:r>
    </w:p>
    <w:p w:rsidR="00E830B3" w:rsidRPr="00107D1A" w:rsidRDefault="002A45C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Цвет плотных жиров обычно белый или желтовато-белый. Масла обычно желтоватые от присутствия каротиноидов, некоторые из них могут быть окрашены хлорофиллом в зеленый цвет или, что еще реже, в красно-оранжевый или иной цвет в зависимости от липохромов. </w:t>
      </w:r>
    </w:p>
    <w:p w:rsidR="00F319BF" w:rsidRPr="00107D1A" w:rsidRDefault="002A45C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Запах и вкус свежих и масел слабые,специфичные. Запах жиров и масел обусловлен присутствием в них эфирных масел (</w:t>
      </w:r>
      <w:r w:rsidR="00F319BF" w:rsidRPr="00107D1A">
        <w:rPr>
          <w:sz w:val="28"/>
          <w:szCs w:val="28"/>
        </w:rPr>
        <w:t>терпены, алифатические углеводы</w:t>
      </w:r>
      <w:r w:rsidRPr="00107D1A">
        <w:rPr>
          <w:sz w:val="28"/>
          <w:szCs w:val="28"/>
        </w:rPr>
        <w:t>)</w:t>
      </w:r>
      <w:r w:rsidR="00F319BF" w:rsidRPr="00107D1A">
        <w:rPr>
          <w:sz w:val="28"/>
          <w:szCs w:val="28"/>
        </w:rPr>
        <w:t xml:space="preserve">. В некоторых жирах содержатся обладающие запахом сложные эфиры низкомолекулярных кислот. Специфический запах рыбьих жиров вызывается сильно насыщенными жирными кислотами или, вернее, продуктами их окисления. </w:t>
      </w:r>
    </w:p>
    <w:p w:rsidR="00F319BF" w:rsidRPr="00107D1A" w:rsidRDefault="00F319B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Запах жиров и масел также обычно вызывается сопровождающимися веществами, как указанными выше,так и другими. </w:t>
      </w:r>
    </w:p>
    <w:p w:rsidR="002A45C1" w:rsidRPr="00107D1A" w:rsidRDefault="00F319B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Плотность подавляющего числа жиров и масел находятся в пределах 0,910 – 0,945. Лишь у немногих масел (например, у касторового) плотность повышается до 0,970 (при 20</w:t>
      </w:r>
      <w:r w:rsidRPr="00107D1A">
        <w:rPr>
          <w:sz w:val="28"/>
          <w:szCs w:val="28"/>
          <w:vertAlign w:val="superscript"/>
        </w:rPr>
        <w:t>0</w:t>
      </w:r>
      <w:r w:rsidRPr="00107D1A">
        <w:rPr>
          <w:sz w:val="28"/>
          <w:szCs w:val="28"/>
        </w:rPr>
        <w:t>С по ГФ</w:t>
      </w:r>
      <w:r w:rsidRPr="00107D1A">
        <w:rPr>
          <w:sz w:val="28"/>
          <w:szCs w:val="28"/>
          <w:lang w:val="en-US"/>
        </w:rPr>
        <w:t>X</w:t>
      </w:r>
      <w:r w:rsidRPr="00107D1A">
        <w:rPr>
          <w:sz w:val="28"/>
          <w:szCs w:val="28"/>
        </w:rPr>
        <w:t xml:space="preserve"> г/мл). </w:t>
      </w:r>
    </w:p>
    <w:p w:rsidR="00F319BF" w:rsidRPr="00107D1A" w:rsidRDefault="00F319B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Растворимость. В воде жиры и масла,как уже указывалось, нерастворимы, но их можно заэмульгировать в воде с помощью поверхностно-активных веществ. В этиловом спирте растворяются трудно, за исключением</w:t>
      </w:r>
      <w:r w:rsidR="00955402" w:rsidRPr="00107D1A">
        <w:rPr>
          <w:sz w:val="28"/>
          <w:szCs w:val="28"/>
        </w:rPr>
        <w:t xml:space="preserve"> касторового масла. </w:t>
      </w:r>
      <w:r w:rsidR="0051678B" w:rsidRPr="00107D1A">
        <w:rPr>
          <w:sz w:val="28"/>
          <w:szCs w:val="28"/>
        </w:rPr>
        <w:t xml:space="preserve">Легко растворимы в диэтиловом эфире, хлороформе, сероуглероде,бензине, петролейном эфире, вазелиновом масле. Жиры и масла смешиваются между собой в любых отношениях. Они являются хорошими растворителями (если нужно при нагревании) серы, фосфора, смол, эфирных масел, камфоры и ряда других веществ. </w:t>
      </w:r>
    </w:p>
    <w:p w:rsidR="00D2010F" w:rsidRPr="00107D1A" w:rsidRDefault="00D2010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Температура плавние твердых жиров возрастает с числом углеродных атомов, входящих в их состав жирных кислот. Поскольку жиры представляют </w:t>
      </w:r>
      <w:r w:rsidR="00293491" w:rsidRPr="00107D1A">
        <w:rPr>
          <w:sz w:val="28"/>
          <w:szCs w:val="28"/>
        </w:rPr>
        <w:t xml:space="preserve">сложные смеси разных триглицеридов, точка плавления их обычно не бывает четко выраженной. Сказанное в равной степени относится и к температуре застывания. </w:t>
      </w:r>
    </w:p>
    <w:p w:rsidR="00293491" w:rsidRPr="00107D1A" w:rsidRDefault="0029349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Температура кипения жиров не может быть определена,поскольку при нагревании до 250</w:t>
      </w:r>
      <w:r w:rsidRPr="00107D1A">
        <w:rPr>
          <w:sz w:val="28"/>
          <w:szCs w:val="28"/>
          <w:vertAlign w:val="superscript"/>
        </w:rPr>
        <w:t>0</w:t>
      </w:r>
      <w:r w:rsidRPr="00107D1A">
        <w:rPr>
          <w:sz w:val="28"/>
          <w:szCs w:val="28"/>
        </w:rPr>
        <w:t xml:space="preserve">С они разрушаются с образованием из глицерина сильно раздражающего слизистые глаза альдегида акролеина. </w:t>
      </w:r>
    </w:p>
    <w:p w:rsidR="00293491" w:rsidRPr="00107D1A" w:rsidRDefault="0029349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  <w:lang w:val="en-US"/>
        </w:rPr>
        <w:t>OH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CHOH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  <w:lang w:val="en-US"/>
        </w:rPr>
        <w:t>OH</w:t>
      </w:r>
      <w:r w:rsidRPr="00107D1A">
        <w:rPr>
          <w:sz w:val="28"/>
          <w:szCs w:val="28"/>
        </w:rPr>
        <w:t xml:space="preserve"> → </w:t>
      </w: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  <w:lang w:val="en-US"/>
        </w:rPr>
        <w:t>OH</w:t>
      </w:r>
      <w:r w:rsidRPr="00107D1A">
        <w:rPr>
          <w:sz w:val="28"/>
          <w:szCs w:val="28"/>
        </w:rPr>
        <w:t xml:space="preserve"> → </w:t>
      </w: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</w:rPr>
        <w:t xml:space="preserve"> = </w:t>
      </w:r>
      <w:r w:rsidRPr="00107D1A">
        <w:rPr>
          <w:sz w:val="28"/>
          <w:szCs w:val="28"/>
          <w:lang w:val="en-US"/>
        </w:rPr>
        <w:t>CHCHO</w:t>
      </w:r>
      <w:r w:rsidRPr="00107D1A">
        <w:rPr>
          <w:sz w:val="28"/>
          <w:szCs w:val="28"/>
        </w:rPr>
        <w:t xml:space="preserve"> + 2</w:t>
      </w:r>
      <w:r w:rsidRPr="00107D1A">
        <w:rPr>
          <w:sz w:val="28"/>
          <w:szCs w:val="28"/>
          <w:lang w:val="en-US"/>
        </w:rPr>
        <w:t>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  <w:lang w:val="en-US"/>
        </w:rPr>
        <w:t>O</w:t>
      </w:r>
    </w:p>
    <w:p w:rsidR="00D32270" w:rsidRPr="00107D1A" w:rsidRDefault="0029349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Вязкость (</w:t>
      </w:r>
      <w:r w:rsidR="00D32270" w:rsidRPr="00107D1A">
        <w:rPr>
          <w:sz w:val="28"/>
          <w:szCs w:val="28"/>
        </w:rPr>
        <w:t>ƞ</w:t>
      </w:r>
      <w:r w:rsidR="00D32270" w:rsidRPr="00107D1A">
        <w:rPr>
          <w:sz w:val="28"/>
          <w:szCs w:val="28"/>
          <w:vertAlign w:val="subscript"/>
        </w:rPr>
        <w:t>отн</w:t>
      </w:r>
      <w:r w:rsidRPr="00107D1A">
        <w:rPr>
          <w:sz w:val="28"/>
          <w:szCs w:val="28"/>
        </w:rPr>
        <w:t>)</w:t>
      </w:r>
      <w:r w:rsidR="00D32270" w:rsidRPr="00107D1A">
        <w:rPr>
          <w:sz w:val="28"/>
          <w:szCs w:val="28"/>
        </w:rPr>
        <w:t xml:space="preserve"> жирных масел колеблется в сравнительно узких пределах. Такое вязкое масло, как касторовое, имеет ƞ</w:t>
      </w:r>
      <w:r w:rsidR="00D32270" w:rsidRPr="00107D1A">
        <w:rPr>
          <w:sz w:val="28"/>
          <w:szCs w:val="28"/>
          <w:vertAlign w:val="subscript"/>
        </w:rPr>
        <w:t>отн</w:t>
      </w:r>
      <w:r w:rsidR="00D32270" w:rsidRPr="00107D1A">
        <w:rPr>
          <w:sz w:val="28"/>
          <w:szCs w:val="28"/>
        </w:rPr>
        <w:t xml:space="preserve"> = 9,8 П.</w:t>
      </w:r>
    </w:p>
    <w:p w:rsidR="00293491" w:rsidRPr="00107D1A" w:rsidRDefault="00D32270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Вращение плоскости поляризации. Жирные масла оптически неактивны, если они не содержат примеси оптически активных веществ. Исключение составляют касторовое масло. </w:t>
      </w:r>
    </w:p>
    <w:p w:rsidR="00D32270" w:rsidRPr="00107D1A" w:rsidRDefault="00D32270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Рефракция. Жирные масла имеют значительную рефракцию: показатель преломнения тем выше, чем больше содержится в жире триглицеридов с ненасыщенными кислотами. Например, масло какао имеет показатель преломлений1, 457, миндальное – 1, 470, льняное- 1,482.</w:t>
      </w:r>
    </w:p>
    <w:p w:rsidR="00D32270" w:rsidRPr="00107D1A" w:rsidRDefault="00D32270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Химические свойства жиров рельефнее всего проявляются в их способности к омылению, прогорканию, высыханию и гидрогенизации. </w:t>
      </w:r>
    </w:p>
    <w:p w:rsidR="00587D0B" w:rsidRPr="00107D1A" w:rsidRDefault="00587D0B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Омыление. Триглицериды жирных кислот способны к превращениям, характерным для сложных эфиров. Так например, под влиянием едких щелочей происходит расщепление эфирной связи – так называемое омыление, которое сопровождается образованием свободного глицерина и щелочных солей жирных кислот (мыл). </w:t>
      </w:r>
    </w:p>
    <w:p w:rsidR="00587D0B" w:rsidRPr="00107D1A" w:rsidRDefault="00587D0B" w:rsidP="00107D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7D1A">
        <w:rPr>
          <w:sz w:val="28"/>
          <w:szCs w:val="28"/>
          <w:lang w:val="en-US"/>
        </w:rPr>
        <w:t>C</w:t>
      </w:r>
      <w:r w:rsidRPr="00107D1A">
        <w:rPr>
          <w:sz w:val="28"/>
          <w:szCs w:val="28"/>
          <w:vertAlign w:val="subscript"/>
          <w:lang w:val="en-US"/>
        </w:rPr>
        <w:t>3</w:t>
      </w:r>
      <w:r w:rsidRPr="00107D1A">
        <w:rPr>
          <w:sz w:val="28"/>
          <w:szCs w:val="28"/>
          <w:lang w:val="en-US"/>
        </w:rPr>
        <w:t>H</w:t>
      </w:r>
      <w:r w:rsidRPr="00107D1A">
        <w:rPr>
          <w:sz w:val="28"/>
          <w:szCs w:val="28"/>
          <w:vertAlign w:val="subscript"/>
          <w:lang w:val="en-US"/>
        </w:rPr>
        <w:t>5</w:t>
      </w:r>
      <w:r w:rsidRPr="00107D1A">
        <w:rPr>
          <w:sz w:val="28"/>
          <w:szCs w:val="28"/>
          <w:lang w:val="en-US"/>
        </w:rPr>
        <w:t>(COOR)</w:t>
      </w:r>
      <w:r w:rsidRPr="00107D1A">
        <w:rPr>
          <w:sz w:val="28"/>
          <w:szCs w:val="28"/>
          <w:vertAlign w:val="subscript"/>
          <w:lang w:val="en-US"/>
        </w:rPr>
        <w:t>3</w:t>
      </w:r>
      <w:r w:rsidRPr="00107D1A">
        <w:rPr>
          <w:sz w:val="28"/>
          <w:szCs w:val="28"/>
          <w:lang w:val="en-US"/>
        </w:rPr>
        <w:t xml:space="preserve"> + 3NaOH → C</w:t>
      </w:r>
      <w:r w:rsidRPr="00107D1A">
        <w:rPr>
          <w:sz w:val="28"/>
          <w:szCs w:val="28"/>
          <w:vertAlign w:val="subscript"/>
          <w:lang w:val="en-US"/>
        </w:rPr>
        <w:t>3</w:t>
      </w:r>
      <w:r w:rsidRPr="00107D1A">
        <w:rPr>
          <w:sz w:val="28"/>
          <w:szCs w:val="28"/>
          <w:lang w:val="en-US"/>
        </w:rPr>
        <w:t>H</w:t>
      </w:r>
      <w:r w:rsidRPr="00107D1A">
        <w:rPr>
          <w:sz w:val="28"/>
          <w:szCs w:val="28"/>
          <w:vertAlign w:val="subscript"/>
          <w:lang w:val="en-US"/>
        </w:rPr>
        <w:t>5</w:t>
      </w:r>
      <w:r w:rsidRPr="00107D1A">
        <w:rPr>
          <w:sz w:val="28"/>
          <w:szCs w:val="28"/>
          <w:lang w:val="en-US"/>
        </w:rPr>
        <w:t>(OH)</w:t>
      </w:r>
      <w:r w:rsidRPr="00107D1A">
        <w:rPr>
          <w:sz w:val="28"/>
          <w:szCs w:val="28"/>
          <w:vertAlign w:val="subscript"/>
          <w:lang w:val="en-US"/>
        </w:rPr>
        <w:t>3</w:t>
      </w:r>
      <w:r w:rsidRPr="00107D1A">
        <w:rPr>
          <w:sz w:val="28"/>
          <w:szCs w:val="28"/>
          <w:lang w:val="en-US"/>
        </w:rPr>
        <w:t xml:space="preserve"> + 3R • COONa</w:t>
      </w:r>
    </w:p>
    <w:p w:rsidR="00587D0B" w:rsidRPr="00107D1A" w:rsidRDefault="00587D0B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Реакция </w:t>
      </w:r>
      <w:r w:rsidR="00CB6411" w:rsidRPr="00107D1A">
        <w:rPr>
          <w:sz w:val="28"/>
          <w:szCs w:val="28"/>
        </w:rPr>
        <w:t>омыления широко используюется для приготовления бытовых и медицинских мыл. Этой же реакцией можно воспользоваться и для выяснения состава жиров и их доброкачественности.</w:t>
      </w:r>
      <w:r w:rsidR="00107D1A">
        <w:rPr>
          <w:sz w:val="28"/>
          <w:szCs w:val="28"/>
        </w:rPr>
        <w:t xml:space="preserve"> </w:t>
      </w:r>
      <w:r w:rsidR="00CB6411" w:rsidRPr="00107D1A">
        <w:rPr>
          <w:sz w:val="28"/>
          <w:szCs w:val="28"/>
        </w:rPr>
        <w:t xml:space="preserve">С этой целью определяют число омыления. Подэтой константой понимается количество миллиграммов едкого калия, необходимые для нейтрализации свободных и связанных в виде триглицеридов жирных кислот, содержащихся в 1г жира. Число омыления характеризует среднюю величину относительной молекулярной массы глицеринов, которые входят в состав жира. </w:t>
      </w:r>
    </w:p>
    <w:p w:rsidR="00E22F7A" w:rsidRPr="00107D1A" w:rsidRDefault="00CB641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Пр</w:t>
      </w:r>
      <w:r w:rsidR="000E1CA7" w:rsidRPr="00107D1A">
        <w:rPr>
          <w:sz w:val="28"/>
          <w:szCs w:val="28"/>
        </w:rPr>
        <w:t>о</w:t>
      </w:r>
      <w:r w:rsidRPr="00107D1A">
        <w:rPr>
          <w:sz w:val="28"/>
          <w:szCs w:val="28"/>
        </w:rPr>
        <w:t xml:space="preserve">горкание. Это сложный химический процесс порчи жира при хранении в неблагоприятных условиях (доступ воздуха и влаги, свет, тепло), в результате которого жиры приобретают горьковатый вкус и неприятный запах. Если жиры в этих условияхподвергаются действию фермента липазы, то происходит их разложение, аналогичное реакцииомыления. Этот вид порчи легко контролируется пог кислотному числу (КЧ). </w:t>
      </w:r>
      <w:r w:rsidR="00E22F7A" w:rsidRPr="00107D1A">
        <w:rPr>
          <w:sz w:val="28"/>
          <w:szCs w:val="28"/>
        </w:rPr>
        <w:t>Под этой константой понимается количество миллиграммов едкого кали, которое необходимо для нейтрализации свободных жирных кислот, содержащихся в 1г жира. Все жиры обычно содержат небольшое количество жирных кислот (1 – 2%). Кислотное число может быть выше нормы, если жирное масло получено из незрелых семян. Но основная причина увеличения кислотного числа – порча масла в результате</w:t>
      </w:r>
      <w:r w:rsidR="00107D1A">
        <w:rPr>
          <w:sz w:val="28"/>
          <w:szCs w:val="28"/>
        </w:rPr>
        <w:t xml:space="preserve"> </w:t>
      </w:r>
      <w:r w:rsidR="00E22F7A" w:rsidRPr="00107D1A">
        <w:rPr>
          <w:sz w:val="28"/>
          <w:szCs w:val="28"/>
        </w:rPr>
        <w:t xml:space="preserve">омыления глицеридов. </w:t>
      </w:r>
    </w:p>
    <w:p w:rsidR="000E1CA7" w:rsidRPr="00107D1A" w:rsidRDefault="00E22F7A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Определяя другие константы, можно несколько уточнить представления о природе содержащихся в масле свободных жирных кислот. Так по числу Рейхерта – Мейссля можно судить о количестве летучих растворимых в воде кислот,а по числу Пленске – о количестве </w:t>
      </w:r>
      <w:r w:rsidR="00D21BA8" w:rsidRPr="00107D1A">
        <w:rPr>
          <w:sz w:val="28"/>
          <w:szCs w:val="28"/>
        </w:rPr>
        <w:t>нерастворимых в воде летучих кислот.</w:t>
      </w:r>
      <w:r w:rsidR="00107D1A">
        <w:rPr>
          <w:sz w:val="28"/>
          <w:szCs w:val="28"/>
        </w:rPr>
        <w:t xml:space="preserve"> </w:t>
      </w:r>
    </w:p>
    <w:p w:rsidR="000E1CA7" w:rsidRPr="00107D1A" w:rsidRDefault="000E1CA7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Числом Рейхерта – Мейссля называется количество миллилитров 0,1 Н раствора едкого калия (едкого натра), необходимое для нейтрализации летучих, растворимых в воде жирных кислот, полученных при строго определенных условиях из 5 г жира. </w:t>
      </w:r>
    </w:p>
    <w:p w:rsidR="000E1CA7" w:rsidRPr="00107D1A" w:rsidRDefault="000E1CA7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Число Поленске устанавливают вслед за определением летучих кислот в той же навеске жира. Выпавшие жирные кислоты переводят в спиртовый раствор и титруют 0,1 Н спиртовым раствором едкого калия (едкого натра). </w:t>
      </w:r>
    </w:p>
    <w:p w:rsidR="000E1CA7" w:rsidRPr="00107D1A" w:rsidRDefault="000E1CA7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Чтобы иметь более точное представление о содержавщихся в жирах глицеридах, из числа омыления высчитывают кислотное число и получают так называемое эфирное число (ЭЧ), которое характеризует только связанные жирные кислоты. </w:t>
      </w:r>
    </w:p>
    <w:p w:rsidR="000E1CA7" w:rsidRPr="00107D1A" w:rsidRDefault="000E1CA7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Иногда прогоркание жиров зависит от жизнедеятельности микрооганизмов, вызываемых окислением отщепленных жирных кислот в кетоны или альдегиды. Предполагаемая реакция: </w:t>
      </w:r>
    </w:p>
    <w:p w:rsidR="00927AC5" w:rsidRPr="00107D1A" w:rsidRDefault="00927AC5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  <w:lang w:val="en-US"/>
        </w:rPr>
        <w:t>R</w:t>
      </w:r>
      <w:r w:rsidRPr="00107D1A">
        <w:rPr>
          <w:sz w:val="28"/>
          <w:szCs w:val="28"/>
        </w:rPr>
        <w:t xml:space="preserve"> • </w:t>
      </w: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COOH</w:t>
      </w:r>
      <w:r w:rsidRPr="00107D1A">
        <w:rPr>
          <w:sz w:val="28"/>
          <w:szCs w:val="28"/>
        </w:rPr>
        <w:t xml:space="preserve"> → </w:t>
      </w:r>
      <w:r w:rsidRPr="00107D1A">
        <w:rPr>
          <w:sz w:val="28"/>
          <w:szCs w:val="28"/>
          <w:lang w:val="en-US"/>
        </w:rPr>
        <w:t>R</w:t>
      </w:r>
      <w:r w:rsidRPr="00107D1A">
        <w:rPr>
          <w:sz w:val="28"/>
          <w:szCs w:val="28"/>
        </w:rPr>
        <w:t xml:space="preserve"> • </w:t>
      </w:r>
      <w:r w:rsidRPr="00107D1A">
        <w:rPr>
          <w:sz w:val="28"/>
          <w:szCs w:val="28"/>
          <w:lang w:val="en-US"/>
        </w:rPr>
        <w:t>CO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CH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COOH</w:t>
      </w:r>
      <w:r w:rsidRPr="00107D1A">
        <w:rPr>
          <w:sz w:val="28"/>
          <w:szCs w:val="28"/>
        </w:rPr>
        <w:t xml:space="preserve"> → </w:t>
      </w:r>
      <w:r w:rsidRPr="00107D1A">
        <w:rPr>
          <w:sz w:val="28"/>
          <w:szCs w:val="28"/>
          <w:lang w:val="en-US"/>
        </w:rPr>
        <w:t>R</w:t>
      </w:r>
      <w:r w:rsidRPr="00107D1A">
        <w:rPr>
          <w:sz w:val="28"/>
          <w:szCs w:val="28"/>
        </w:rPr>
        <w:t xml:space="preserve"> ─ </w:t>
      </w:r>
      <w:r w:rsidRPr="00107D1A">
        <w:rPr>
          <w:sz w:val="28"/>
          <w:szCs w:val="28"/>
          <w:lang w:val="en-US"/>
        </w:rPr>
        <w:t>COCH</w:t>
      </w:r>
      <w:r w:rsidRPr="00107D1A">
        <w:rPr>
          <w:sz w:val="28"/>
          <w:szCs w:val="28"/>
          <w:vertAlign w:val="subscript"/>
        </w:rPr>
        <w:t>3</w:t>
      </w:r>
      <w:r w:rsidRPr="00107D1A">
        <w:rPr>
          <w:sz w:val="28"/>
          <w:szCs w:val="28"/>
        </w:rPr>
        <w:t xml:space="preserve"> + </w:t>
      </w:r>
      <w:r w:rsidRPr="00107D1A">
        <w:rPr>
          <w:sz w:val="28"/>
          <w:szCs w:val="28"/>
          <w:lang w:val="en-US"/>
        </w:rPr>
        <w:t>CO</w:t>
      </w:r>
      <w:r w:rsidRPr="00107D1A">
        <w:rPr>
          <w:sz w:val="28"/>
          <w:szCs w:val="28"/>
          <w:vertAlign w:val="subscript"/>
        </w:rPr>
        <w:t>2</w:t>
      </w:r>
      <w:r w:rsidRPr="00107D1A">
        <w:rPr>
          <w:sz w:val="28"/>
          <w:szCs w:val="28"/>
        </w:rPr>
        <w:t xml:space="preserve"> </w:t>
      </w:r>
    </w:p>
    <w:p w:rsidR="00CB6411" w:rsidRPr="00107D1A" w:rsidRDefault="00927AC5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Жирная кислота</w:t>
      </w:r>
      <w:r w:rsidR="00107D1A">
        <w:rPr>
          <w:sz w:val="28"/>
          <w:szCs w:val="28"/>
        </w:rPr>
        <w:t xml:space="preserve"> </w:t>
      </w:r>
      <w:r w:rsidRPr="00107D1A">
        <w:rPr>
          <w:sz w:val="28"/>
          <w:szCs w:val="28"/>
        </w:rPr>
        <w:t>Кетокислота</w:t>
      </w:r>
      <w:r w:rsidR="00107D1A">
        <w:rPr>
          <w:sz w:val="28"/>
          <w:szCs w:val="28"/>
        </w:rPr>
        <w:t xml:space="preserve"> </w:t>
      </w:r>
      <w:r w:rsidRPr="00107D1A">
        <w:rPr>
          <w:sz w:val="28"/>
          <w:szCs w:val="28"/>
        </w:rPr>
        <w:t>Кетон</w:t>
      </w:r>
    </w:p>
    <w:p w:rsidR="00927AC5" w:rsidRPr="00107D1A" w:rsidRDefault="00927AC5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Подобного рода кетонное прогоркание больше типично для жиров, содержащихжирные кислоты с числом углеродных атомов от 6 до 12. </w:t>
      </w:r>
    </w:p>
    <w:p w:rsidR="00DF276E" w:rsidRPr="00107D1A" w:rsidRDefault="00927AC5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Для определения присутствия в жирах альдегидов и кетонов разработаны специальные реакции. В частности, альдегиды хорошо определяются с помощью реактива Инахова и Шошина (раствор гидросульфита натрия и фуксина). После встряхивания раствора испытуемого масла в петролейном эфире с реактивом нижний слой</w:t>
      </w:r>
      <w:r w:rsidR="00DF276E" w:rsidRPr="00107D1A">
        <w:rPr>
          <w:sz w:val="28"/>
          <w:szCs w:val="28"/>
        </w:rPr>
        <w:t xml:space="preserve"> (реактив) в случае присутствия альдегиддов окрашивается ву интенсивно фиолетовый цвет. </w:t>
      </w:r>
    </w:p>
    <w:p w:rsidR="00927AC5" w:rsidRPr="00107D1A" w:rsidRDefault="00DF276E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Кетоны определяют в отгоне масла с водяным паром, используя в качестве реактива салициловый альдегид и концентрированную соляную кислоту. </w:t>
      </w:r>
      <w:r w:rsidR="00B039A5" w:rsidRPr="00107D1A">
        <w:rPr>
          <w:sz w:val="28"/>
          <w:szCs w:val="28"/>
        </w:rPr>
        <w:t xml:space="preserve">После взбалтывания в пробирке пробы отгона с хлороформом на границе слоев образуется красное кольцо, а нижний слой принимает розовый цвет. </w:t>
      </w:r>
    </w:p>
    <w:p w:rsidR="00B039A5" w:rsidRPr="00107D1A" w:rsidRDefault="00B039A5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Однако чаще всего прогоркание жиров обусловливается окислением ненасыщенных жирных кислот кислородом воздуха. Последний может присоединяться по месту двойных связей, образуя перекиси:</w:t>
      </w:r>
    </w:p>
    <w:p w:rsidR="00401FA4" w:rsidRPr="00107D1A" w:rsidRDefault="001419C8" w:rsidP="00107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" from="5in,12.3pt" to="5in,30.3pt"/>
        </w:pict>
      </w:r>
      <w:r>
        <w:rPr>
          <w:noProof/>
        </w:rPr>
        <w:pict>
          <v:line id="_x0000_s1027" style="position:absolute;left:0;text-align:left;z-index:251655168" from="324pt,14.2pt" to="324pt,30.95pt"/>
        </w:pict>
      </w:r>
      <w:r w:rsidR="0001233F" w:rsidRPr="00107D1A">
        <w:rPr>
          <w:sz w:val="28"/>
          <w:szCs w:val="28"/>
          <w:lang w:val="en-US"/>
        </w:rPr>
        <w:t>R</w:t>
      </w:r>
      <w:r w:rsidR="0001233F" w:rsidRPr="00107D1A">
        <w:rPr>
          <w:sz w:val="28"/>
          <w:szCs w:val="28"/>
          <w:vertAlign w:val="superscript"/>
        </w:rPr>
        <w:t>1</w:t>
      </w:r>
      <w:r w:rsidR="0001233F" w:rsidRPr="00107D1A">
        <w:rPr>
          <w:sz w:val="28"/>
          <w:szCs w:val="28"/>
        </w:rPr>
        <w:t xml:space="preserve"> •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  <w:vertAlign w:val="subscript"/>
        </w:rPr>
        <w:t>2</w:t>
      </w:r>
      <w:r w:rsidR="0001233F" w:rsidRPr="00107D1A">
        <w:rPr>
          <w:sz w:val="28"/>
          <w:szCs w:val="28"/>
        </w:rPr>
        <w:t xml:space="preserve"> ─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</w:rPr>
        <w:t xml:space="preserve"> =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</w:rPr>
        <w:t xml:space="preserve"> ─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  <w:vertAlign w:val="subscript"/>
        </w:rPr>
        <w:t>2</w:t>
      </w:r>
      <w:r w:rsidR="0001233F" w:rsidRPr="00107D1A">
        <w:rPr>
          <w:sz w:val="28"/>
          <w:szCs w:val="28"/>
        </w:rPr>
        <w:t xml:space="preserve"> • </w:t>
      </w:r>
      <w:r w:rsidR="0001233F" w:rsidRPr="00107D1A">
        <w:rPr>
          <w:sz w:val="28"/>
          <w:szCs w:val="28"/>
          <w:lang w:val="en-US"/>
        </w:rPr>
        <w:t>R</w:t>
      </w:r>
      <w:r w:rsidR="0001233F" w:rsidRPr="00107D1A">
        <w:rPr>
          <w:sz w:val="28"/>
          <w:szCs w:val="28"/>
          <w:vertAlign w:val="superscript"/>
        </w:rPr>
        <w:t>2</w:t>
      </w:r>
      <w:r w:rsidR="0001233F" w:rsidRPr="00107D1A">
        <w:rPr>
          <w:sz w:val="28"/>
          <w:szCs w:val="28"/>
        </w:rPr>
        <w:t xml:space="preserve"> → </w:t>
      </w:r>
      <w:r w:rsidR="0001233F" w:rsidRPr="00107D1A">
        <w:rPr>
          <w:sz w:val="28"/>
          <w:szCs w:val="28"/>
          <w:lang w:val="en-US"/>
        </w:rPr>
        <w:t>R</w:t>
      </w:r>
      <w:r w:rsidR="0001233F" w:rsidRPr="00107D1A">
        <w:rPr>
          <w:sz w:val="28"/>
          <w:szCs w:val="28"/>
          <w:vertAlign w:val="superscript"/>
        </w:rPr>
        <w:t>1</w:t>
      </w:r>
      <w:r w:rsidR="0001233F" w:rsidRPr="00107D1A">
        <w:rPr>
          <w:sz w:val="28"/>
          <w:szCs w:val="28"/>
        </w:rPr>
        <w:t xml:space="preserve"> •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  <w:vertAlign w:val="subscript"/>
        </w:rPr>
        <w:t>2</w:t>
      </w:r>
      <w:r w:rsidR="0001233F" w:rsidRPr="00107D1A">
        <w:rPr>
          <w:sz w:val="28"/>
          <w:szCs w:val="28"/>
        </w:rPr>
        <w:t xml:space="preserve"> ─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</w:rPr>
        <w:t xml:space="preserve"> ─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</w:rPr>
        <w:t xml:space="preserve"> ─ </w:t>
      </w:r>
      <w:r w:rsidR="0001233F" w:rsidRPr="00107D1A">
        <w:rPr>
          <w:sz w:val="28"/>
          <w:szCs w:val="28"/>
          <w:lang w:val="en-US"/>
        </w:rPr>
        <w:t>CH</w:t>
      </w:r>
      <w:r w:rsidR="0001233F" w:rsidRPr="00107D1A">
        <w:rPr>
          <w:sz w:val="28"/>
          <w:szCs w:val="28"/>
          <w:vertAlign w:val="subscript"/>
        </w:rPr>
        <w:t>2</w:t>
      </w:r>
      <w:r w:rsidR="0001233F" w:rsidRPr="00107D1A">
        <w:rPr>
          <w:sz w:val="28"/>
          <w:szCs w:val="28"/>
        </w:rPr>
        <w:t xml:space="preserve"> • </w:t>
      </w:r>
      <w:r w:rsidR="0001233F" w:rsidRPr="00107D1A">
        <w:rPr>
          <w:sz w:val="28"/>
          <w:szCs w:val="28"/>
          <w:lang w:val="en-US"/>
        </w:rPr>
        <w:t>R</w:t>
      </w:r>
      <w:r w:rsidR="0001233F" w:rsidRPr="00107D1A">
        <w:rPr>
          <w:sz w:val="28"/>
          <w:szCs w:val="28"/>
          <w:vertAlign w:val="superscript"/>
        </w:rPr>
        <w:t>2</w:t>
      </w:r>
    </w:p>
    <w:p w:rsidR="0001233F" w:rsidRPr="00107D1A" w:rsidRDefault="001419C8" w:rsidP="00107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216" from="333pt,7.1pt" to="351pt,7.1pt"/>
        </w:pict>
      </w:r>
      <w:r w:rsidR="0001233F" w:rsidRPr="00107D1A">
        <w:rPr>
          <w:sz w:val="28"/>
          <w:szCs w:val="28"/>
          <w:lang w:val="en-US"/>
        </w:rPr>
        <w:t>O</w:t>
      </w:r>
      <w:r w:rsidR="00107D1A">
        <w:rPr>
          <w:sz w:val="28"/>
          <w:szCs w:val="28"/>
        </w:rPr>
        <w:t xml:space="preserve"> </w:t>
      </w:r>
      <w:r w:rsidR="0001233F" w:rsidRPr="00107D1A">
        <w:rPr>
          <w:sz w:val="28"/>
          <w:szCs w:val="28"/>
          <w:lang w:val="en-US"/>
        </w:rPr>
        <w:t>O</w:t>
      </w:r>
    </w:p>
    <w:p w:rsidR="0001233F" w:rsidRPr="00107D1A" w:rsidRDefault="0001233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Кислород может присоединяться также и к углеродному атому, соседнему с двойной связью, образуя гидроперекиси: </w:t>
      </w:r>
    </w:p>
    <w:p w:rsidR="0001233F" w:rsidRPr="00107D1A" w:rsidRDefault="001419C8" w:rsidP="00107D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9" style="position:absolute;left:0;text-align:left;z-index:251658240" from="378pt,13.45pt" to="378pt,33.35pt"/>
        </w:pict>
      </w:r>
      <w:r w:rsidR="00B13DB1" w:rsidRPr="00107D1A">
        <w:rPr>
          <w:sz w:val="28"/>
          <w:szCs w:val="28"/>
          <w:lang w:val="en-US"/>
        </w:rPr>
        <w:t>R</w:t>
      </w:r>
      <w:r w:rsidR="00B13DB1" w:rsidRPr="00107D1A">
        <w:rPr>
          <w:sz w:val="28"/>
          <w:szCs w:val="28"/>
          <w:vertAlign w:val="superscript"/>
          <w:lang w:val="en-US"/>
        </w:rPr>
        <w:t>1</w:t>
      </w:r>
      <w:r w:rsidR="00B13DB1" w:rsidRPr="00107D1A">
        <w:rPr>
          <w:sz w:val="28"/>
          <w:szCs w:val="28"/>
          <w:lang w:val="en-US"/>
        </w:rPr>
        <w:t xml:space="preserve"> • CH</w:t>
      </w:r>
      <w:r w:rsidR="00B13DB1" w:rsidRPr="00107D1A">
        <w:rPr>
          <w:sz w:val="28"/>
          <w:szCs w:val="28"/>
          <w:vertAlign w:val="subscript"/>
          <w:lang w:val="en-US"/>
        </w:rPr>
        <w:t>2</w:t>
      </w:r>
      <w:r w:rsidR="00B13DB1" w:rsidRPr="00107D1A">
        <w:rPr>
          <w:sz w:val="28"/>
          <w:szCs w:val="28"/>
          <w:lang w:val="en-US"/>
        </w:rPr>
        <w:t xml:space="preserve"> ─ CH = CH</w:t>
      </w:r>
      <w:r w:rsidR="00B13DB1" w:rsidRPr="00107D1A">
        <w:rPr>
          <w:sz w:val="28"/>
          <w:szCs w:val="28"/>
          <w:vertAlign w:val="subscript"/>
          <w:lang w:val="en-US"/>
        </w:rPr>
        <w:t>2</w:t>
      </w:r>
      <w:r w:rsidR="00B13DB1" w:rsidRPr="00107D1A">
        <w:rPr>
          <w:sz w:val="28"/>
          <w:szCs w:val="28"/>
          <w:lang w:val="en-US"/>
        </w:rPr>
        <w:t xml:space="preserve"> • R</w:t>
      </w:r>
      <w:r w:rsidR="00B13DB1" w:rsidRPr="00107D1A">
        <w:rPr>
          <w:sz w:val="28"/>
          <w:szCs w:val="28"/>
          <w:vertAlign w:val="superscript"/>
          <w:lang w:val="en-US"/>
        </w:rPr>
        <w:t xml:space="preserve">2 </w:t>
      </w:r>
      <w:r w:rsidR="00B13DB1" w:rsidRPr="00107D1A">
        <w:rPr>
          <w:sz w:val="28"/>
          <w:szCs w:val="28"/>
          <w:lang w:val="en-US"/>
        </w:rPr>
        <w:t>+ O</w:t>
      </w:r>
      <w:r w:rsidR="00B13DB1" w:rsidRPr="00107D1A">
        <w:rPr>
          <w:sz w:val="28"/>
          <w:szCs w:val="28"/>
          <w:vertAlign w:val="subscript"/>
          <w:lang w:val="en-US"/>
        </w:rPr>
        <w:t xml:space="preserve">2 </w:t>
      </w:r>
      <w:r w:rsidR="00B13DB1" w:rsidRPr="00107D1A">
        <w:rPr>
          <w:sz w:val="28"/>
          <w:szCs w:val="28"/>
          <w:lang w:val="en-US"/>
        </w:rPr>
        <w:t>→ R</w:t>
      </w:r>
      <w:r w:rsidR="00B13DB1" w:rsidRPr="00107D1A">
        <w:rPr>
          <w:sz w:val="28"/>
          <w:szCs w:val="28"/>
          <w:vertAlign w:val="superscript"/>
          <w:lang w:val="en-US"/>
        </w:rPr>
        <w:t xml:space="preserve">1 </w:t>
      </w:r>
      <w:r w:rsidR="00B13DB1" w:rsidRPr="00107D1A">
        <w:rPr>
          <w:sz w:val="28"/>
          <w:szCs w:val="28"/>
          <w:lang w:val="en-US"/>
        </w:rPr>
        <w:t>• CH</w:t>
      </w:r>
      <w:r w:rsidR="00B13DB1" w:rsidRPr="00107D1A">
        <w:rPr>
          <w:sz w:val="28"/>
          <w:szCs w:val="28"/>
          <w:vertAlign w:val="subscript"/>
          <w:lang w:val="en-US"/>
        </w:rPr>
        <w:t>2</w:t>
      </w:r>
      <w:r w:rsidR="00B13DB1" w:rsidRPr="00107D1A">
        <w:rPr>
          <w:sz w:val="28"/>
          <w:szCs w:val="28"/>
          <w:lang w:val="en-US"/>
        </w:rPr>
        <w:t xml:space="preserve"> ─ CH = CH ─ CH • R</w:t>
      </w:r>
      <w:r w:rsidR="00B13DB1" w:rsidRPr="00107D1A">
        <w:rPr>
          <w:sz w:val="28"/>
          <w:szCs w:val="28"/>
          <w:vertAlign w:val="superscript"/>
          <w:lang w:val="en-US"/>
        </w:rPr>
        <w:t>2</w:t>
      </w:r>
    </w:p>
    <w:p w:rsidR="00B13DB1" w:rsidRPr="00107D1A" w:rsidRDefault="001419C8" w:rsidP="00107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9264" from="387pt,8.25pt" to="405pt,8.25pt"/>
        </w:pict>
      </w:r>
      <w:r w:rsidR="00107D1A">
        <w:rPr>
          <w:sz w:val="28"/>
          <w:szCs w:val="28"/>
        </w:rPr>
        <w:t xml:space="preserve"> </w:t>
      </w:r>
      <w:r w:rsidR="00B13DB1" w:rsidRPr="00107D1A">
        <w:rPr>
          <w:sz w:val="28"/>
          <w:szCs w:val="28"/>
          <w:lang w:val="en-US"/>
        </w:rPr>
        <w:t>O</w:t>
      </w:r>
      <w:r w:rsidR="00107D1A">
        <w:rPr>
          <w:sz w:val="28"/>
          <w:szCs w:val="28"/>
        </w:rPr>
        <w:t xml:space="preserve"> </w:t>
      </w:r>
      <w:r w:rsidR="00B13DB1" w:rsidRPr="00107D1A">
        <w:rPr>
          <w:sz w:val="28"/>
          <w:szCs w:val="28"/>
          <w:lang w:val="en-US"/>
        </w:rPr>
        <w:t>OH</w:t>
      </w:r>
    </w:p>
    <w:p w:rsidR="00B13DB1" w:rsidRPr="00107D1A" w:rsidRDefault="00B13DB1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Образование перекиси и гидроперекиси подвергаются далее разложению с образованием альдегидов и кетонов. Для характерности окислительного прогорканию жира используюется константа, известная под названием перекисное число, которое выражается в процентах йода, пошедшего на разрушение перекисей. У свежего свиного сала перекисное число не превышает </w:t>
      </w:r>
      <w:r w:rsidR="0048191F" w:rsidRPr="00107D1A">
        <w:rPr>
          <w:sz w:val="28"/>
          <w:szCs w:val="28"/>
        </w:rPr>
        <w:t xml:space="preserve">0,03; при перекисном числе 0,1 этот жир органолептически проявляется как явно прогорклый. </w:t>
      </w:r>
    </w:p>
    <w:p w:rsidR="0010409C" w:rsidRPr="00107D1A" w:rsidRDefault="0010409C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Высыхание. Намазанные тонким слоем, жидкие жиры ведут себя на воздухе по-разному; они остаются без изменения жидкими, другие, окисляясь, постепенно превращаются в прозрачную смолоподобную эластичную пленку – линоксин, нерастворимую в органических растворителях. </w:t>
      </w:r>
    </w:p>
    <w:p w:rsidR="0010409C" w:rsidRPr="00107D1A" w:rsidRDefault="0010409C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Масла, не образующие пленку, называются невысыхающими. Главной составной частью в таких маслах являются глицериды олеиновой кислоты. </w:t>
      </w:r>
    </w:p>
    <w:p w:rsidR="0010409C" w:rsidRPr="00107D1A" w:rsidRDefault="0010409C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Масла,образующие мягкие пленки, называются полувысыхающими. Главной составной частью в таких маслах являются глицериды линолевой кислоты. </w:t>
      </w:r>
    </w:p>
    <w:p w:rsidR="0010409C" w:rsidRPr="00107D1A" w:rsidRDefault="0010409C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Масла, образующие плотную пленку, называются высыхающими.</w:t>
      </w:r>
      <w:r w:rsidR="00967D0B" w:rsidRPr="00107D1A">
        <w:rPr>
          <w:sz w:val="28"/>
          <w:szCs w:val="28"/>
        </w:rPr>
        <w:t xml:space="preserve"> </w:t>
      </w:r>
      <w:r w:rsidRPr="00107D1A">
        <w:rPr>
          <w:sz w:val="28"/>
          <w:szCs w:val="28"/>
        </w:rPr>
        <w:t xml:space="preserve">Главной составной частью в таких маслах являются глицериды линолевой кислоты. </w:t>
      </w:r>
    </w:p>
    <w:p w:rsidR="00967D0B" w:rsidRPr="00107D1A" w:rsidRDefault="00967D0B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Процесс высыхания — очень сложный физико-химический процесс, который начинается с окисления метиленовых групп, соседних с двойной связью, после чего следует полимеризация и сшивка полимерных цепей. Образование высокополимеров сопровождается повышением вязкости этих соединений и ухудшением их растворимости в масле, из которого они образовались. Способность некоторых масел к высыханию широко используется в народном хозяйстве (лакокрасочная промышленность). Для медицины, наоборот, более нужны масла невысыхающие, поскольку они используются для парентерального введения лекарств.</w:t>
      </w:r>
    </w:p>
    <w:p w:rsidR="00967D0B" w:rsidRPr="00107D1A" w:rsidRDefault="00967D0B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Олеиновая кислота обладает способностью под влиянием азотистой кислоты переходить в свой стереоизомер — элаидиновую кислоту, которая при комнатной температуре имеет твердую консистенцию. Этой реакцией, известной под названием э л а и-диновая проба, широко пользуются для определения типа масла: если проба будет положительной, следовательно, исследуемое масло будет невысыхающим.</w:t>
      </w:r>
    </w:p>
    <w:p w:rsidR="00967D0B" w:rsidRPr="00107D1A" w:rsidRDefault="00967D0B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Очень надежным способом выявления высыхаемости масел служит определение йодного числа. Известно, что все непредельные кислоты, в том числе и жирные, способны присоединять по месту двойной связи галоиды. Очевидно, что чем больше в жирных кислотах будет двойных связей, тем больше присоединится галоидов. Для аналитических целей удобнее всего оказалось применение йода, причем под йодным числом понимается количество граммов йода, которое способно присоединиться к 100 г жира.</w:t>
      </w:r>
    </w:p>
    <w:p w:rsidR="00967D0B" w:rsidRPr="00107D1A" w:rsidRDefault="00967D0B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Таким образом, по величине йодного числа можно легко установить, к какой группе по степени высыхаемости относится то или иное масло.</w:t>
      </w:r>
    </w:p>
    <w:p w:rsidR="00655A6C" w:rsidRPr="00107D1A" w:rsidRDefault="00655A6C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Гидрогенизация. По месту двойных связей, помимо галоидов, легко присоединяется также водород. В результате этого присоединения жирные кислоты из ненасыщенных переходят в насыщенные кислоты, приобретая при этом плотную консистенцию. Реакция гидрогенизации широко используется для получения плотных жиров из растительных масел. Среди них имеются пищевые жиры (маргарин, саломас) и жиры, используемые в фармации (основы для мазей и суппозиториев) и косметике.</w:t>
      </w:r>
    </w:p>
    <w:p w:rsidR="00967D0B" w:rsidRDefault="00655A6C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Гидрогенизация масел проводится при высокой температуре в присутствии катализатора (губчатый никель). Регулируя приток водорода, можно получать жиры с различной температурой плавления и другими свойствами в зависимости от замещения двойных связей. Эта сторона процесса очень существенна для получения фармацевтических основ с заданными свойствами. В процессе гидрогенизации в жире могут появляться жирные кислоты, не существующие в природе. Это обычно имеет место при частичной гидрогенизации молекулы линолевой и линоленовой кислот или при перемещении двойных связей.</w:t>
      </w:r>
    </w:p>
    <w:p w:rsidR="00107D1A" w:rsidRPr="00107D1A" w:rsidRDefault="00107D1A" w:rsidP="00107D1A">
      <w:pPr>
        <w:spacing w:line="360" w:lineRule="auto"/>
        <w:ind w:firstLine="709"/>
        <w:jc w:val="both"/>
        <w:rPr>
          <w:sz w:val="28"/>
          <w:szCs w:val="28"/>
        </w:rPr>
      </w:pPr>
    </w:p>
    <w:p w:rsidR="00655A6C" w:rsidRPr="00107D1A" w:rsidRDefault="00655A6C" w:rsidP="00107D1A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Полынь обыкновенная. Растительный источник, семейство. Лекарственное растительное сырье на латинском, русском, украинском языках. Лекарственные препараты. Фармакологическое действие. </w:t>
      </w:r>
      <w:r w:rsidR="00107D1A">
        <w:rPr>
          <w:b/>
          <w:bCs/>
          <w:sz w:val="28"/>
          <w:szCs w:val="28"/>
        </w:rPr>
        <w:t>Применение в медицине</w:t>
      </w:r>
    </w:p>
    <w:p w:rsidR="00107D1A" w:rsidRDefault="00107D1A" w:rsidP="00107D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5A6C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Полынь горькая. </w:t>
      </w:r>
    </w:p>
    <w:p w:rsidR="007B348F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07D1A">
        <w:rPr>
          <w:b/>
          <w:bCs/>
          <w:sz w:val="28"/>
          <w:szCs w:val="28"/>
        </w:rPr>
        <w:t>Листя полину гір</w:t>
      </w:r>
      <w:r w:rsidRPr="00107D1A">
        <w:rPr>
          <w:b/>
          <w:bCs/>
          <w:sz w:val="28"/>
          <w:szCs w:val="28"/>
          <w:lang w:val="uk-UA"/>
        </w:rPr>
        <w:t>кого</w:t>
      </w:r>
    </w:p>
    <w:p w:rsidR="007B348F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  <w:lang w:val="en-US"/>
        </w:rPr>
        <w:t>Folia</w:t>
      </w:r>
      <w:r w:rsidRPr="00107D1A">
        <w:rPr>
          <w:b/>
          <w:bCs/>
          <w:sz w:val="28"/>
          <w:szCs w:val="28"/>
        </w:rPr>
        <w:t xml:space="preserve"> </w:t>
      </w:r>
      <w:r w:rsidRPr="00107D1A">
        <w:rPr>
          <w:b/>
          <w:bCs/>
          <w:sz w:val="28"/>
          <w:szCs w:val="28"/>
          <w:lang w:val="en-US"/>
        </w:rPr>
        <w:t>Absinthii</w:t>
      </w:r>
    </w:p>
    <w:p w:rsidR="007B348F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07D1A">
        <w:rPr>
          <w:b/>
          <w:bCs/>
          <w:sz w:val="28"/>
          <w:szCs w:val="28"/>
          <w:lang w:val="uk-UA"/>
        </w:rPr>
        <w:t xml:space="preserve">Трава полину гіркого </w:t>
      </w:r>
    </w:p>
    <w:p w:rsidR="007B348F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  <w:lang w:val="en-US"/>
        </w:rPr>
        <w:t>Herba</w:t>
      </w:r>
      <w:r w:rsidRPr="00107D1A">
        <w:rPr>
          <w:b/>
          <w:bCs/>
          <w:sz w:val="28"/>
          <w:szCs w:val="28"/>
        </w:rPr>
        <w:t xml:space="preserve"> </w:t>
      </w:r>
      <w:r w:rsidRPr="00107D1A">
        <w:rPr>
          <w:b/>
          <w:bCs/>
          <w:sz w:val="28"/>
          <w:szCs w:val="28"/>
          <w:lang w:val="en-US"/>
        </w:rPr>
        <w:t>Absinthii</w:t>
      </w:r>
      <w:r w:rsidRPr="00107D1A">
        <w:rPr>
          <w:b/>
          <w:bCs/>
          <w:sz w:val="28"/>
          <w:szCs w:val="28"/>
        </w:rPr>
        <w:t xml:space="preserve"> </w:t>
      </w:r>
    </w:p>
    <w:p w:rsidR="007B348F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Растение. Полынь горькая. </w:t>
      </w:r>
    </w:p>
    <w:p w:rsidR="007B348F" w:rsidRPr="00107D1A" w:rsidRDefault="007B348F" w:rsidP="00107D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D1A">
        <w:rPr>
          <w:b/>
          <w:bCs/>
          <w:sz w:val="28"/>
          <w:szCs w:val="28"/>
        </w:rPr>
        <w:t>Семейство. Сложноцветные.</w:t>
      </w:r>
    </w:p>
    <w:p w:rsidR="009943AF" w:rsidRPr="00107D1A" w:rsidRDefault="007B348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Многолетнее травянистое растение, от корневища которого развивается по нескольку стеблей; цветоносные стебли высотой до 1 метра и более, листоносные стебли более короткие, с прикорневыми листьями. Прикорневые листья длинночерешковые, треугольно-округлые, Триждыперисторассеченные на ланцетовидные, цельнокрайние, притупленные дольки. </w:t>
      </w:r>
      <w:r w:rsidR="009943AF" w:rsidRPr="00107D1A">
        <w:rPr>
          <w:sz w:val="28"/>
          <w:szCs w:val="28"/>
        </w:rPr>
        <w:t>Стеблевые листья сидящие,постепенно упрощающиеся от двоякоперисторассеченных внизу стеблей до прицветных лопасных и простых ланцетовидных на верхушке стебля. Все растение серебристо-сероватого цвета от обилия шелковистых волосков. Соцветие – сложная метелка; отдельные корзинки округлые, поникшие, около 5 миллиметров в поперечнике. Цветки желтые, все трубчатые. Цветет в июле – августе.</w:t>
      </w:r>
    </w:p>
    <w:p w:rsidR="009943AF" w:rsidRPr="00107D1A" w:rsidRDefault="009943A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Широко распространенное растение, его нет лишь в Восточной Сибири и на Дальнем Востоке. Обычно встречается как сорняк. </w:t>
      </w:r>
    </w:p>
    <w:p w:rsidR="007B348F" w:rsidRDefault="009943AF" w:rsidP="00107D1A">
      <w:pPr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 xml:space="preserve">Химический состав. Все надземные части растения содержат до 0,5% эфирного масла. Основные компоненты масла – кислородные производные бициклических терпенов α ─ β – туйоны и туйниловый алкоголь – туйол; </w:t>
      </w:r>
      <w:r w:rsidR="000A3722" w:rsidRPr="00107D1A">
        <w:rPr>
          <w:sz w:val="28"/>
          <w:szCs w:val="28"/>
        </w:rPr>
        <w:t>последний в свободном состоянии или в виде эфиров уксусной, изовалериановой и паль митиновой кислот. Из моноциклических терпенов в масле горькой полыкв присутствуют фелландрен, а из бициклических сесквитерпенов — кадинеи. Эфирное масло полыни зелено-синего цвета, что свидетельствует о присутствии в нем азуленов, появляющихся при дистилляции с водяным паром. Трава полыни содержит горькое вещество — абсинтин, в своей структуре имеющее азуленовые циклы. При расщеплении абсинтина образуется артаб-син, который является бисгвайянолидом. В последующем образуется смесь хамазулена, гвайазулена и артемазулена. В траве полыни горькой обнаружены</w:t>
      </w:r>
      <w:r w:rsidRPr="00107D1A">
        <w:rPr>
          <w:sz w:val="28"/>
          <w:szCs w:val="28"/>
        </w:rPr>
        <w:t xml:space="preserve"> </w:t>
      </w:r>
      <w:r w:rsidR="002B4216" w:rsidRPr="00107D1A">
        <w:rPr>
          <w:sz w:val="28"/>
          <w:szCs w:val="28"/>
        </w:rPr>
        <w:t xml:space="preserve">также флавоноиды. </w:t>
      </w:r>
    </w:p>
    <w:p w:rsidR="00107D1A" w:rsidRPr="00107D1A" w:rsidRDefault="00107D1A" w:rsidP="00107D1A">
      <w:pPr>
        <w:spacing w:line="360" w:lineRule="auto"/>
        <w:ind w:firstLine="709"/>
        <w:jc w:val="both"/>
        <w:rPr>
          <w:sz w:val="28"/>
          <w:szCs w:val="28"/>
        </w:rPr>
      </w:pPr>
    </w:p>
    <w:p w:rsidR="009943AF" w:rsidRPr="00107D1A" w:rsidRDefault="001419C8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5pt;margin-top:5.7pt;width:341.25pt;height:127.5pt;z-index:-251656192" wrapcoords="-47 0 -47 21487 21600 21487 21600 0 -47 0">
            <v:imagedata r:id="rId5" o:title=""/>
            <w10:wrap type="tight"/>
          </v:shape>
        </w:pict>
      </w:r>
    </w:p>
    <w:p w:rsidR="002B4216" w:rsidRPr="00107D1A" w:rsidRDefault="002B4216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7D1A" w:rsidRDefault="00107D1A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D1A" w:rsidRDefault="00107D1A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D1A" w:rsidRDefault="00107D1A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D1A" w:rsidRDefault="00107D1A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D1A" w:rsidRDefault="00107D1A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0F14" w:rsidRPr="00107D1A" w:rsidRDefault="002C0F14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Лекарственное сырье. </w:t>
      </w:r>
      <w:r w:rsidRPr="00107D1A">
        <w:rPr>
          <w:sz w:val="28"/>
          <w:szCs w:val="28"/>
        </w:rPr>
        <w:t>Два вида сырья: 1) л и с т ь я, состоящие в основном из прикорневых и развитых стеблевых листьев и небольшого количества коротко оборванных листоносных верхушек; 2) трава, состоящая из верхушек цветоносных и листоносных стеблей, длиной не более 25 см. Запах ароматный, характерный для полыни, особенно сильный при растирании. Вкус пряный, очень горький, показатель горечи 1 :10 000.</w:t>
      </w:r>
    </w:p>
    <w:p w:rsidR="002C0F14" w:rsidRPr="00107D1A" w:rsidRDefault="002C0F14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Сырье легко диагностируется по внешним признакам. Нужно иметь в виду, что в настоящее время для медицинских целей заготавливают также траву полыни обыкновенной, известной под названием чернобыльник (</w:t>
      </w:r>
      <w:r w:rsidRPr="00107D1A">
        <w:rPr>
          <w:sz w:val="28"/>
          <w:szCs w:val="28"/>
          <w:lang w:val="en-US"/>
        </w:rPr>
        <w:t>Artemisia</w:t>
      </w:r>
      <w:r w:rsidRPr="00107D1A">
        <w:rPr>
          <w:sz w:val="28"/>
          <w:szCs w:val="28"/>
        </w:rPr>
        <w:t xml:space="preserve"> </w:t>
      </w:r>
      <w:r w:rsidRPr="00107D1A">
        <w:rPr>
          <w:sz w:val="28"/>
          <w:szCs w:val="28"/>
          <w:lang w:val="en-US"/>
        </w:rPr>
        <w:t>vulgaris</w:t>
      </w:r>
      <w:r w:rsidRPr="00107D1A">
        <w:rPr>
          <w:sz w:val="28"/>
          <w:szCs w:val="28"/>
        </w:rPr>
        <w:t xml:space="preserve"> </w:t>
      </w:r>
      <w:r w:rsidRPr="00107D1A">
        <w:rPr>
          <w:sz w:val="28"/>
          <w:szCs w:val="28"/>
          <w:lang w:val="en-US"/>
        </w:rPr>
        <w:t>L</w:t>
      </w:r>
      <w:r w:rsidRPr="00107D1A">
        <w:rPr>
          <w:sz w:val="28"/>
          <w:szCs w:val="28"/>
        </w:rPr>
        <w:t>.). У этого вида листья перисторассеченные и, что самое главное, с верхней стороны голые, темно-зеленые, а с нижней стороны — с бело-войлочным (не серебристым) опушением. Корзинки не с желтыми, а с красными рубчатыми цветками.</w:t>
      </w:r>
    </w:p>
    <w:p w:rsidR="002B4216" w:rsidRPr="00107D1A" w:rsidRDefault="002C0F14" w:rsidP="00107D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Применение. </w:t>
      </w:r>
      <w:r w:rsidRPr="00107D1A">
        <w:rPr>
          <w:sz w:val="28"/>
          <w:szCs w:val="28"/>
        </w:rPr>
        <w:t>Классическое горько-пряное желудочное средство, возбуждающее аппетит. Применяется также при заболеваниях печени и желчного пузыря. Используется в виде настойки и густого экстракта; является составной частью желудочных капель и таблеток, «аппетитных» и желчо онных сборов, Трава чернобыльника входит в состав микстуры Здренко.</w:t>
      </w:r>
    </w:p>
    <w:p w:rsidR="002C0F14" w:rsidRDefault="002C0F14" w:rsidP="00107D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0F14" w:rsidRPr="00107D1A" w:rsidRDefault="00107D1A" w:rsidP="00107D1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C0F14" w:rsidRPr="00107D1A">
        <w:rPr>
          <w:b/>
          <w:bCs/>
          <w:sz w:val="28"/>
          <w:szCs w:val="28"/>
        </w:rPr>
        <w:t>Диагностические признаки порошков Лекарственного растительного сырья: листья, цвет</w:t>
      </w:r>
      <w:r>
        <w:rPr>
          <w:b/>
          <w:bCs/>
          <w:sz w:val="28"/>
          <w:szCs w:val="28"/>
        </w:rPr>
        <w:t>ки, кора, корни, плоды, семена</w:t>
      </w:r>
    </w:p>
    <w:p w:rsidR="002C0F14" w:rsidRPr="00107D1A" w:rsidRDefault="002C0F14" w:rsidP="00107D1A">
      <w:pPr>
        <w:spacing w:line="360" w:lineRule="auto"/>
        <w:ind w:firstLine="709"/>
        <w:jc w:val="both"/>
        <w:rPr>
          <w:sz w:val="28"/>
          <w:szCs w:val="28"/>
        </w:rPr>
      </w:pPr>
    </w:p>
    <w:p w:rsidR="00D859AF" w:rsidRPr="00107D1A" w:rsidRDefault="00D859AF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Листья. </w:t>
      </w:r>
      <w:r w:rsidRPr="00107D1A">
        <w:rPr>
          <w:sz w:val="28"/>
          <w:szCs w:val="28"/>
        </w:rPr>
        <w:t>Проводят общипывание вручную, с черешком, без черешка или с его частью, в зависимости от вида сырья. Некоторые мелкие листья собирают в виде веточек или целой травы с последующим общипыванием или обмолотом ее после сушки (толокнянка). Сырьем могут быть розеточные листья (у белены, например), в этом случае их срезают ножом, не повреждая корни. У крупных травянистых растений, например у белладонны, собирают только наиболее развитые, крупные листья. Верхушки растения обрезаются в этом случае и используются в виде травы (для производства галеновых препаратов).</w:t>
      </w:r>
    </w:p>
    <w:p w:rsidR="002C0F14" w:rsidRPr="00107D1A" w:rsidRDefault="00D859AF" w:rsidP="00107D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Цветы. </w:t>
      </w:r>
      <w:r w:rsidRPr="00107D1A">
        <w:rPr>
          <w:sz w:val="28"/>
          <w:szCs w:val="28"/>
        </w:rPr>
        <w:t xml:space="preserve">Техника сбора цветочного сырья зависит от того, какого размера цветы, одиночные они или в виде соцветий, какого типа соцветия и т. п. Очевидно, что венчики коровяка следует собирать простым выдергиванием их из цветка, цветы бузины — срезать в виде щитков. Корзинки аптечной ромашки собираются общипыванием с самыми короткими остатками цветоножек или с помощью специальных гребней. Цветы древесных растений (липовый цвет) собирают с приставных лестниц с помощью садовых ножниц, отсекающих цветущие верхушки. Сбор бутонов «семян» цитварной полыни проводят путем скашивания машинами надземных частей с последующим их обмолотом. </w:t>
      </w:r>
    </w:p>
    <w:p w:rsidR="00D859AF" w:rsidRPr="00107D1A" w:rsidRDefault="00D859AF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Плоды и семена. </w:t>
      </w:r>
      <w:r w:rsidRPr="00107D1A">
        <w:rPr>
          <w:sz w:val="28"/>
          <w:szCs w:val="28"/>
        </w:rPr>
        <w:t>Сухие плоды и семена травянистых растений собирают, срезая надземные части серпом. Ягоды снимают вручную с плодоножками (например, земляники) или сразу без них (черника). Такие сочные плоды, как ягоды облепихи или шишкоягоды можжевельника, собирают обколачи-ванием стволов или отряхиванием ветвей растений. Сочные плоды древесных растений (рябина, черемуха) собирают в виде соплодий (соцветий) с помощью приставных лестниц и садовых секачей. Особняком стоит сбор «семян» зонтичных (фенхель, анис, тмин, кориандр); урожай последних снимают с помощью специальных уборочных комбайнов.</w:t>
      </w:r>
    </w:p>
    <w:p w:rsidR="00D859AF" w:rsidRPr="00107D1A" w:rsidRDefault="00D859AF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Корни, корневища, клубни. </w:t>
      </w:r>
      <w:r w:rsidRPr="00107D1A">
        <w:rPr>
          <w:sz w:val="28"/>
          <w:szCs w:val="28"/>
        </w:rPr>
        <w:t>Сбор подземных органов проводят извлечением их из земли лопатами, мотыгами, кирками (ледорубами), вилами. Все зависит от особенностей грунта и условий произрастания собираемого сырья. Так, например, корневища аира легко извлекаются из прибрежного грунта, а корневища крестовника можно извлечь из каменистой горной почвы только с помощью кирок и прочных мотыг. Для некоторых корней сборщики приспосабливают лопаты с зукой и длинной плоскостью из твердой стали. При копке корней, корневищ, клубней надземные части являются ориентирами правильно откапываемого сырья. Надземные части отделяют по мере накопления сырья.</w:t>
      </w:r>
    </w:p>
    <w:p w:rsidR="00D859AF" w:rsidRPr="00107D1A" w:rsidRDefault="00D859AF" w:rsidP="00107D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sz w:val="28"/>
          <w:szCs w:val="28"/>
        </w:rPr>
        <w:t>Особняком стоит заготовка солодкового корня. В местах его произрастания (пойма р. Амударьи и др.) его копают при помощи глубоколемешных плугов на мощной тракторной тяге. Перед выпахиванием надземные части скашивают сенокосилкой. Выкопка корней и корневищ в условиях совхозов также механизирована. Для этой цели используют картофелекопалки или специально приспособленные машины (валерианокопалкии др.)</w:t>
      </w:r>
    </w:p>
    <w:p w:rsidR="00D859AF" w:rsidRPr="00107D1A" w:rsidRDefault="00D859AF" w:rsidP="00107D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D1A">
        <w:rPr>
          <w:b/>
          <w:bCs/>
          <w:sz w:val="28"/>
          <w:szCs w:val="28"/>
        </w:rPr>
        <w:t xml:space="preserve">Кора. </w:t>
      </w:r>
      <w:r w:rsidRPr="00107D1A">
        <w:rPr>
          <w:sz w:val="28"/>
          <w:szCs w:val="28"/>
        </w:rPr>
        <w:t>Собирают в период сокодвижения, когда кора легко отделяется от древесины. Садовым ножом на ветвях, а иногда и на стволах кустарников и деревьев делают полукольцевые и кольцевые поперечные надрезы на расстоянии 20—25 см один от другого. От верхнего надреза проводят 2—3 продольных надреза и образовавшиеся полоски коры оттягивают по направлению к нижнему кольцу, не доводя, однако до него. В таком положении полоски коры оставляют на некоторое время для подвяливания, после чего сдирают.</w:t>
      </w:r>
    </w:p>
    <w:p w:rsidR="00D859AF" w:rsidRPr="00107D1A" w:rsidRDefault="00D859AF" w:rsidP="00107D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59AF" w:rsidRPr="00107D1A" w:rsidRDefault="00107D1A" w:rsidP="00107D1A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D859AF" w:rsidRPr="00107D1A">
        <w:rPr>
          <w:b/>
          <w:bCs/>
          <w:sz w:val="28"/>
          <w:szCs w:val="28"/>
          <w:u w:val="single"/>
        </w:rPr>
        <w:t>Список использованной литературы:</w:t>
      </w:r>
    </w:p>
    <w:p w:rsidR="00D859AF" w:rsidRPr="00107D1A" w:rsidRDefault="00D859AF" w:rsidP="00107D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59AF" w:rsidRPr="00107D1A" w:rsidRDefault="00107D1A" w:rsidP="00107D1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59AF" w:rsidRPr="00107D1A">
        <w:rPr>
          <w:sz w:val="28"/>
          <w:szCs w:val="28"/>
        </w:rPr>
        <w:t>Д.А. Муравьев «Фармакогнозия». М., «Медицина», 1978, 656 с.</w:t>
      </w:r>
    </w:p>
    <w:p w:rsidR="00816D25" w:rsidRPr="00107D1A" w:rsidRDefault="00107D1A" w:rsidP="00107D1A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859AF" w:rsidRPr="00107D1A">
        <w:rPr>
          <w:sz w:val="28"/>
          <w:szCs w:val="28"/>
          <w:lang w:val="uk-UA"/>
        </w:rPr>
        <w:t>Бобкова І.А.Фармакогнозія: Підручник/ І.А.</w:t>
      </w:r>
      <w:r w:rsidR="00816D25" w:rsidRPr="00107D1A">
        <w:rPr>
          <w:sz w:val="28"/>
          <w:szCs w:val="28"/>
          <w:lang w:val="uk-UA"/>
        </w:rPr>
        <w:t xml:space="preserve"> Бобкова, Л.В. Варлахова, М.М. Маньковська. – К.: Медицина, 2006. 440 с.</w:t>
      </w:r>
      <w:bookmarkStart w:id="0" w:name="_GoBack"/>
      <w:bookmarkEnd w:id="0"/>
    </w:p>
    <w:sectPr w:rsidR="00816D25" w:rsidRPr="00107D1A" w:rsidSect="00107D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0DDD"/>
    <w:multiLevelType w:val="hybridMultilevel"/>
    <w:tmpl w:val="2BCA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8657E"/>
    <w:multiLevelType w:val="hybridMultilevel"/>
    <w:tmpl w:val="622A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499"/>
    <w:rsid w:val="0001233F"/>
    <w:rsid w:val="00022499"/>
    <w:rsid w:val="00043CED"/>
    <w:rsid w:val="00082FDA"/>
    <w:rsid w:val="000A3722"/>
    <w:rsid w:val="000A46E2"/>
    <w:rsid w:val="000E1CA7"/>
    <w:rsid w:val="000F3D62"/>
    <w:rsid w:val="0010053D"/>
    <w:rsid w:val="0010409C"/>
    <w:rsid w:val="00107D1A"/>
    <w:rsid w:val="00110BAC"/>
    <w:rsid w:val="001419C8"/>
    <w:rsid w:val="00157F42"/>
    <w:rsid w:val="00165B53"/>
    <w:rsid w:val="00166F3C"/>
    <w:rsid w:val="001C46B8"/>
    <w:rsid w:val="001D6442"/>
    <w:rsid w:val="0026461D"/>
    <w:rsid w:val="00293491"/>
    <w:rsid w:val="002A45C1"/>
    <w:rsid w:val="002B29E6"/>
    <w:rsid w:val="002B4216"/>
    <w:rsid w:val="002C0F14"/>
    <w:rsid w:val="002F48FF"/>
    <w:rsid w:val="003429BB"/>
    <w:rsid w:val="003B7440"/>
    <w:rsid w:val="00401FA4"/>
    <w:rsid w:val="004205B6"/>
    <w:rsid w:val="0047129A"/>
    <w:rsid w:val="0048191F"/>
    <w:rsid w:val="004834B8"/>
    <w:rsid w:val="004951D9"/>
    <w:rsid w:val="004A1CF2"/>
    <w:rsid w:val="004B2BED"/>
    <w:rsid w:val="004C2E94"/>
    <w:rsid w:val="0051678B"/>
    <w:rsid w:val="0056452F"/>
    <w:rsid w:val="00587D0B"/>
    <w:rsid w:val="005A5BC2"/>
    <w:rsid w:val="005D524A"/>
    <w:rsid w:val="005E11FC"/>
    <w:rsid w:val="00655A6C"/>
    <w:rsid w:val="006768BC"/>
    <w:rsid w:val="006D216C"/>
    <w:rsid w:val="00700386"/>
    <w:rsid w:val="00752559"/>
    <w:rsid w:val="007534E3"/>
    <w:rsid w:val="007A1CF6"/>
    <w:rsid w:val="007B348F"/>
    <w:rsid w:val="0081387B"/>
    <w:rsid w:val="00816D25"/>
    <w:rsid w:val="008243FA"/>
    <w:rsid w:val="00870562"/>
    <w:rsid w:val="00882E60"/>
    <w:rsid w:val="008C08B7"/>
    <w:rsid w:val="00927AC5"/>
    <w:rsid w:val="00944F4B"/>
    <w:rsid w:val="00955402"/>
    <w:rsid w:val="00967A70"/>
    <w:rsid w:val="00967D0B"/>
    <w:rsid w:val="00986002"/>
    <w:rsid w:val="009943AF"/>
    <w:rsid w:val="009C5FC6"/>
    <w:rsid w:val="009D1B50"/>
    <w:rsid w:val="00A3675F"/>
    <w:rsid w:val="00A85ED6"/>
    <w:rsid w:val="00AD47C8"/>
    <w:rsid w:val="00AD4F5F"/>
    <w:rsid w:val="00AF56F4"/>
    <w:rsid w:val="00B039A5"/>
    <w:rsid w:val="00B13CD3"/>
    <w:rsid w:val="00B13DB1"/>
    <w:rsid w:val="00B219FA"/>
    <w:rsid w:val="00B401CE"/>
    <w:rsid w:val="00B60B36"/>
    <w:rsid w:val="00B8264F"/>
    <w:rsid w:val="00B961C7"/>
    <w:rsid w:val="00C06A24"/>
    <w:rsid w:val="00C90DF3"/>
    <w:rsid w:val="00CB6411"/>
    <w:rsid w:val="00CC7729"/>
    <w:rsid w:val="00D17AE4"/>
    <w:rsid w:val="00D2010F"/>
    <w:rsid w:val="00D21BA8"/>
    <w:rsid w:val="00D32270"/>
    <w:rsid w:val="00D6191A"/>
    <w:rsid w:val="00D64438"/>
    <w:rsid w:val="00D859AF"/>
    <w:rsid w:val="00DA4362"/>
    <w:rsid w:val="00DE7DFD"/>
    <w:rsid w:val="00DF276E"/>
    <w:rsid w:val="00E22F7A"/>
    <w:rsid w:val="00E32C0D"/>
    <w:rsid w:val="00E62A6A"/>
    <w:rsid w:val="00E830B3"/>
    <w:rsid w:val="00EA0EA2"/>
    <w:rsid w:val="00F05AF3"/>
    <w:rsid w:val="00F30BD1"/>
    <w:rsid w:val="00F319BF"/>
    <w:rsid w:val="00F3491D"/>
    <w:rsid w:val="00FA659F"/>
    <w:rsid w:val="00FB263D"/>
    <w:rsid w:val="00FB3BC3"/>
    <w:rsid w:val="00FC5FC9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911D712-F960-4B86-B5E5-A518848E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</vt:lpstr>
    </vt:vector>
  </TitlesOfParts>
  <Company>Microsoft</Company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</dc:title>
  <dc:subject/>
  <dc:creator>Андрей</dc:creator>
  <cp:keywords/>
  <dc:description/>
  <cp:lastModifiedBy>admin</cp:lastModifiedBy>
  <cp:revision>2</cp:revision>
  <dcterms:created xsi:type="dcterms:W3CDTF">2014-02-25T10:43:00Z</dcterms:created>
  <dcterms:modified xsi:type="dcterms:W3CDTF">2014-02-25T10:43:00Z</dcterms:modified>
</cp:coreProperties>
</file>