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1. Финансирование отраслей материального производства.</w:t>
      </w:r>
      <w:r w:rsidR="00B341AB" w:rsidRPr="00B341AB">
        <w:rPr>
          <w:sz w:val="28"/>
          <w:szCs w:val="28"/>
        </w:rPr>
        <w:t xml:space="preserve"> Особенности финансирования ЖКХ</w:t>
      </w:r>
    </w:p>
    <w:p w:rsidR="00B341AB" w:rsidRPr="00B341AB" w:rsidRDefault="00B341AB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  <w:u w:val="single"/>
        </w:rPr>
        <w:t>Финансы предприятий</w:t>
      </w:r>
      <w:r w:rsidRPr="00B341AB">
        <w:rPr>
          <w:sz w:val="28"/>
          <w:szCs w:val="28"/>
        </w:rPr>
        <w:t xml:space="preserve"> — исходное звено всей финансовой системы государства, поскольку именно в сфере материального производства создаются валовой внутренний продукт общества, первичные денежные накопления, поступающие в порядке перераспределения в централизованные фонды денежных средств и обеспечивающие основную часть доходов бюджетной системы.</w:t>
      </w:r>
    </w:p>
    <w:p w:rsidR="00B341AB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Финансирование развития предприятий сферы материального производства осуществляется за счет собственных средств (в основном — прибыли и амортизации), привлеченных средств из банковской сферы и финансового рынка, ассигнований из бюджета и внебюджетных фондов.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За последние годы в структуре источников финансирования предприятий возросла доля собственных источников при значительном сокращении ассигнований из бюджета. В условиях рыночной экономики финансы предприятий основываются в основном на принципах бюджетного федерализма и самофинансирования. Это предопределяет организацию взаимоотношений предприятий с бюджетной системой по принципу бюджета-нетто.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В соответствии с действующей бюджетной классификацией в состав расходов включаются расходы на материальное производство, жилищно-коммунальное хозяйство и бытовое обслуживание населения.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В последние годы основной объем бюджетных ресурсов направляется на финансирование капитальных вложений в государственном секторе экономики и выдачу предприятиям разного вида дотаций.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Сокращение объема бюджетного финансирования затрат в сфере материального производства связывается со следующими причинами: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1) постепенным прекращением дотирования предприятий в связи с введением полной имущественной ответственности субъектов хозяйствования за выполнение взятых обязательств перед партнерами и государством;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2) сокращением участия государства в производственных инвестициях за счет уменьшения централизованных капитальных вложений и приватизации предприятий;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3) отменой прежних дотаций на возмещение разницы в ценах по большинству продовольственных и промышленных товаров;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4) жесткой экономией в расходовании бюджетных средств, достигаемой не только исключением из состава расходов любых затрат, непосредственно не связанных со стабилизацией экономики и созданием условий для ее развития, но и контролем за рациональным использованием выделенных бюджетных ассигнований.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С переходом на рыночные отношения система расходования бюджетных средств претерпела существенные изменения. Бюджетные ассигнования призваны обеспечивать решение наиболее крупных и важных государственных задач: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финансирование приоритетных мероприятий, связанных с развитием ключевых отраслей экономики, способных наладить производство высокотехнологичной продукции и сделать ее конкурентоспособной на мировом рынке, среди которых авиастроение, производства, обеспечивающие функционирование космических программ, атомная промышленность, энергомашиностроение и др.;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сохранение научно-технической и кадровой базы российского ВПК, создание экономических условий для совершенствования технологий военного и двойного назначения, позволяющих увеличить на этой основе экспортный потенциал страны;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поддержка реализации высокоэффективных и быстроокупаемых инвестиционных проектов, оказываемая как путем выделения бюджетных средств, так и путем предоставления государственных гарантий для этих проектов;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сосредоточение инвестиционных расходов на вводимых объектах и объектах с высокой степенью готовности при одновременной реализации объектов незавершенного строительства;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оказание поддержки агропромышленного комплекса на базе рыночных механизмов в целях обеспечения его устойчивой работы, направленной на сохранение плодородия почв, преодоление спада сельскохозяйственного производства;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создание финансовых возможностей для совершенствования производственной и социально-бытовой инфраструктуры.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Сокращение бюджетных ассигновании сопровождалось и снижением объемов промышленного производства, ростом числа убыточных предприятий. К основным причинам кризисного положения можно отнести: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1) изъятие капитала предприятий через рынок государственных и муниципальных облигаций;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2) высокие темпы инфляции издержек, которые привели к обесценению оборотного капитала, росту взаимных неплатежей и расширению сферы бартера;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3) недоступность кредитных ресурсов для многих промышленных предприятий из-за высоких процентных ставок, превышающих рентабельность вложений.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Предприятия производственной сферы, являясь главной финансовой базой формирования бюджетных доходов, всегда находились в центре исследований российских ученых-финансистов.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Основная слабость государственной инвестиционной политики в настоящее время обусловлена незащищенностью расходов бюджета на инвестиционные цели. Финансирование этих расходов в силу ряда причин проводилось по остаточному принципу, следствием чего стала нарастающая из года в год кредиторская задолженность в инвестиционной сфере, а объем реально осуществляемых инвестиций в производственную сферу постоянно сокращался. Сложившаяся ситуация усугубляется тем, что правительство не смогло обеспечить своевременное финансирование даже быстроокупаемых инвестиционных проектов. Однако опыт последних лет свидетельствует, что в настоящее время складываются объективные предпосылки для выхода из инвестиционного тупика.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Внедрение бюджета развития — один из тех шагов, который позволит сдвинуть инвестиционный механизм с мертвой точки.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Считается, что при правильной организации управления бюджетом развития возможна дополнительная десятикратная мобилизация средств частных инвесторов для финансирования приоритетных проектов в реальном секторе экономики. К приоритетным направлениям промышленной политики относятся нефтедобывающая, газовая, нефтеперерабатывающая отрасли, деревообработка, добыча и переработка алмазов, машиностроительные производства, обеспечивающие выпуск машин и оборудования, необходимых для этих отраслей, авиастроение и ряд других.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Учитывая приоритетное финансирование в настоящее время социальных расходов, не имеющих альтернативных источников финансирования, примерно 60—65% средств инвестиционной программы направляется на государственную поддержку социальной сферы и 35—40% — на развитие производственной сферы. Это позволит в социальной сфере: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снять остроту жилищной проблемы и в первую очередь для бесквартирных кадровых и уволенных в запас военнослужащих;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улучшить напряженную социально-экономическую ситуацию в радиоактивных загрязненных районах;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оказывать государственную поддержку фундаментальной науке в части сохранения и развития производственной базы;</w:t>
      </w:r>
    </w:p>
    <w:p w:rsidR="007F7B73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продолжать строительство важнейших объектов коммунального хозяйства, включая метрополитены, крупные мосты и мостовые переходы.</w:t>
      </w:r>
    </w:p>
    <w:p w:rsidR="002C3431" w:rsidRPr="00B341AB" w:rsidRDefault="002C3431" w:rsidP="00B341AB">
      <w:pPr>
        <w:pStyle w:val="3-"/>
        <w:keepNext w:val="0"/>
        <w:widowControl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bookmarkStart w:id="0" w:name="_Toc521629198"/>
      <w:r w:rsidRPr="00B341AB">
        <w:rPr>
          <w:b w:val="0"/>
          <w:sz w:val="28"/>
          <w:szCs w:val="28"/>
        </w:rPr>
        <w:t>Жилищно-коммунальное хозяйство – важнейшая отрасль жизнеобеспечения человека</w:t>
      </w:r>
      <w:bookmarkEnd w:id="0"/>
      <w:r w:rsidR="007F7B73" w:rsidRPr="00B341AB">
        <w:rPr>
          <w:b w:val="0"/>
          <w:sz w:val="28"/>
          <w:szCs w:val="28"/>
        </w:rPr>
        <w:t>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В современном урбанизированном обществе одной из важнейших отраслей деятельности человека является жилищно-коммунальное хозяйство (ЖКХ). Город стал основным местом обитания людей. В России в городах и поселках городского типа проживает 73% населения страны. Человек в современном городе должен быть обеспечен жильем, водой, канализацией, теплом, городским транспортом и т.д.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Современное производство также невозможно без обеспечения его услугами ЖКХ, предприятия которого не только создают условия жизни работнику и доставляют его к месту труда, но и поставляют промышленным и строительным предприятиям воду, газ, тепло, электроэнергию, участвуя тем самым в процессе производства.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Нельзя представить функционирование города, нормальную жизнедеятельность населения без городского благоустройства (дорог, освещения, озеленения, очистки территории и вывоза мусора). Следовательно, услуги ЖКХ — важный фактор развития материального производства и воспроизводства рабочей силы.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Являясь важной частью народного хозяйства страны, эта отрасль требует выделения на свое содержание и развитие значительного объема финансовых ресурсов. Отрасль имеет двусторонние отношение с бюджетом, которые складывались в пользу отрасли. Она получает средств из бюджета больше, чем вносит в него.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Как отрасль ЖКХ включает ряд подотраслей: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жилищное хозяйство;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</w:t>
      </w:r>
      <w:r w:rsidRPr="00B341AB">
        <w:rPr>
          <w:sz w:val="28"/>
          <w:szCs w:val="28"/>
        </w:rPr>
        <w:tab/>
        <w:t>водопроводно-канализационное хозяйство;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</w:t>
      </w:r>
      <w:r w:rsidRPr="00B341AB">
        <w:rPr>
          <w:sz w:val="28"/>
          <w:szCs w:val="28"/>
        </w:rPr>
        <w:tab/>
        <w:t>топливно-энергетическое хозяйство;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</w:t>
      </w:r>
      <w:r w:rsidRPr="00B341AB">
        <w:rPr>
          <w:sz w:val="28"/>
          <w:szCs w:val="28"/>
        </w:rPr>
        <w:tab/>
        <w:t>городской пассажирский транспорт;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</w:t>
      </w:r>
      <w:r w:rsidRPr="00B341AB">
        <w:rPr>
          <w:sz w:val="28"/>
          <w:szCs w:val="28"/>
        </w:rPr>
        <w:tab/>
        <w:t>гостиницы;</w:t>
      </w:r>
    </w:p>
    <w:p w:rsidR="00B341AB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</w:t>
      </w:r>
      <w:r w:rsidRPr="00B341AB">
        <w:rPr>
          <w:sz w:val="28"/>
          <w:szCs w:val="28"/>
        </w:rPr>
        <w:tab/>
        <w:t>благоустройство населенных мест.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Источниками финансирования расходов на содержание и развитие ЖКХ являются: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</w:t>
      </w:r>
      <w:r w:rsidRPr="00B341AB">
        <w:rPr>
          <w:sz w:val="28"/>
          <w:szCs w:val="28"/>
        </w:rPr>
        <w:tab/>
        <w:t>бюджетные средства;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</w:t>
      </w:r>
      <w:r w:rsidRPr="00B341AB">
        <w:rPr>
          <w:sz w:val="28"/>
          <w:szCs w:val="28"/>
        </w:rPr>
        <w:tab/>
        <w:t>средства, получаемые жилищно-коммунальными предприятиями за реализацию своих услуг и продукции юридическим и физическим лицам;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</w:t>
      </w:r>
      <w:r w:rsidRPr="00B341AB">
        <w:rPr>
          <w:sz w:val="28"/>
          <w:szCs w:val="28"/>
        </w:rPr>
        <w:tab/>
        <w:t>средства предприятий на содержание принадлежащих им жилищно-коммунальных объектов.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2000 г"/>
        </w:smartTagPr>
        <w:r w:rsidR="00A301DB" w:rsidRPr="00B341AB">
          <w:rPr>
            <w:sz w:val="28"/>
            <w:szCs w:val="28"/>
          </w:rPr>
          <w:t>2000</w:t>
        </w:r>
        <w:r w:rsidRPr="00B341AB">
          <w:rPr>
            <w:sz w:val="28"/>
            <w:szCs w:val="28"/>
          </w:rPr>
          <w:t xml:space="preserve"> г</w:t>
        </w:r>
      </w:smartTag>
      <w:r w:rsidRPr="00B341AB">
        <w:rPr>
          <w:sz w:val="28"/>
          <w:szCs w:val="28"/>
        </w:rPr>
        <w:t>. в ведомственном подчинении находилось примерно 60% жилой площади, свыше 30% протяженности газовых сетей и около 30% мощностей водопроводно-канализационных предприятий. Доля средств предприятий в финансировании жилищного хозяйства составляла более 75%, а коммунального хозяйства — около 25%. В связи с переходом на рыночные отношения предприятия из-за отсутствия у них необходимых финансовых ресурсов стали отказываться от своих жилищно-коммунальных объектов и передавать их в подчинение местным органам власти, т. е. на бюджетное финансирование.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До проведения реформы ЖКХ наибольшая часть финансовых ресурсов, необходимых для содержания и развития этой отрасли, поступала из бюджета.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В консолидированном бюджете России расходы на ЖКХ составляют примерно 14% общих расходов. При этом ассигнования на ЖКХ почти полностью выделяются из территориальных бюджетов. Из общей суммы средств, направляемых на финансирование ЖКХ, 35% приходится на региональные бюджеты и 65% — на местные бюджеты.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В связи с тем, что почти все бюджетные расходы на ЖКХ финансируются из территориальных бюджетов, доля этих затрат в общем объеме расходов территориальных бюджетов довольно высока — 26%, в том числе в региональных бюджетах — 22%, в местных — 29%.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Роль бюджетных средств в финансировании отдельных подотраслей ЖКХ неодинакова. Полностью за счет бюджетных ассигнований финансируются дорожное хозяйство, озеленение, освещение и уборка территорий населенных мест. Водопроводно-канализационное хозяйство получает лишь средства бюджета на капитальные вложения. Городской пассажирский транспорт, жилищное хозяйство и теплоэнергетика для отопления жилых домов требуют выделения бюджетных дотаций.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Услуги ЖКХ являются одним из элементов жизненных средств для населения. Если повысить тарифы на эти услуги, то возрастут затр</w:t>
      </w:r>
      <w:r w:rsidR="00CA18AC">
        <w:rPr>
          <w:sz w:val="28"/>
          <w:szCs w:val="28"/>
        </w:rPr>
        <w:t>аты потребителей этих услуг, т.</w:t>
      </w:r>
      <w:r w:rsidRPr="00B341AB">
        <w:rPr>
          <w:sz w:val="28"/>
          <w:szCs w:val="28"/>
        </w:rPr>
        <w:t>е. населения. Это увеличение должно возмещаться либо за счет повышения заработной платы, либо за счет ассигнований из централизованного фонда финансовых ресурсов — бюджета в виде дотаций предприятиям и организациям, оказывающим услуги населению, либо населению. В практике применяются все способы.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Выделение дотаций ЖКХ следует рассматривать как один из способов возмещения предприятиям их затрат живого и овеществленного труда, а работникам — затрат на воспроизводство рабочей силы. Вместе с тем следует признать, что дотационность производства и реализации ряда видов продукции, товаров и услуг негативно отражается на развитии коммерческого расчета, не способствует усилению интенсивных методов хозяйствования, повышению заинтересованности в более экономном использовании материальных и финансовых ресурсов.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В условиях рыночных отношений проблема дотаций становится еще более актуальной.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Главной задачей в экономике ЖКХ является улучшение экономической работы в этой отрасли с целью повышения эффективности использования средств, выделяемых на ее развитие и содержание, а также снижение темпов роста эксплуатационных затрат. Важнейшим направлением поиска путей более эффективного использования затрат на жилищно-коммунальное хозяйство и снижение темпов роста затрат является концентрация предприятий этой отрасли в ведении местных органов власти. Это в свою очередь позволит шире вести работы по специализации предприятий и интенсификации производства, снижению себестоимости оказываемых ими услуг.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Реальными действиями в этом направлении станет проводимая в нашей стране реформа в ЖКХ, которая предполагает реализацию мер, направленных на повышение эффективности использования средств на содержание жилищно-коммунальных предприятий: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1) переход к самофинансированию предприятий ЖСК путем прекращения бюджетных ассигнований на предоставление им дотаций, а также перекрестного субсидирования потребителей;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2) увеличение тарифов на жилищно-коммунальные услуги для населения до экономически обоснованного уровня, определяемого в основном в результате конкурсного отбора организаций, предоставляющих эти услуги.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Жилищное хозяйство — одна из важнейших отраслей социально-бытовой инфраструктуры. Рост народного благосостояния тесно связан с улучшением жилищных условий.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Принимаемые за последние десятилетия меры по решению жилищной проблемы привели к значительному возрастанию жилищного фонда городов. Улучшилось инженерное оборудование домов и оснащение их водопроводом, канализацией, газом, лифтом, мусоропроводом и т. д. Жилищный фонд стал главным общественным богатством городов, удельный вес его в общем объеме основных фондов, подведомственных городским самоуправлениям, составляет 70—80%.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Бюджетные средства в жилищное хозяйство направляются только из территориальных бюджетов, в том числе около 30% — из региональных бюджетов и 70% — из местных.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В общем объеме территориальных бюджетов расходы на содержание жилищного хозяйства составляют 16%, в том числе в региональных бюджетах — 11%, в местных — 19%. Наблюдается рост этих расходов. Он обусловлен не только увеличением самого жилого фонда, но и повышением качества строений, их технической оснащенности, заработной платы работников. С ростом этажности, технической оснащенности домов возрастают расходы. Так, затраты на содержание девяти- и шестнадцатиэтажных домов выше, чем затраты на пятиэтажные дома, соответственно на 18 и 23%. С увеличением объема крупнопанельного домостроения возрастают расходы на капитальный и текущий ремонт. В таких домах эти расходы превышают восстановительную стоимость в 2,5 раза, из них 30% приходится на текущий ремонт.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Таким образом, в перспективе с развитием в городах многоэтажного и крупнопанельного строительства расходы на содержание жилищного фонда будут возрастать. Все это свидетельствует о необходимости серьезного подхода к вопросам эффективного использования финансовых ресурсов, направляемых на содержание и ремонт жилых домов. Главной задачей при этом должно быть изыскание путей снижения темпов роста расходов и сокращение их.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В затратах на содержание жилых строений значительную часть занимают расходы на оплату труда, которые составляют более 30%. Причинами высокого уровня заработной платы в эксплуатационных расходах в жилищном хозяйстве являются слабая механизация работ, отсутствие автоматизации инженерных систем в домах, широкое применение ручного труда.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Снижение роста расходов на содержание жилищного фонда в значительной степени зависит от улучшения организации его эксплуатации. Расширение объемов жилищного строительства, увеличение технической оснащенности домов, повышение требовательности к качеству услуг, оказываемых жилищным хозяйством, привели к тому, что существующая система организации эксплуатации жилищного фонда, при которой все основные работы по его содержанию осуществляются силами домохозяйств с их низкой материально-технической базой и производительностью труда, тормозит развитие коммерческого расчета в этой отрасли и дает значительные экономические потери.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Коммунальное хозяйство призвано обеспечить жителей населенных мест водой, теплом, дорогами, транспортом и т. д. Расходы на оплату услуг, производимых коммунальными предприятиями, осуществляются за счет средств территориальных бюджетов, средств юридических и физических лиц.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Водопроводно-канализационное хозяйство. Проблема обеспечения населенных мест водой и очистки сточных жидкостей имеет важное значение для развития городов, особенно в густонаселенных и промышленных районах.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Водообеспечение, отвод и очистка сточных вод являются жизненно необходимыми с точки зрения как благоустройства жилых районов, дальнейшего развития промышленности, так и охраны окружающей среды. Наличие водных источников и средств подачи воды позволяет развивать промышленное производство и связанное с ним жилищно-коммунальное строительство. В то же время централизованное водоснабжение с достаточно налаженной технологией обработки воды дает возможность не только контролировать ее качество, но и искусственно обогащать питьевую воду необходимыми для здоровья населения микроэлементами. Строительство водоотводных и очистных сооружений позволяет сохранять экологическое равновесие окружающий среды, беречь водные ресурсы страны.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Городской пассажирский транспорт становится одним из главных средств осуществления производственных и социальных связей в городских системах, фактором экономии времени населения.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В выполнении возлагаемых на транспорт функций главная роль отводится общественному пассажирскому транспорту. По сравнению с индивидуальным транспортом он обеспечивает большую экономическую эффективность, безопасность, экономнее использует дорожное пространство.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Развитие транспорта еще значительно отстает от растущих потребностей в его услугах.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С увеличением территорий городов возросла дальность поездок их жителей. Увеличиваются затраты времени на передвижение в городах. Еще недостаточна насыщенность территорий городов линиями общественного транспорта и значительны интервалы движения машин. Отсутствие нужного количества подвижного состава является причиной его переполнения.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Наиболее значимым компонентом дотаций, предоставляемых из территориальных бюджетов отраслям социальной сферы, являются дотации на жилищно-коммунальное хозяйство (ЖКХ), включающие дотации на квартирную плату и жилищно-коммунальные услуги. Как показывает анализ, на увеличение дотаций ЖКХ в этот период оказали влияние два основных фактора.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1) предприятия из-за резкого уменьшения государственного финансирования и падения спроса на свою продукцию сокращали расходы на эти цели. В результате расширялась сфера ответственности местных бюджетов за дотирование ЖКХ,</w:t>
      </w:r>
    </w:p>
    <w:p w:rsidR="002C3431" w:rsidRPr="00B341AB" w:rsidRDefault="002C3431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2) рост цен на энергоносители о</w:t>
      </w:r>
      <w:r w:rsidR="00A301DB" w:rsidRPr="00B341AB">
        <w:rPr>
          <w:sz w:val="28"/>
          <w:szCs w:val="28"/>
        </w:rPr>
        <w:t xml:space="preserve">пережал общий уровень инфляции. </w:t>
      </w:r>
      <w:r w:rsidRPr="00B341AB">
        <w:rPr>
          <w:sz w:val="28"/>
          <w:szCs w:val="28"/>
        </w:rPr>
        <w:t>Соответственно такое опережение, по-видимому, лишь отчасти могло быть компенсировано за счет установления льготных тарифов населению и перераспределения этих расходов на предприятия.</w:t>
      </w:r>
    </w:p>
    <w:p w:rsidR="00B341AB" w:rsidRPr="00B341AB" w:rsidRDefault="00B341AB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</w:p>
    <w:p w:rsidR="000E15AF" w:rsidRPr="00B341AB" w:rsidRDefault="000E15AF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2. Бюджетный контроль. Парламентс</w:t>
      </w:r>
      <w:r w:rsidR="00B341AB" w:rsidRPr="00B341AB">
        <w:rPr>
          <w:sz w:val="28"/>
          <w:szCs w:val="28"/>
        </w:rPr>
        <w:t>кий и административный контроль</w:t>
      </w:r>
    </w:p>
    <w:p w:rsidR="00B341AB" w:rsidRPr="00B341AB" w:rsidRDefault="00B341AB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</w:p>
    <w:p w:rsidR="00F96D70" w:rsidRPr="00B341AB" w:rsidRDefault="00F96D70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341AB">
        <w:rPr>
          <w:sz w:val="28"/>
          <w:szCs w:val="28"/>
        </w:rPr>
        <w:t>БЮДЖЕТНЫЙ КОНТРОЛЬ - важнейшая часть государственного финансового контроля, осуществляемого в бюджетном процессе; главной целью является контроль за соблюдением бюджетного законодательства всеми участниками бюджетных отношений. В Бюджетном кодексе определены по времени проведения три формы бюджетного контроля, осуществляемого законодательными (представительными) органами государственной власти и органами местного самоуправления: предварительный, текущий и последующий.</w:t>
      </w:r>
    </w:p>
    <w:p w:rsidR="00F96D70" w:rsidRPr="00B341AB" w:rsidRDefault="00F96D70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341AB">
        <w:rPr>
          <w:sz w:val="28"/>
          <w:szCs w:val="28"/>
        </w:rPr>
        <w:t>Предварительный контроль осуществляется в ходе обсуждения и утверждения проектов законов (решений) о бюджете и иных проектов законов (решений) по бюджетно-финансовым вопросам; текущий - в ходе рассмотрения отдельных вопросов исполнения бюджетов на заседаниях комитетов, комиссий, рабочих групп законодательных (представительных) органов государственных органов, органов местного самоуправления в ходе слушаний и в связи с депутатскими запросами; последующий - в ходе рассмотрения и утверждения отчетов об исполнении бюджетов. Последующий контроль проводится по окончании отчетного периода или финансового года с целью проверки количественно-качественных (по каждому виду доходов и расходов) показателей исполнения бюджетов разных уровней.</w:t>
      </w:r>
    </w:p>
    <w:p w:rsidR="00F96D70" w:rsidRPr="00B341AB" w:rsidRDefault="00F96D70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341AB">
        <w:rPr>
          <w:sz w:val="28"/>
          <w:szCs w:val="28"/>
        </w:rPr>
        <w:t>Субъектами осуществления бюджетного контроля являются: Министерство финансов РФ, Федеральное казначейство; финансовые органы субъектов Федерации и муниципальных образований, главных распорядителей и распорядителей бюджетных средств. Федеральное казначейство осуществляет предварительный и текущий контроль за ведением операций с бюджетными средствами главных распорядителей, распорядителей в получателей бюджетных средств, кредитных организаций и других участников бюджетного процесса по исполняемым бюджетам и бюджетам внебюджетных фондов. Министерство финансов осуществляет внутренний контроль за использованием бюджетных средств главными распорядителями, распорядителями и получателями бюджетных средств (бюджетополучателями), за соблюдением общих и специал</w:t>
      </w:r>
      <w:r w:rsidR="00F104E6">
        <w:rPr>
          <w:sz w:val="28"/>
          <w:szCs w:val="28"/>
        </w:rPr>
        <w:t>ьных принципов бюджетного и бюд</w:t>
      </w:r>
      <w:r w:rsidRPr="00B341AB">
        <w:rPr>
          <w:sz w:val="28"/>
          <w:szCs w:val="28"/>
        </w:rPr>
        <w:t>жетно-сметного финансирования. В некоторых случаях, специально оговоренных в Бюджетном кодексе, Министерство финансов осуществляет контроль за исполнением бюджетов субъектов Федерации и местных бюджетов (например при предоставлении финансовой помощи субъекту Федерации или местному бюджету). Министерство финансов также организует контроль и проверки юридических лиц - получателей гарантий Правительства РФ, бюджетных кредитов, бюджетных ссуд и бюджетных инвестиций. Аналогичные контрольные функции возложены на финансовые органы субъектов РФ и муниципальных образований. Главные распорядители и распорядители бюджетных средств осуществляют финансовый контроль за использованием бюджетных средств в части их целевого обеспечения и своевременного возврата, а также предоставления отчетности и внесения платы за пользование бюджетными средствами; проводят проверки подведомственных государственных и муниципальных предприятий и бюджетных учреждений.</w:t>
      </w:r>
    </w:p>
    <w:p w:rsidR="00F96D70" w:rsidRPr="00B341AB" w:rsidRDefault="00F96D70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Особое значение имеет осуществление бюджетного контроля в процессе подготовки и рассмотрения отчета об исполнении бюджета. При выявлении фактов нарушения бюджетного законодательства (несоответствия бюджета утвержденному закону о бюджете, неведении режима сокращения и блокировки расходов) соответствующий представительный орган вправе отклонить отчет об исполнении бюджета и обратиться в органы прокуратуры РФ для проверки обстоятельств, приведших к нарушениям, и привлечении к ответственности виновных должностных лиц.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Две формы контроля за исполнением бюджета. В Российской Федерации контроль за исполнением бюджета имеет две формы — парламентский и административный.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Парламентский контроль осуществляется соответствующими представительными органами. Он предполагает: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право соответствующих представительных органов власти на получение от органов исполнительной власти необходимых сопроводительных материалов при утверждении бюджета;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право соответствующих представительных органов власти на получение от органов, исполняющих бюджеты, оперативной информации об исполнении бюджета;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право соответствующих представительных органов власти на утверждение (неутверждение) отчета об исполнении бюджета;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право создавать собственные контрольно-счетные органы (Счетную палату Российской Федерации, контрольно-счетные палаты представительных органов власти субъектов Российской Федерации и местного самоуправления), для проведения внешнего аудита бюджетов;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право вынесения оценки деятельности исполнительных органов по исполнению бюджетов.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Административный контроль осуществляется Министерством финансов Российской Федерации, Казначейством Российской Федерации, финансовыми органами субъектов Российской Федерации и местного самоуправления, главными распорядителями бюджетных средств, главными бухгалтерами бюджетных учреждений.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Административный контроль предполагает: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право проведения проверок главных распорядителей и получателей бюджетных средств;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право получения информации, необходимой для контроля за соблюдением бюджетного законодательства;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право требовать устранения выявленных нарушений бюджетного законодательства;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право давать обязательные для исполнения указания по устранению выявленных нарушений бюджетного законодательства, оформлять документы, являющиеся основанием для наложения мер ответственности.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1) Казначейство Российской Федерации осуществляет контроль за операциями с бюджетными средствами главных распорядителей бюджетных средств, распорядителей бюджетных средств, бюджетополучателей, уполномоченных банков, других участников бюджетного процесса.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2) Министерство финансов Российской Федерации осуществляет внутренний аудит главных распорядителей бюджетов, распорядителей бюджетов, бюджетополучателей. Оно может также осуществлять аудит бюджетов субъектов Российской Федерации и местных бюджетов в части средств, получаемых ими из федерального бюджета.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3) Министерство финансов Российской Федерации организует финансовый контроль и аудит юридических лиц — получателей гарантий Правительства Российской Федерации, бюджетных кредитов, бюджетных ссуд и инвестиций.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4) Финансовые органы субъектов Российской Федерации и местного самоуправления осуществляют контроль за операциями с бюджетными средствами главных распорядителей бюджетных средств, распорядителей бюджетных средств, бюджетополучателей, уполномоченных банков, других участников бюджетного процесса.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5) Главные распорядители бюджетных средств осуществляют контроль за бюджетополучателями в части обеспечения целевого использования бюджетных средств, своевременного их возврата и предоставления отчетности. Главные распорядители бюджетных средств проводят аудит казенных предприятий.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6) Контроль за исполнением федерального бюджета осуществляют Совет Федерации и Государственная Дума Федерального Собрания Российской Федерации. Для этих целей создана Счетная Палата Российской Федерации. По указанию Совета Федерации и Государственной Думы она проводит в министерствах, ведомствах, учреждениях и на предприятиях проверки вопросов, связанных с формированием и исполнением доходной части федерального бюджета и использованием бюджетных средств. В Совет Федерации и Государственную Думу ею ежеквартально представляются отчеты о ходе исполнения федерального бюджета и дается ежегодное заключение по отчету Правительства РФ об исполнении бюджета.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Заключение Счетной Палаты по отчету Правительства Российской Федерации об исполнении федерального бюджета включает: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заключение по каждому разделу и подразделу функциональной классификации и главному распорядителю бюджетных средств о том, сколько средств из кассовых расходов использовано по целевому назначению, а также указание случаев нецелевого использования бюджетных средств с выявлением руководителей органов государственной власти или бюджетополучателей, принявших решение о нецелевом использовании бюджетных средств, и должностных лиц Казначейства Российской Федерации, допустивших осуществление платежа;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заключения по каждому разделу и подразделу функциональной классификации и главному распорядителю бюджетных средств сверх бюджетных ассигнований либо росписи бюджетных расходов;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• заключения по каждому случаю финансирования расходов, не предусмотренных в утвержденном федеральном бюджете либо росписи бюджетных расходов.</w:t>
      </w:r>
    </w:p>
    <w:p w:rsidR="000F4B14" w:rsidRPr="00B341AB" w:rsidRDefault="000F4B14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B341AB">
        <w:rPr>
          <w:sz w:val="28"/>
          <w:szCs w:val="28"/>
        </w:rPr>
        <w:t>Кроме того, в заключение по отчету об исполнении бюджета входит анализ, характеризующий различные стороны исполнения бюджета.</w:t>
      </w:r>
    </w:p>
    <w:p w:rsidR="000F4B14" w:rsidRPr="00B341AB" w:rsidRDefault="000F4B14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F4B14" w:rsidRPr="00B341AB" w:rsidRDefault="000F4B14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3. Преимущества казначейской системы в сравнении с банковс</w:t>
      </w:r>
      <w:r w:rsidR="00B341AB" w:rsidRPr="00B341AB">
        <w:rPr>
          <w:sz w:val="28"/>
          <w:szCs w:val="28"/>
        </w:rPr>
        <w:t>кой системой исполнения бюджета</w:t>
      </w:r>
    </w:p>
    <w:p w:rsidR="00B341AB" w:rsidRPr="00B341AB" w:rsidRDefault="00B341AB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E2EEA" w:rsidRPr="00B341AB" w:rsidRDefault="00BE2EEA" w:rsidP="00B341A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Из мировой практики известны две модели исполнения государственного бюджета: банковская и казначейская. В первом случае государство доверяет исполнение бюджета коммерческим банкам (утрачивая функцию текущего контроля за операциями с бюджетными средствами). Во втором - государство создает свой собственный аппарат управления и контроля за исполнением бюджета.</w:t>
      </w:r>
    </w:p>
    <w:p w:rsidR="00B341AB" w:rsidRPr="00B341AB" w:rsidRDefault="00BE2EEA" w:rsidP="00B341A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Система, похожая на казначейскую, в России действовала с 1918 года до середины 1990-х годов. В СССР порядок исполнения бюджета определялся Минфином СССР по согласованию с госбанком СССР. Бюджетными средствами распоряжались финансовые органы, единая система которых была подчинена Минфину; кассовое исполнение бюджета осуществлял Госбанк по принципу единства кассы. В систему Госбанка поступали и хранились все доходы и оттуда производились все расходы бюджета.</w:t>
      </w:r>
    </w:p>
    <w:p w:rsidR="00BE2EEA" w:rsidRPr="00B341AB" w:rsidRDefault="00BE2EEA" w:rsidP="00B341A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 xml:space="preserve">С распадом СССР в России сложилась банковская система исполнения бюджета, ее участники: Минфин, Центробанк, налогоплательщики, коммерческие банки, налоговые органы. Распоряжался бюджетными средствами государственный орган – Минфин России, а оперировали деньгами коммерческие банки. Кассиром коммерческих банков являлся ЦБ, а кассиром бюджетных средств - коммерческие банки. Сначала ЦБ предложил пользоваться услугами расчетно-кассовых центров (РКЦ), но </w:t>
      </w:r>
      <w:r w:rsidRPr="00B341AB">
        <w:rPr>
          <w:bCs/>
          <w:iCs/>
          <w:sz w:val="28"/>
          <w:szCs w:val="28"/>
        </w:rPr>
        <w:t>бюджетополучателей</w:t>
      </w:r>
      <w:r w:rsidRPr="00B341AB">
        <w:rPr>
          <w:sz w:val="28"/>
          <w:szCs w:val="28"/>
        </w:rPr>
        <w:t xml:space="preserve"> не устраивала скорость операций и отсутствие процентов по остаткам на бюджетных счетах. Тогда был создан институт уполномоченных федеральных коммерческих банков - из числа крупных, обладающих достаточной филиальной сетью, а так же муниципальных банков.</w:t>
      </w:r>
    </w:p>
    <w:p w:rsidR="00BE2EEA" w:rsidRPr="00B341AB" w:rsidRDefault="00BE2EEA" w:rsidP="00B341A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Обладая более совершенными банковскими технологиями, комбанки получили право на кассовое обслуживание денежных потоков бюджета. Значительная часть счетов бюджета и бюджетных учреждений были переведены в коммерческие банки, которые осуществляли все расчетные функции. Однако из-за многочисленности счетов Правительство не могло в полном объеме владеть информацией о движении средств и контролировать исполнение бюджета. Нецелевое использование бюджетных денег стало массовым явлением, хотя и каралось Минфином и ЦБ.</w:t>
      </w:r>
    </w:p>
    <w:p w:rsidR="00BE2EEA" w:rsidRPr="00B341AB" w:rsidRDefault="00BE2EEA" w:rsidP="00B341A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 xml:space="preserve">Кроме того, банковская система исполнения бюджета вообще является </w:t>
      </w:r>
      <w:r w:rsidR="00B341AB" w:rsidRPr="00B341AB">
        <w:rPr>
          <w:sz w:val="28"/>
          <w:szCs w:val="28"/>
        </w:rPr>
        <w:t>"</w:t>
      </w:r>
      <w:r w:rsidRPr="00B341AB">
        <w:rPr>
          <w:sz w:val="28"/>
          <w:szCs w:val="28"/>
        </w:rPr>
        <w:t>рисковой</w:t>
      </w:r>
      <w:r w:rsidR="00B341AB" w:rsidRPr="00B341AB">
        <w:rPr>
          <w:sz w:val="28"/>
          <w:szCs w:val="28"/>
        </w:rPr>
        <w:t>"</w:t>
      </w:r>
      <w:r w:rsidRPr="00B341AB">
        <w:rPr>
          <w:sz w:val="28"/>
          <w:szCs w:val="28"/>
        </w:rPr>
        <w:t>: коммерческие банки разоряются, и деньги застревают в неплатежеспособном банке.</w:t>
      </w:r>
    </w:p>
    <w:p w:rsidR="00BE2EEA" w:rsidRPr="00B341AB" w:rsidRDefault="00BE2EEA" w:rsidP="00B341A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Рассмотренные недостатки банковской системы исполнения бюджета устраняет централизованная казначейская система исполнения бюджета. К 1999 году практически был завершен процесс перевода счетов бюджетополучателей из комбанков в систему казначейства, которая состоит из трех уровней:</w:t>
      </w:r>
    </w:p>
    <w:p w:rsidR="00BE2EEA" w:rsidRPr="00B341AB" w:rsidRDefault="00BE2EEA" w:rsidP="00B341A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- Главное Управление федерального казначейства на правах департамента Министерства финансов РФ (все его счета, за исключением валютных, находятся в ЦБ РФ и Сбербанке России, которые обслуживают все бюджетные счета по указаниям казначейства);</w:t>
      </w:r>
    </w:p>
    <w:p w:rsidR="00BE2EEA" w:rsidRPr="00B341AB" w:rsidRDefault="00BE2EEA" w:rsidP="00B341A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- Главное Управление федерального казначейства на правах департамента Министерства финансов РФ (все его счета, за исключением валютных, находятся в ЦБ РФ и Сбербанке России, которые обслуживают все бюджетные счета по указаниям казначейства);</w:t>
      </w:r>
    </w:p>
    <w:p w:rsidR="00BE2EEA" w:rsidRPr="00B341AB" w:rsidRDefault="00BE2EEA" w:rsidP="00B341A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- сеть отделений федерального казначейства в городах и районах (в них сосредоточено большинство лицевых счетов бюджетных организаций и остатков бюджетных средств. Если нет учреждения Центрального банка или Сбербанка, счет отделения казначейства открывается в коммерческом банке, выигравшем конкурс).</w:t>
      </w:r>
    </w:p>
    <w:p w:rsidR="00BE2EEA" w:rsidRPr="00B341AB" w:rsidRDefault="00BE2EEA" w:rsidP="00B341A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Казначейство выполняет обязательства бюджетных организаций (оплачивает счета поставщиков и производителей) и контролирует расходы, отслеживая целевой характер расходов и соответствие объемов фактического финансирования бюджетных организаций заложенным в бюджете (роспись) показателям.</w:t>
      </w:r>
    </w:p>
    <w:p w:rsidR="00BE2EEA" w:rsidRPr="00B341AB" w:rsidRDefault="00BE2EEA" w:rsidP="00B341A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Принципиальным отличием казначейской системы от банковской является перевод всех счетов в казначейство. Все доходы бюджетополучателей отражаются на лицевых счетах, открытых в рамках единого бюджетного счета. Фактически деньги не находятся в распоряжении бюджетополучателей, лицевые счета ведутся исключительно в целях бухгалтерского учета. Система работает так: Казначейство получает поручение бюджетополучателя, проверяет его на адекватность и передает документы на оплату в отделения ЦБ, который осуществляет расчеты.</w:t>
      </w:r>
    </w:p>
    <w:p w:rsidR="00BE2EEA" w:rsidRPr="00B341AB" w:rsidRDefault="00BE2EEA" w:rsidP="00B341A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В рамках внедрения технологий ЕКС в 2000 году был завершен перевод всех доходных счетов в систему счетов федерального казначейства, в том числе и счетов Таможенного комитета и Минобороны России. Введение ЕКС не позволяет бюджетным учреждениям иметь счета в кредитных организациях. Теперь государственные финансы менее подвержены влиянию экономических кризисов.</w:t>
      </w:r>
    </w:p>
    <w:p w:rsidR="00B341AB" w:rsidRPr="00B341AB" w:rsidRDefault="00BE2EEA" w:rsidP="00B341A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Создание</w:t>
      </w:r>
      <w:r w:rsidRPr="00B341AB">
        <w:rPr>
          <w:bCs/>
          <w:iCs/>
          <w:sz w:val="28"/>
          <w:szCs w:val="28"/>
        </w:rPr>
        <w:t xml:space="preserve"> </w:t>
      </w:r>
      <w:r w:rsidRPr="00B341AB">
        <w:rPr>
          <w:sz w:val="28"/>
          <w:szCs w:val="28"/>
        </w:rPr>
        <w:t>единого счета позволит в любой момент получить информацию об объемах собранных доходов бюджета, о произведенных расходах, о наличии свободных денежных средств. Федеральное казначейство выполняет роль "кассира-контролера". Правительство сможет увидеть, кто и как тратит бюджетные средства, в системе какого министерства есть неиспользованные средства, а кто испытывает затруднения. Появится возможность прогнозировать кассовые разрывы при исполнении бюджета с большей точностью. Сокращаются краткосрочные заимствования на внутренних финансовых рынках.</w:t>
      </w:r>
    </w:p>
    <w:p w:rsidR="00BE2EEA" w:rsidRPr="00B341AB" w:rsidRDefault="00BE2EEA" w:rsidP="00B341A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В результате казначейская система имеет три специфических преимущества: во-первых, повысилась сохранность средств; во-вторых, повышается скорость расчетов в государственном секторе (сокращаются неплатежи); и, в-третьих, высвобождается значительный объем бюджетных средств за счет перехода от авансирования расходов к оплате счетов по факту.</w:t>
      </w:r>
    </w:p>
    <w:p w:rsidR="00B341AB" w:rsidRPr="00B341AB" w:rsidRDefault="00BE2EEA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F30AD">
        <w:rPr>
          <w:sz w:val="28"/>
          <w:szCs w:val="28"/>
        </w:rPr>
        <w:t>Казначейская</w:t>
      </w:r>
      <w:r w:rsidRPr="00B341AB">
        <w:rPr>
          <w:sz w:val="28"/>
          <w:szCs w:val="28"/>
        </w:rPr>
        <w:t xml:space="preserve"> система исполнения бюджета отличается от банковской прежде всего тем, что </w:t>
      </w:r>
      <w:r w:rsidRPr="009F30AD">
        <w:rPr>
          <w:sz w:val="28"/>
          <w:szCs w:val="28"/>
        </w:rPr>
        <w:t>казначейство</w:t>
      </w:r>
      <w:r w:rsidRPr="00B341AB">
        <w:rPr>
          <w:sz w:val="28"/>
          <w:szCs w:val="28"/>
        </w:rPr>
        <w:t xml:space="preserve"> концентрирует оба потока денежных средств, которые возникают в процессе исполнения бюджета, — доходный и расходный — на одном счете.</w:t>
      </w:r>
    </w:p>
    <w:p w:rsidR="00B341AB" w:rsidRPr="00B341AB" w:rsidRDefault="00BE2EEA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 xml:space="preserve">Казначейская система исполнения бюджетов регламентируется Бюджетным кодексом РФ. Бюджеты всех уровней бюджетной системы РФ исполняются на основе принципа единства </w:t>
      </w:r>
      <w:r w:rsidRPr="009F30AD">
        <w:rPr>
          <w:sz w:val="28"/>
          <w:szCs w:val="28"/>
        </w:rPr>
        <w:t>кассы</w:t>
      </w:r>
      <w:r w:rsidRPr="00B341AB">
        <w:rPr>
          <w:sz w:val="28"/>
          <w:szCs w:val="28"/>
        </w:rPr>
        <w:t>, который предусматривает зачисление всех поступающих доходов бюджета, привлечение и погашение источников финансирования дефицита бюджета и осуществление всех расходов с единого счета бюджета, за исключением операций по исполнению федерального бюджета, осуществляемых за пределами РФ.</w:t>
      </w:r>
    </w:p>
    <w:p w:rsidR="00B341AB" w:rsidRPr="00B341AB" w:rsidRDefault="00BE2EEA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Исполнение бюджетов по доходам предусматривает:</w:t>
      </w:r>
    </w:p>
    <w:p w:rsidR="00B341AB" w:rsidRPr="00B341AB" w:rsidRDefault="00BE2EEA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• перечисление и зачисление доходов на единый счет бюджета;</w:t>
      </w:r>
    </w:p>
    <w:p w:rsidR="00B341AB" w:rsidRPr="00B341AB" w:rsidRDefault="00BE2EEA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• распределение в соответствии с утвержденным бюджетом регулирующих доходов;</w:t>
      </w:r>
    </w:p>
    <w:p w:rsidR="00B341AB" w:rsidRPr="00B341AB" w:rsidRDefault="00BE2EEA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• возврат излишне уплаченных в бюджет сумм доходов;</w:t>
      </w:r>
    </w:p>
    <w:p w:rsidR="00B341AB" w:rsidRPr="00B341AB" w:rsidRDefault="00BE2EEA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• учет доходов бюджета и составление отчетности о доходах соответствующего бюджета.</w:t>
      </w:r>
    </w:p>
    <w:p w:rsidR="00B341AB" w:rsidRPr="00B341AB" w:rsidRDefault="00BE2EEA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Исполнение бюджетов по расходам осуществляется в пределах фактического наличия бюджетных средств на едином счете соответствующего бюджета, при этом должны соблюдаться обязательные последовательно проводимые процедуры санкционирования и финансирования расходов.</w:t>
      </w:r>
    </w:p>
    <w:p w:rsidR="00B341AB" w:rsidRPr="00B341AB" w:rsidRDefault="00BE2EEA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Основными этапами санкционирования и финансирования при исполнении расходов бюджетов являются:</w:t>
      </w:r>
    </w:p>
    <w:p w:rsidR="00B341AB" w:rsidRPr="00B341AB" w:rsidRDefault="00BE2EEA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• составление и утверждение бюджетной росписи;</w:t>
      </w:r>
    </w:p>
    <w:p w:rsidR="00B341AB" w:rsidRPr="00B341AB" w:rsidRDefault="00BE2EEA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• утверждение и доведение уведомлений о бюджетных ассигнованиях до распорядителей и получателей бюджетных средств, а также утверждение смет доходов и расходов распорядителями бюджетных средств и бюджетными учреждениями,</w:t>
      </w:r>
    </w:p>
    <w:p w:rsidR="00B341AB" w:rsidRPr="00B341AB" w:rsidRDefault="00BE2EEA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• утверждение и доведение уведомлений о лимитах бюджетных обязательств до распорядителей и получателей бюджетных средств;</w:t>
      </w:r>
    </w:p>
    <w:p w:rsidR="00B341AB" w:rsidRPr="00B341AB" w:rsidRDefault="00BE2EEA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• принятие денежных обязательств получателями бюджетных средств;</w:t>
      </w:r>
    </w:p>
    <w:p w:rsidR="00B341AB" w:rsidRPr="00B341AB" w:rsidRDefault="00BE2EEA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• подтверждение и выверка исполнения денежных обязательств;</w:t>
      </w:r>
    </w:p>
    <w:p w:rsidR="00BE2EEA" w:rsidRPr="00B341AB" w:rsidRDefault="00BE2EEA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• расходование бюджетных средств (процедура финансирования).</w:t>
      </w:r>
    </w:p>
    <w:p w:rsidR="00FB5937" w:rsidRPr="00B341AB" w:rsidRDefault="00FB5937" w:rsidP="00B341A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FB5937" w:rsidRPr="00B341AB" w:rsidRDefault="00FB5937" w:rsidP="00B341A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341AB">
        <w:rPr>
          <w:sz w:val="28"/>
          <w:szCs w:val="28"/>
        </w:rPr>
        <w:t>Задача</w:t>
      </w:r>
    </w:p>
    <w:p w:rsidR="00B341AB" w:rsidRPr="00B341AB" w:rsidRDefault="00B341AB" w:rsidP="00B341A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88"/>
        <w:gridCol w:w="1036"/>
        <w:gridCol w:w="814"/>
        <w:gridCol w:w="1036"/>
        <w:gridCol w:w="814"/>
        <w:gridCol w:w="1036"/>
        <w:gridCol w:w="814"/>
      </w:tblGrid>
      <w:tr w:rsidR="00FB5937" w:rsidRPr="00711444" w:rsidTr="00711444">
        <w:tc>
          <w:tcPr>
            <w:tcW w:w="0" w:type="auto"/>
            <w:vMerge w:val="restart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Группы классов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01.01.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01.09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К ср. год.</w:t>
            </w:r>
          </w:p>
        </w:tc>
      </w:tr>
      <w:tr w:rsidR="00FB5937" w:rsidRPr="00711444" w:rsidTr="00711444">
        <w:tc>
          <w:tcPr>
            <w:tcW w:w="0" w:type="auto"/>
            <w:vMerge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учащиеся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учащиеся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учащиеся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классы</w:t>
            </w:r>
          </w:p>
        </w:tc>
      </w:tr>
      <w:tr w:rsidR="00FB5937" w:rsidRPr="00711444" w:rsidTr="00711444"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en-US"/>
              </w:rPr>
            </w:pPr>
            <w:r w:rsidRPr="00711444">
              <w:rPr>
                <w:szCs w:val="28"/>
                <w:lang w:val="en-US"/>
              </w:rPr>
              <w:t>I-IV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246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259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10,0</w:t>
            </w:r>
          </w:p>
        </w:tc>
      </w:tr>
      <w:tr w:rsidR="00FB5937" w:rsidRPr="00711444" w:rsidTr="00711444"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en-US"/>
              </w:rPr>
            </w:pPr>
            <w:r w:rsidRPr="00711444">
              <w:rPr>
                <w:szCs w:val="28"/>
                <w:lang w:val="en-US"/>
              </w:rPr>
              <w:t>V-IX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476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421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460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18,4</w:t>
            </w:r>
          </w:p>
        </w:tc>
      </w:tr>
      <w:tr w:rsidR="00FB5937" w:rsidRPr="00711444" w:rsidTr="00711444"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  <w:lang w:val="en-US"/>
              </w:rPr>
            </w:pPr>
            <w:r w:rsidRPr="00711444">
              <w:rPr>
                <w:szCs w:val="28"/>
                <w:lang w:val="en-US"/>
              </w:rPr>
              <w:t>X-XI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137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4,3</w:t>
            </w:r>
          </w:p>
        </w:tc>
      </w:tr>
      <w:tr w:rsidR="00FB5937" w:rsidRPr="00711444" w:rsidTr="00711444"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818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817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818</w:t>
            </w:r>
          </w:p>
        </w:tc>
        <w:tc>
          <w:tcPr>
            <w:tcW w:w="0" w:type="auto"/>
            <w:shd w:val="clear" w:color="auto" w:fill="auto"/>
          </w:tcPr>
          <w:p w:rsidR="00FB5937" w:rsidRPr="00711444" w:rsidRDefault="00FB5937" w:rsidP="00711444">
            <w:pPr>
              <w:widowControl w:val="0"/>
              <w:suppressAutoHyphens/>
              <w:spacing w:line="360" w:lineRule="auto"/>
              <w:jc w:val="center"/>
              <w:rPr>
                <w:szCs w:val="28"/>
              </w:rPr>
            </w:pPr>
            <w:r w:rsidRPr="00711444">
              <w:rPr>
                <w:szCs w:val="28"/>
              </w:rPr>
              <w:t>32,7</w:t>
            </w:r>
          </w:p>
        </w:tc>
      </w:tr>
    </w:tbl>
    <w:p w:rsidR="00FB5937" w:rsidRPr="00B341AB" w:rsidRDefault="00FB5937" w:rsidP="00B341A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FB5937" w:rsidRPr="00B341AB" w:rsidRDefault="00FB5937" w:rsidP="00B341AB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246-43+56=259 – учащиеся на 01.09 (</w:t>
      </w:r>
      <w:r w:rsidRPr="00B341AB">
        <w:rPr>
          <w:sz w:val="28"/>
          <w:szCs w:val="28"/>
          <w:lang w:val="en-US"/>
        </w:rPr>
        <w:t>I-IV</w:t>
      </w:r>
      <w:r w:rsidRPr="00B341AB">
        <w:rPr>
          <w:sz w:val="28"/>
          <w:szCs w:val="28"/>
        </w:rPr>
        <w:t>)</w:t>
      </w:r>
    </w:p>
    <w:p w:rsidR="00FB5937" w:rsidRPr="00B341AB" w:rsidRDefault="00FB5937" w:rsidP="00B341AB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476-98+43=421 – учащиеся на 01.09 (</w:t>
      </w:r>
      <w:r w:rsidRPr="00B341AB">
        <w:rPr>
          <w:sz w:val="28"/>
          <w:szCs w:val="28"/>
          <w:lang w:val="en-US"/>
        </w:rPr>
        <w:t>V-IX</w:t>
      </w:r>
      <w:r w:rsidRPr="00B341AB">
        <w:rPr>
          <w:sz w:val="28"/>
          <w:szCs w:val="28"/>
        </w:rPr>
        <w:t>)</w:t>
      </w:r>
    </w:p>
    <w:p w:rsidR="00FB5937" w:rsidRPr="00B341AB" w:rsidRDefault="00FB5937" w:rsidP="00B341AB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96-28+ (98•0,7)=137 – учащиеся на 01.09 (</w:t>
      </w:r>
      <w:r w:rsidRPr="00B341AB">
        <w:rPr>
          <w:sz w:val="28"/>
          <w:szCs w:val="28"/>
          <w:lang w:val="en-US"/>
        </w:rPr>
        <w:t>X</w:t>
      </w:r>
      <w:r w:rsidRPr="00B341AB">
        <w:rPr>
          <w:sz w:val="28"/>
          <w:szCs w:val="28"/>
        </w:rPr>
        <w:t>-</w:t>
      </w:r>
      <w:r w:rsidRPr="00B341AB">
        <w:rPr>
          <w:sz w:val="28"/>
          <w:szCs w:val="28"/>
          <w:lang w:val="en-US"/>
        </w:rPr>
        <w:t>XI</w:t>
      </w:r>
      <w:r w:rsidRPr="00B341AB">
        <w:rPr>
          <w:sz w:val="28"/>
          <w:szCs w:val="28"/>
        </w:rPr>
        <w:t>)</w:t>
      </w:r>
    </w:p>
    <w:p w:rsidR="00FB5937" w:rsidRPr="00B341AB" w:rsidRDefault="00FB5937" w:rsidP="00B341AB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К ср. год. = ( 246•8,5+259•3,5)/12 = 250 – учащиеся (</w:t>
      </w:r>
      <w:r w:rsidRPr="00B341AB">
        <w:rPr>
          <w:sz w:val="28"/>
          <w:szCs w:val="28"/>
          <w:lang w:val="en-US"/>
        </w:rPr>
        <w:t>I</w:t>
      </w:r>
      <w:r w:rsidRPr="00B341AB">
        <w:rPr>
          <w:sz w:val="28"/>
          <w:szCs w:val="28"/>
        </w:rPr>
        <w:t>-</w:t>
      </w:r>
      <w:r w:rsidRPr="00B341AB">
        <w:rPr>
          <w:sz w:val="28"/>
          <w:szCs w:val="28"/>
          <w:lang w:val="en-US"/>
        </w:rPr>
        <w:t>IV</w:t>
      </w:r>
      <w:r w:rsidRPr="00B341AB">
        <w:rPr>
          <w:sz w:val="28"/>
          <w:szCs w:val="28"/>
        </w:rPr>
        <w:t>)</w:t>
      </w:r>
    </w:p>
    <w:p w:rsidR="00FB5937" w:rsidRPr="00B341AB" w:rsidRDefault="00FB5937" w:rsidP="00B341AB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К ср. год. = (10•8,5+10•3,5)/12=10,0 – классы (</w:t>
      </w:r>
      <w:r w:rsidRPr="00B341AB">
        <w:rPr>
          <w:sz w:val="28"/>
          <w:szCs w:val="28"/>
          <w:lang w:val="en-US"/>
        </w:rPr>
        <w:t>I</w:t>
      </w:r>
      <w:r w:rsidRPr="00B341AB">
        <w:rPr>
          <w:sz w:val="28"/>
          <w:szCs w:val="28"/>
        </w:rPr>
        <w:t>-</w:t>
      </w:r>
      <w:r w:rsidRPr="00B341AB">
        <w:rPr>
          <w:sz w:val="28"/>
          <w:szCs w:val="28"/>
          <w:lang w:val="en-US"/>
        </w:rPr>
        <w:t>IV</w:t>
      </w:r>
      <w:r w:rsidRPr="00B341AB">
        <w:rPr>
          <w:sz w:val="28"/>
          <w:szCs w:val="28"/>
        </w:rPr>
        <w:t>)</w:t>
      </w:r>
    </w:p>
    <w:p w:rsidR="00FB5937" w:rsidRPr="00B341AB" w:rsidRDefault="00FB5937" w:rsidP="00B341AB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К ср. год. = (476•8,5+421•3,5)/12=460 – учащиеся (</w:t>
      </w:r>
      <w:r w:rsidRPr="00B341AB">
        <w:rPr>
          <w:sz w:val="28"/>
          <w:szCs w:val="28"/>
          <w:lang w:val="en-US"/>
        </w:rPr>
        <w:t>V</w:t>
      </w:r>
      <w:r w:rsidRPr="00B341AB">
        <w:rPr>
          <w:sz w:val="28"/>
          <w:szCs w:val="28"/>
        </w:rPr>
        <w:t>-</w:t>
      </w:r>
      <w:r w:rsidRPr="00B341AB">
        <w:rPr>
          <w:sz w:val="28"/>
          <w:szCs w:val="28"/>
          <w:lang w:val="en-US"/>
        </w:rPr>
        <w:t>IX</w:t>
      </w:r>
      <w:r w:rsidRPr="00B341AB">
        <w:rPr>
          <w:sz w:val="28"/>
          <w:szCs w:val="28"/>
        </w:rPr>
        <w:t>)</w:t>
      </w:r>
    </w:p>
    <w:p w:rsidR="00FB5937" w:rsidRPr="00B341AB" w:rsidRDefault="00FB5937" w:rsidP="00B341AB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К ср. год. = (19•8,5+17•3,5)/12=18,4 – классы (</w:t>
      </w:r>
      <w:r w:rsidRPr="00B341AB">
        <w:rPr>
          <w:sz w:val="28"/>
          <w:szCs w:val="28"/>
          <w:lang w:val="en-US"/>
        </w:rPr>
        <w:t>V</w:t>
      </w:r>
      <w:r w:rsidRPr="00B341AB">
        <w:rPr>
          <w:sz w:val="28"/>
          <w:szCs w:val="28"/>
        </w:rPr>
        <w:t>-</w:t>
      </w:r>
      <w:r w:rsidRPr="00B341AB">
        <w:rPr>
          <w:sz w:val="28"/>
          <w:szCs w:val="28"/>
          <w:lang w:val="en-US"/>
        </w:rPr>
        <w:t>IX</w:t>
      </w:r>
      <w:r w:rsidRPr="00B341AB">
        <w:rPr>
          <w:sz w:val="28"/>
          <w:szCs w:val="28"/>
        </w:rPr>
        <w:t>)</w:t>
      </w:r>
    </w:p>
    <w:p w:rsidR="00FB5937" w:rsidRPr="00B341AB" w:rsidRDefault="00FB5937" w:rsidP="00B341AB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К ср. год. = (96•8,5+137•3,5)/12=108 – учащиеся (</w:t>
      </w:r>
      <w:r w:rsidRPr="00B341AB">
        <w:rPr>
          <w:sz w:val="28"/>
          <w:szCs w:val="28"/>
          <w:lang w:val="en-US"/>
        </w:rPr>
        <w:t>X</w:t>
      </w:r>
      <w:r w:rsidRPr="00B341AB">
        <w:rPr>
          <w:sz w:val="28"/>
          <w:szCs w:val="28"/>
        </w:rPr>
        <w:t>-</w:t>
      </w:r>
      <w:r w:rsidRPr="00B341AB">
        <w:rPr>
          <w:sz w:val="28"/>
          <w:szCs w:val="28"/>
          <w:lang w:val="en-US"/>
        </w:rPr>
        <w:t>XI</w:t>
      </w:r>
      <w:r w:rsidRPr="00B341AB">
        <w:rPr>
          <w:sz w:val="28"/>
          <w:szCs w:val="28"/>
        </w:rPr>
        <w:t>)</w:t>
      </w:r>
    </w:p>
    <w:p w:rsidR="00FB5937" w:rsidRPr="00B341AB" w:rsidRDefault="00FB5937" w:rsidP="00B341AB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t>К ср. год. = (4•8,5+5•3,5)/12=4,3 – классы (</w:t>
      </w:r>
      <w:r w:rsidRPr="00B341AB">
        <w:rPr>
          <w:sz w:val="28"/>
          <w:szCs w:val="28"/>
          <w:lang w:val="en-US"/>
        </w:rPr>
        <w:t>X</w:t>
      </w:r>
      <w:r w:rsidRPr="00B341AB">
        <w:rPr>
          <w:sz w:val="28"/>
          <w:szCs w:val="28"/>
        </w:rPr>
        <w:t>-</w:t>
      </w:r>
      <w:r w:rsidRPr="00B341AB">
        <w:rPr>
          <w:sz w:val="28"/>
          <w:szCs w:val="28"/>
          <w:lang w:val="en-US"/>
        </w:rPr>
        <w:t>XI</w:t>
      </w:r>
      <w:r w:rsidRPr="00B341AB">
        <w:rPr>
          <w:sz w:val="28"/>
          <w:szCs w:val="28"/>
        </w:rPr>
        <w:t>)</w:t>
      </w:r>
    </w:p>
    <w:p w:rsidR="00FB5937" w:rsidRPr="00B341AB" w:rsidRDefault="00FB5937" w:rsidP="00B341A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5937" w:rsidRPr="00F104E6" w:rsidRDefault="00B341AB" w:rsidP="00B341AB">
      <w:pPr>
        <w:pStyle w:val="a5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AB">
        <w:rPr>
          <w:sz w:val="28"/>
          <w:szCs w:val="28"/>
        </w:rPr>
        <w:br w:type="page"/>
        <w:t>Используемая литература</w:t>
      </w:r>
    </w:p>
    <w:p w:rsidR="00B341AB" w:rsidRPr="00F104E6" w:rsidRDefault="00B341AB" w:rsidP="00CA18AC">
      <w:pPr>
        <w:pStyle w:val="a5"/>
        <w:widowControl w:val="0"/>
        <w:suppressAutoHyphens/>
        <w:spacing w:before="0" w:beforeAutospacing="0" w:after="0" w:afterAutospacing="0" w:line="360" w:lineRule="auto"/>
        <w:rPr>
          <w:sz w:val="28"/>
          <w:szCs w:val="28"/>
        </w:rPr>
      </w:pPr>
    </w:p>
    <w:p w:rsidR="00FB5937" w:rsidRPr="00B341AB" w:rsidRDefault="00B341AB" w:rsidP="00CA18AC">
      <w:pPr>
        <w:pStyle w:val="a3"/>
        <w:widowControl w:val="0"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341AB">
        <w:rPr>
          <w:sz w:val="28"/>
          <w:szCs w:val="28"/>
        </w:rPr>
        <w:t xml:space="preserve">1. </w:t>
      </w:r>
      <w:r w:rsidR="00FB5937" w:rsidRPr="00B341AB">
        <w:rPr>
          <w:sz w:val="28"/>
          <w:szCs w:val="28"/>
        </w:rPr>
        <w:t>Бюджетная система России: Учебник для вузов/ Под ред. проф. Г.Б. Поляка. - М.: 2005год.</w:t>
      </w:r>
    </w:p>
    <w:p w:rsidR="00FB5937" w:rsidRPr="00B341AB" w:rsidRDefault="00B341AB" w:rsidP="00CA18AC">
      <w:pPr>
        <w:pStyle w:val="a3"/>
        <w:widowControl w:val="0"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341AB">
        <w:rPr>
          <w:sz w:val="28"/>
          <w:szCs w:val="28"/>
        </w:rPr>
        <w:t xml:space="preserve">2. </w:t>
      </w:r>
      <w:r w:rsidR="00FB5937" w:rsidRPr="00B341AB">
        <w:rPr>
          <w:sz w:val="28"/>
          <w:szCs w:val="28"/>
        </w:rPr>
        <w:t>Казначейское дело: Учебное пособие для вузов/ под ред. В.М. Тиницкий – М.: 2007 год</w:t>
      </w:r>
    </w:p>
    <w:p w:rsidR="000E15AF" w:rsidRPr="00B341AB" w:rsidRDefault="000E15AF" w:rsidP="00B341AB">
      <w:pPr>
        <w:pStyle w:val="a3"/>
        <w:widowControl w:val="0"/>
        <w:suppressAutoHyphens/>
        <w:spacing w:line="360" w:lineRule="auto"/>
        <w:ind w:firstLine="709"/>
        <w:rPr>
          <w:sz w:val="28"/>
          <w:szCs w:val="28"/>
        </w:rPr>
      </w:pPr>
      <w:bookmarkStart w:id="1" w:name="_GoBack"/>
      <w:bookmarkEnd w:id="1"/>
    </w:p>
    <w:sectPr w:rsidR="000E15AF" w:rsidRPr="00B341AB" w:rsidSect="00B341AB">
      <w:head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444" w:rsidRDefault="00711444">
      <w:r>
        <w:separator/>
      </w:r>
    </w:p>
  </w:endnote>
  <w:endnote w:type="continuationSeparator" w:id="0">
    <w:p w:rsidR="00711444" w:rsidRDefault="0071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444" w:rsidRDefault="00711444">
      <w:r>
        <w:separator/>
      </w:r>
    </w:p>
  </w:footnote>
  <w:footnote w:type="continuationSeparator" w:id="0">
    <w:p w:rsidR="00711444" w:rsidRDefault="00711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37" w:rsidRDefault="00FB5937" w:rsidP="009F42FD">
    <w:pPr>
      <w:pStyle w:val="a8"/>
      <w:framePr w:wrap="around" w:vAnchor="text" w:hAnchor="margin" w:xAlign="center" w:y="1"/>
      <w:rPr>
        <w:rStyle w:val="aa"/>
      </w:rPr>
    </w:pPr>
  </w:p>
  <w:p w:rsidR="00FB5937" w:rsidRDefault="00FB59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17B9"/>
    <w:multiLevelType w:val="hybridMultilevel"/>
    <w:tmpl w:val="253CE4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431"/>
    <w:rsid w:val="00007D76"/>
    <w:rsid w:val="000A2B3D"/>
    <w:rsid w:val="000E15AF"/>
    <w:rsid w:val="000F4B14"/>
    <w:rsid w:val="002C3431"/>
    <w:rsid w:val="00323795"/>
    <w:rsid w:val="00711444"/>
    <w:rsid w:val="007D5B45"/>
    <w:rsid w:val="007F7B73"/>
    <w:rsid w:val="009F30AD"/>
    <w:rsid w:val="009F42FD"/>
    <w:rsid w:val="00A301DB"/>
    <w:rsid w:val="00A659BB"/>
    <w:rsid w:val="00B341AB"/>
    <w:rsid w:val="00BE2EEA"/>
    <w:rsid w:val="00CA18AC"/>
    <w:rsid w:val="00D61875"/>
    <w:rsid w:val="00F104E6"/>
    <w:rsid w:val="00F96D70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220FB3-F73B-4919-8996-B9F22F3B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31"/>
  </w:style>
  <w:style w:type="paragraph" w:styleId="2">
    <w:name w:val="heading 2"/>
    <w:basedOn w:val="a"/>
    <w:next w:val="a"/>
    <w:link w:val="20"/>
    <w:uiPriority w:val="9"/>
    <w:qFormat/>
    <w:rsid w:val="002C34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C34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-">
    <w:name w:val="Заголовок 2-го уровня"/>
    <w:basedOn w:val="2"/>
    <w:rsid w:val="002C3431"/>
    <w:pPr>
      <w:spacing w:before="120" w:after="120"/>
      <w:jc w:val="center"/>
    </w:pPr>
    <w:rPr>
      <w:rFonts w:ascii="Times New Roman" w:hAnsi="Times New Roman" w:cs="Times New Roman"/>
      <w:bCs w:val="0"/>
      <w:i w:val="0"/>
      <w:iCs w:val="0"/>
      <w:sz w:val="26"/>
      <w:szCs w:val="20"/>
    </w:rPr>
  </w:style>
  <w:style w:type="paragraph" w:customStyle="1" w:styleId="3-">
    <w:name w:val="Заголовок 3-го уровня"/>
    <w:basedOn w:val="3"/>
    <w:rsid w:val="002C3431"/>
    <w:pPr>
      <w:jc w:val="center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a3">
    <w:name w:val="Обычный текст"/>
    <w:basedOn w:val="a"/>
    <w:rsid w:val="002C3431"/>
    <w:pPr>
      <w:ind w:firstLine="454"/>
      <w:jc w:val="both"/>
    </w:pPr>
    <w:rPr>
      <w:sz w:val="24"/>
    </w:rPr>
  </w:style>
  <w:style w:type="paragraph" w:customStyle="1" w:styleId="a4">
    <w:name w:val="Таблица обычная"/>
    <w:basedOn w:val="a"/>
    <w:rsid w:val="002C3431"/>
    <w:rPr>
      <w:sz w:val="24"/>
    </w:rPr>
  </w:style>
  <w:style w:type="paragraph" w:styleId="a5">
    <w:name w:val="Normal (Web)"/>
    <w:basedOn w:val="a"/>
    <w:uiPriority w:val="99"/>
    <w:rsid w:val="00F96D7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sid w:val="00BE2EEA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BE2EE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character" w:customStyle="1" w:styleId="hlnormal">
    <w:name w:val="hlnormal"/>
    <w:rsid w:val="00BE2EEA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rsid w:val="00BE2EE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table" w:styleId="a7">
    <w:name w:val="Table Grid"/>
    <w:basedOn w:val="a1"/>
    <w:uiPriority w:val="59"/>
    <w:rsid w:val="00FB5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B59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</w:rPr>
  </w:style>
  <w:style w:type="character" w:styleId="aa">
    <w:name w:val="page number"/>
    <w:uiPriority w:val="99"/>
    <w:rsid w:val="00FB5937"/>
    <w:rPr>
      <w:rFonts w:cs="Times New Roman"/>
    </w:rPr>
  </w:style>
  <w:style w:type="paragraph" w:styleId="ab">
    <w:name w:val="footer"/>
    <w:basedOn w:val="a"/>
    <w:link w:val="ac"/>
    <w:uiPriority w:val="99"/>
    <w:rsid w:val="00B341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341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5216</Words>
  <Characters>29737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Компьютер</dc:creator>
  <cp:keywords/>
  <dc:description/>
  <cp:lastModifiedBy>admin</cp:lastModifiedBy>
  <cp:revision>2</cp:revision>
  <dcterms:created xsi:type="dcterms:W3CDTF">2014-03-12T23:58:00Z</dcterms:created>
  <dcterms:modified xsi:type="dcterms:W3CDTF">2014-03-12T23:58:00Z</dcterms:modified>
</cp:coreProperties>
</file>