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F4" w:rsidRPr="000138A7" w:rsidRDefault="008920FB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Содержание</w:t>
      </w:r>
    </w:p>
    <w:p w:rsidR="008920FB" w:rsidRPr="000138A7" w:rsidRDefault="008920FB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1C5C64" w:rsidRPr="000138A7" w:rsidRDefault="001C5C64" w:rsidP="000138A7">
      <w:pPr>
        <w:spacing w:line="360" w:lineRule="auto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Вариант 5</w:t>
      </w:r>
    </w:p>
    <w:p w:rsidR="008920FB" w:rsidRPr="000138A7" w:rsidRDefault="000138A7" w:rsidP="000138A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6F7AC8" w:rsidRPr="000138A7">
        <w:rPr>
          <w:sz w:val="28"/>
          <w:szCs w:val="28"/>
        </w:rPr>
        <w:t>Экономические и финансовые механизмы энергосбережения</w:t>
      </w:r>
    </w:p>
    <w:p w:rsidR="008920FB" w:rsidRPr="000138A7" w:rsidRDefault="000138A7" w:rsidP="000138A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 w:rsidR="00AD0B2D" w:rsidRPr="000138A7">
        <w:rPr>
          <w:sz w:val="28"/>
          <w:szCs w:val="28"/>
        </w:rPr>
        <w:t>Задача 1</w:t>
      </w:r>
    </w:p>
    <w:p w:rsidR="008920FB" w:rsidRPr="000138A7" w:rsidRDefault="00AD0B2D" w:rsidP="000138A7">
      <w:pPr>
        <w:spacing w:line="360" w:lineRule="auto"/>
        <w:jc w:val="both"/>
        <w:rPr>
          <w:sz w:val="28"/>
          <w:szCs w:val="28"/>
          <w:lang w:val="en-US"/>
        </w:rPr>
      </w:pPr>
      <w:r w:rsidRPr="000138A7">
        <w:rPr>
          <w:sz w:val="28"/>
        </w:rPr>
        <w:t>Список использованных источников</w:t>
      </w:r>
      <w:r w:rsidR="000138A7">
        <w:rPr>
          <w:sz w:val="28"/>
          <w:szCs w:val="28"/>
        </w:rPr>
        <w:t>1</w:t>
      </w:r>
    </w:p>
    <w:p w:rsidR="008920FB" w:rsidRPr="000138A7" w:rsidRDefault="008920FB" w:rsidP="000138A7">
      <w:pPr>
        <w:pStyle w:val="aa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</w:p>
    <w:p w:rsidR="00AD0B2D" w:rsidRPr="000138A7" w:rsidRDefault="00AD0B2D" w:rsidP="000138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138A7">
        <w:rPr>
          <w:sz w:val="28"/>
          <w:szCs w:val="28"/>
        </w:rPr>
        <w:br w:type="page"/>
        <w:t>Экономические и финансовые механизмы энергосбережения</w:t>
      </w:r>
    </w:p>
    <w:p w:rsidR="00AD0B2D" w:rsidRPr="000138A7" w:rsidRDefault="00AD0B2D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5A1CE1" w:rsidRPr="000138A7" w:rsidRDefault="005A1CE1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Основными инструментами финансово-экономического механизма управления энергосбережением являются:</w:t>
      </w:r>
    </w:p>
    <w:p w:rsidR="005A1CE1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формы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инструменты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финансирования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мероприятий;</w:t>
      </w:r>
    </w:p>
    <w:p w:rsidR="005A1CE1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кредитный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механизм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энергосбережения;</w:t>
      </w:r>
    </w:p>
    <w:p w:rsidR="005A1CE1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режим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ускоренной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амортизации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энергосберегающего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оборудования;</w:t>
      </w:r>
    </w:p>
    <w:p w:rsidR="005A1CE1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тарифы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энергию</w:t>
      </w:r>
      <w:r w:rsidRPr="000138A7">
        <w:rPr>
          <w:sz w:val="28"/>
          <w:szCs w:val="28"/>
        </w:rPr>
        <w:t>;</w:t>
      </w:r>
    </w:p>
    <w:p w:rsidR="005A1CE1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энергетические</w:t>
      </w:r>
      <w:r w:rsidR="000138A7">
        <w:rPr>
          <w:sz w:val="28"/>
          <w:szCs w:val="28"/>
        </w:rPr>
        <w:t xml:space="preserve"> </w:t>
      </w:r>
      <w:r w:rsidR="005A1CE1" w:rsidRPr="000138A7">
        <w:rPr>
          <w:sz w:val="28"/>
          <w:szCs w:val="28"/>
        </w:rPr>
        <w:t>налоги.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Финансово-экономиче</w:t>
      </w:r>
      <w:r w:rsidR="001B488A" w:rsidRPr="000138A7">
        <w:rPr>
          <w:sz w:val="28"/>
          <w:szCs w:val="28"/>
        </w:rPr>
        <w:t>ский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механизм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энергосбережения: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Республиканский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"Энергосбережение";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Порядок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возврата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средств,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выданных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инновационного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концерна</w:t>
      </w:r>
      <w:r w:rsidR="000138A7">
        <w:rPr>
          <w:sz w:val="28"/>
          <w:szCs w:val="28"/>
        </w:rPr>
        <w:t xml:space="preserve"> «Белэнерго»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предназначенных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долевого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участия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финансировании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работ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энергосбережению;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Порядок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образования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субъектами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хозяйствования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фондов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"Энерго-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ресурсосбережение";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Порядок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выдачи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кредитов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субъектам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хозяйствования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выполнение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энергосбережению;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Рекомендации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условиям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порядку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премирования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предприятиях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организациях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ресурсов;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Положение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применению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перечислению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сумм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экономических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санкций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(платежей)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нерациональное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использование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ресурсов.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введена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система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контроля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выполнением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целевых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показателей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министерств,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других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государственного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управления,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объединений,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подчиненных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Правительству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областей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Минска.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Выполнение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показателей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осуществлялось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региональные,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отраслевые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также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отдельных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организаций.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также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государственная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статистическая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отчетность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выполнении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Реализация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потенциала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1996-2000гг.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проводилась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приоритетными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направлениями,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указанными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как: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модернизация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повышение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эффективности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котельных;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внедрение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парогазовых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газотурбинных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установок;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оптимизация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режимов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схем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теплоснабжения;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перевод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паровых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котлов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водогрейный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режим;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замена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электрокотельных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более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экономичные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теплоисточники;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внедрение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систем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учета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регулирования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энергии;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использование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вторичных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энергоресурсов;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уменьшение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потерь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передаче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энергии;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внедрение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частотно-регулируемых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приводов;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установка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энергоэкономичных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осветительных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устройств;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внедрение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новых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технологий,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оборудования,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материалов;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внедрение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нетрадиционных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возобновляемых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источников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энергии;</w:t>
      </w:r>
    </w:p>
    <w:p w:rsidR="005F7EA9" w:rsidRPr="000138A7" w:rsidRDefault="001B488A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реализация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экономического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механизма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стимулирования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работ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другими</w:t>
      </w:r>
      <w:r w:rsidR="000138A7">
        <w:rPr>
          <w:sz w:val="28"/>
          <w:szCs w:val="28"/>
        </w:rPr>
        <w:t xml:space="preserve"> </w:t>
      </w:r>
      <w:r w:rsidR="005F7EA9" w:rsidRPr="000138A7">
        <w:rPr>
          <w:sz w:val="28"/>
          <w:szCs w:val="28"/>
        </w:rPr>
        <w:t>направлениями.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Подверглась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корректировке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нормативно-техническая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документация.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разработано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введено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действие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Пособие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СНБ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"Строительная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теплотехника"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теплотехническим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расчетам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ограждающих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конструкций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зданий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(СНБ01.01.-</w:t>
      </w:r>
      <w:r w:rsidRPr="000138A7">
        <w:rPr>
          <w:sz w:val="28"/>
          <w:szCs w:val="28"/>
        </w:rPr>
        <w:t>97).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СНИП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2.04.05-91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"Отопление,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вентиляция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кондиционирование"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внесены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изменения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части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снижения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вентиляцию,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СНИП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2.04.07-86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"Тепловые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сети"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части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теплоизоляционных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материалов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оптимизации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параметров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теплоносителя.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1998г.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введены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действие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СНБ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2.04.05-98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"Естественное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искусственное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освещение".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Подготовлены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соответствующие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предложения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межгосударственный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стандарт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строительной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климатографии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геофизике.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Финансирование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1996-2000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г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осуществлялось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рамках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Перечня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значения,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Государственной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научно-технической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"Энергосбережения",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региональных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отраслевых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приоритетным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направлениям,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определенным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постановлениями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Совета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Министров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13.06.96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№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391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19.06.98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№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965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следующих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источников: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собственных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инновационного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концерна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"Белэнерго"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отраслевых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инновационных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целевого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"Энергосбережение"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ресурсосбережение",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местных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займа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Всемирного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банка.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протяжении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1996-2000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</w:t>
      </w:r>
      <w:r w:rsidR="001B488A" w:rsidRPr="000138A7">
        <w:rPr>
          <w:sz w:val="28"/>
          <w:szCs w:val="28"/>
        </w:rPr>
        <w:t>ование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энергосбе</w:t>
      </w:r>
      <w:r w:rsidRPr="000138A7">
        <w:rPr>
          <w:sz w:val="28"/>
          <w:szCs w:val="28"/>
        </w:rPr>
        <w:t>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собственных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составляло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42-44%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общего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объема.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Объемы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инновационных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ежегодно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определялись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постановлением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Правительства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реализации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соответствующий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42-45%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общего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финансирования.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Использование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"Энергосбережение"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осуществлялось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Сметой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расходов.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Предпочтение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выделении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имели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учреждения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сферы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дотируемые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предприятия.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субъектам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хозяйствования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зависимо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формы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собственности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разрешено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включать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себестоимость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продукции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течении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после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внедрения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стоимость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сэкономленных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ТЭР,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материальных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сырьевых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аккумулировать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данные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создаваемых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ресурсосбережение".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можно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НИОКР,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работ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внедрению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технологий,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возврат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банкам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полученных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энерго-и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ресурсосбережения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кредитов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уплату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процентов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пользование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ими.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Кроме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того,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50%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указанного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можно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премирование.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Часть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местных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использовалась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приборов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группового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ТЭР,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замену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неэкономичных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котлов,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реабилитацию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(8-9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общего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финансирования).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результате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выполнения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комплек</w:t>
      </w:r>
      <w:r w:rsidR="001B488A" w:rsidRPr="000138A7">
        <w:rPr>
          <w:sz w:val="28"/>
          <w:szCs w:val="28"/>
        </w:rPr>
        <w:t>са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мер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повышению</w:t>
      </w:r>
      <w:r w:rsidR="000138A7">
        <w:rPr>
          <w:sz w:val="28"/>
          <w:szCs w:val="28"/>
        </w:rPr>
        <w:t xml:space="preserve"> </w:t>
      </w:r>
      <w:r w:rsidR="001B488A" w:rsidRPr="000138A7">
        <w:rPr>
          <w:sz w:val="28"/>
          <w:szCs w:val="28"/>
        </w:rPr>
        <w:t>энергоэффек</w:t>
      </w:r>
      <w:r w:rsidRPr="000138A7">
        <w:rPr>
          <w:sz w:val="28"/>
          <w:szCs w:val="28"/>
        </w:rPr>
        <w:t>тивности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отраслей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экономики,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снижение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</w:t>
      </w:r>
      <w:r w:rsidR="002D2C36" w:rsidRPr="000138A7">
        <w:rPr>
          <w:sz w:val="28"/>
          <w:szCs w:val="28"/>
        </w:rPr>
        <w:t>е</w:t>
      </w:r>
      <w:r w:rsidRPr="000138A7">
        <w:rPr>
          <w:sz w:val="28"/>
          <w:szCs w:val="28"/>
        </w:rPr>
        <w:t>мкости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валового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внутреннего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продукта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(ВВП)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1999г.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относительно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1995г.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составило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22,4%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(прогноз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2000г.-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25,3%).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росте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ВВП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1999г.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относительно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1995г.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28,3%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(прогноз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32,2%)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валовое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потребление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(без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сырья)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1999г.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практически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остается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уровне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1995г.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Суммарную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ТЭР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сопоставимых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условиях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можно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оценить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уровне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6,8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млн.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т.у.т.,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числе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более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4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млн.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т.у.т.-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проведения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более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млн.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т.у.т.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дополнительных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местных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видов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балансе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(прогноз)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относительно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1995г.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возросла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16,9%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18,5%.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период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1996-2000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структура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основные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элементы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непрерывной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системы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области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открыта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новая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специальность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"Энергоэффективные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технологии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энергетический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менеджмент",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ведущих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вузах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образованы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кафедры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соответствующего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профиля,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налажена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система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научно-технической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информации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пропаганды.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Начиная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активизировалось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международное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сотрудничество.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подписано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соглашение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между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Всемирным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Банком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выделении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аванса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размере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млн.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долл.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США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подготовки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проекта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проведения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социальной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сфере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(школы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больницы).</w:t>
      </w:r>
    </w:p>
    <w:p w:rsidR="005F7EA9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1999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Госкомэнергосбережением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была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инициирована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подготовка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ратификации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Рамочной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конвенции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ООН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изменению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климата,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подготовлены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поданы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Экспериментальный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Углеродный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предложения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нескольким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инвестиционным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проектам.</w:t>
      </w:r>
    </w:p>
    <w:p w:rsidR="005A1CE1" w:rsidRPr="000138A7" w:rsidRDefault="005F7EA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основании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изложенного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можно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отметить,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что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1996-2000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выполнены,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что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подтверждается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указанными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выше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макроэкономическими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показателями.</w:t>
      </w:r>
    </w:p>
    <w:p w:rsidR="005A1CE1" w:rsidRPr="000138A7" w:rsidRDefault="005A1CE1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Реализация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финансово-экономического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механизма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призванного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систему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заинтересованности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реализации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следующим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образом:</w:t>
      </w:r>
    </w:p>
    <w:p w:rsidR="005A1CE1" w:rsidRPr="000138A7" w:rsidRDefault="005A1CE1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Создан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оказывающий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адресную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поддержку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юридическим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физическим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лицам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направленных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повышение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эффективности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="004B2672">
        <w:rPr>
          <w:sz w:val="28"/>
          <w:szCs w:val="28"/>
        </w:rPr>
        <w:t xml:space="preserve">топливно </w:t>
      </w:r>
      <w:r w:rsidRPr="000138A7">
        <w:rPr>
          <w:sz w:val="28"/>
          <w:szCs w:val="28"/>
        </w:rPr>
        <w:t>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инновационный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концерна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«Белэнерго»,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которого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предназначены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долевого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участия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работ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энергосбережению.</w:t>
      </w:r>
    </w:p>
    <w:p w:rsidR="00AD0B2D" w:rsidRPr="000138A7" w:rsidRDefault="003A7AD1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главе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Закона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Беларусь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15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июля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1998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№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190-З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«</w:t>
      </w:r>
      <w:r w:rsidRPr="000138A7">
        <w:rPr>
          <w:sz w:val="28"/>
          <w:szCs w:val="28"/>
        </w:rPr>
        <w:t>Об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энергосбережении</w:t>
      </w:r>
      <w:r w:rsidR="00BD3D94" w:rsidRPr="000138A7">
        <w:rPr>
          <w:sz w:val="28"/>
          <w:szCs w:val="28"/>
        </w:rPr>
        <w:t>»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отражены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экономические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финансовые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механизмы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энергосбережения.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Статья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18.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Источники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финансирования</w:t>
      </w:r>
      <w:r w:rsidR="00BD3D94" w:rsidRPr="000138A7">
        <w:rPr>
          <w:sz w:val="28"/>
          <w:szCs w:val="28"/>
        </w:rPr>
        <w:t>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Финансирование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местных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бюджетов,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юридических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физических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лиц,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направляемых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добровольно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также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других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источников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законодательством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Статья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19.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</w:t>
      </w:r>
      <w:r w:rsidR="00BD3D94" w:rsidRPr="000138A7">
        <w:rPr>
          <w:sz w:val="28"/>
          <w:szCs w:val="28"/>
        </w:rPr>
        <w:t>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целях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финансирования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законодательством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образуется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поступлений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виде: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платежей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перерасход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электрической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сверх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(предельных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уровней)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потребления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санкций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за: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несвоевременную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установку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приборов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учета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электрической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утвержденных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производство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единицы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продукции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(работ,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услуг);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нарушение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правил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электрической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энергией;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добровольных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взносов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юридических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физических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лиц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числе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иностранной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валюте);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других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платежей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соответствии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законод</w:t>
      </w:r>
      <w:r w:rsidR="00BD3D94" w:rsidRPr="000138A7">
        <w:rPr>
          <w:sz w:val="28"/>
          <w:szCs w:val="28"/>
        </w:rPr>
        <w:t>ательством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Беларусь.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Средства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указанного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расходуются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на: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реализацию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программ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включая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научно-исследовательские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опытно-конструкторские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работы;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долевое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участие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разработке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внедрении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технологий,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оборудования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материалов,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включая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приобретение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лицензий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внедрение;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участие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международного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сотруднич</w:t>
      </w:r>
      <w:r w:rsidR="00BD3D94" w:rsidRPr="000138A7">
        <w:rPr>
          <w:sz w:val="28"/>
          <w:szCs w:val="28"/>
        </w:rPr>
        <w:t>ества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сфере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энергосбережения;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предоставление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кредитных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льгот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субсидий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пользователям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производителям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реализации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связанных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развитием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малой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нетрадиционной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энергетики,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возобновляемых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источников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вторичных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проведение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государственной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экспертизы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энергетической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эффективности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проектных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решений;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разработку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нормативных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правовых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актов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области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технического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стандартизации,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регламентирующих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проведение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работ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энергетическому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обследованию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учреждений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организаций;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долевое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участие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оснащении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пользователей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производителей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средствами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учета,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контроля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регулирования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энергопотребления;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создание,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совершенствование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приобретение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эталонных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воспроизведения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передачи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единиц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физических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величин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подготовку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переподготовку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кадров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сферы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организацию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пропаганды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информационного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обеспечения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вопросам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эффективного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ресурсов;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других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законодательством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поступления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управления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этим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Расходование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средств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республиканского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фонда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«Энергосбережение»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связанные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энергосберегаю</w:t>
      </w:r>
      <w:r w:rsidR="00BD3D94" w:rsidRPr="000138A7">
        <w:rPr>
          <w:sz w:val="28"/>
          <w:szCs w:val="28"/>
        </w:rPr>
        <w:t>щей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деятельностью,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запрещается.</w:t>
      </w:r>
    </w:p>
    <w:p w:rsidR="00BD3D94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Статья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Экономическое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стимулирование</w:t>
      </w:r>
      <w:r w:rsidR="000138A7">
        <w:rPr>
          <w:sz w:val="28"/>
          <w:szCs w:val="28"/>
        </w:rPr>
        <w:t xml:space="preserve"> </w:t>
      </w:r>
      <w:r w:rsidR="00BD3D94" w:rsidRPr="000138A7">
        <w:rPr>
          <w:sz w:val="28"/>
          <w:szCs w:val="28"/>
        </w:rPr>
        <w:t>энергосбережения.</w:t>
      </w:r>
    </w:p>
    <w:p w:rsidR="00AD0B2D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Пользователям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производителям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осуществляющим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мероприятия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числе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путем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производства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потребления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продукции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лучшими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показателями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против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предусмотренных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обязательными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соблюдения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требованиями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нормативных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правовых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актов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области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технического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нормирования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стандартизации),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могут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предоставляться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льготы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виде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субсидий,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дотаций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законодательством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Беларусь.</w:t>
      </w:r>
    </w:p>
    <w:p w:rsidR="00A23869" w:rsidRPr="000138A7" w:rsidRDefault="00A2386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Если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объекты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малой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нетрадиционной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энергетики,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принадлежащие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субъектам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хозяйствования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независимо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форм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собственности,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подключаются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сетям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энергосистемы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оплата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поставляемой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этими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объектами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тарифам,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стимулирующим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создание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объектов.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целях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стимулирования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рационального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использования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топливно-энергетических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осуществляется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сезонных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цен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природный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газ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сезонных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тарифов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электрическую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тепловую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энергию,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дифференцированных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времени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суток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дням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недели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тарифов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виды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энергии,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также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других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форм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стимулирования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порядке,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определяемом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Правительством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Республики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Беларусь.</w:t>
      </w:r>
    </w:p>
    <w:p w:rsidR="00BD3D94" w:rsidRPr="000138A7" w:rsidRDefault="00BD3D94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8920FB" w:rsidRPr="000138A7" w:rsidRDefault="00AD0B2D" w:rsidP="000138A7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br w:type="page"/>
        <w:t>2.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Задача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</w:t>
      </w:r>
    </w:p>
    <w:p w:rsidR="002F3486" w:rsidRPr="000138A7" w:rsidRDefault="002F3486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B13B66" w:rsidRPr="000138A7" w:rsidRDefault="00B13B66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общей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поверхностью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F(м</w:t>
      </w:r>
      <w:r w:rsidRPr="000138A7">
        <w:rPr>
          <w:sz w:val="28"/>
          <w:szCs w:val="28"/>
          <w:vertAlign w:val="superscript"/>
        </w:rPr>
        <w:t>2</w:t>
      </w:r>
      <w:r w:rsidRPr="000138A7">
        <w:rPr>
          <w:sz w:val="28"/>
          <w:szCs w:val="28"/>
        </w:rPr>
        <w:t>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вариантов:</w:t>
      </w:r>
    </w:p>
    <w:p w:rsidR="00B13B66" w:rsidRPr="000138A7" w:rsidRDefault="00B13B66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1.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бетонная,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коэффициент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теплопроводности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[Вт/м·град].</w:t>
      </w:r>
    </w:p>
    <w:p w:rsidR="00B13B66" w:rsidRPr="000138A7" w:rsidRDefault="00B13B66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2.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кирпичная,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300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коэффициент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теплопро</w:t>
      </w:r>
      <w:r w:rsidRPr="000138A7">
        <w:rPr>
          <w:sz w:val="28"/>
          <w:szCs w:val="28"/>
        </w:rPr>
        <w:t>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0,7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[Вт/м·град].</w:t>
      </w:r>
    </w:p>
    <w:p w:rsidR="00B13B66" w:rsidRPr="000138A7" w:rsidRDefault="00B507BB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3.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кирпичная,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между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двумя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слоями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кирпичной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кладки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тол</w:t>
      </w:r>
      <w:r w:rsidRPr="000138A7">
        <w:rPr>
          <w:sz w:val="28"/>
          <w:szCs w:val="28"/>
        </w:rPr>
        <w:t>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каждого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слоя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150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установ</w:t>
      </w:r>
      <w:r w:rsidRPr="000138A7">
        <w:rPr>
          <w:sz w:val="28"/>
          <w:szCs w:val="28"/>
        </w:rPr>
        <w:t>лена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прокладка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пенопласта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</w:t>
      </w:r>
      <w:r w:rsidR="00B13B66" w:rsidRPr="000138A7">
        <w:rPr>
          <w:sz w:val="28"/>
          <w:szCs w:val="28"/>
        </w:rPr>
        <w:t>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Pr="000138A7">
        <w:rPr>
          <w:sz w:val="28"/>
          <w:szCs w:val="28"/>
          <w:vertAlign w:val="subscript"/>
        </w:rPr>
        <w:t>п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50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мм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коэффициентом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теплопроводности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п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0,05</w:t>
      </w:r>
      <w:r w:rsidR="000138A7">
        <w:rPr>
          <w:sz w:val="28"/>
          <w:szCs w:val="28"/>
        </w:rPr>
        <w:t xml:space="preserve"> </w:t>
      </w:r>
      <w:r w:rsidR="00B13B66" w:rsidRPr="000138A7">
        <w:rPr>
          <w:sz w:val="28"/>
          <w:szCs w:val="28"/>
        </w:rPr>
        <w:t>[Вт/</w:t>
      </w:r>
      <w:r w:rsidRPr="000138A7">
        <w:rPr>
          <w:sz w:val="28"/>
          <w:szCs w:val="28"/>
        </w:rPr>
        <w:t>м·град</w:t>
      </w:r>
      <w:r w:rsidR="00B13B66" w:rsidRPr="000138A7">
        <w:rPr>
          <w:sz w:val="28"/>
          <w:szCs w:val="28"/>
        </w:rPr>
        <w:t>].</w:t>
      </w:r>
    </w:p>
    <w:p w:rsidR="00B13B66" w:rsidRPr="000138A7" w:rsidRDefault="00B13B66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Температуры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внутренней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вн</w:t>
      </w:r>
      <w:r w:rsidR="00B507BB" w:rsidRPr="000138A7">
        <w:rPr>
          <w:sz w:val="28"/>
          <w:szCs w:val="28"/>
        </w:rPr>
        <w:t>ешней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поверхностях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стен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соответ</w:t>
      </w:r>
      <w:r w:rsidRPr="000138A7">
        <w:rPr>
          <w:sz w:val="28"/>
          <w:szCs w:val="28"/>
        </w:rPr>
        <w:t>ственно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равны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  <w:lang w:val="en-US"/>
        </w:rPr>
        <w:t>t</w:t>
      </w:r>
      <w:r w:rsidR="00B507BB" w:rsidRPr="000138A7">
        <w:rPr>
          <w:sz w:val="28"/>
          <w:szCs w:val="28"/>
          <w:vertAlign w:val="subscript"/>
        </w:rPr>
        <w:t>вн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t</w:t>
      </w:r>
      <w:r w:rsidR="00B507BB" w:rsidRPr="000138A7">
        <w:rPr>
          <w:sz w:val="28"/>
          <w:szCs w:val="28"/>
          <w:vertAlign w:val="subscript"/>
        </w:rPr>
        <w:t>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</w:t>
      </w:r>
      <w:r w:rsidR="00B507BB" w:rsidRPr="000138A7">
        <w:rPr>
          <w:sz w:val="28"/>
          <w:szCs w:val="28"/>
        </w:rPr>
        <w:t>º</w:t>
      </w:r>
      <w:r w:rsidRPr="000138A7">
        <w:rPr>
          <w:sz w:val="28"/>
          <w:szCs w:val="28"/>
        </w:rPr>
        <w:t>С].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Рассчитать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снижение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потерь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сравнению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комбинированной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определить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если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продолжительность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отопительного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сезона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τ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4600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часов.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Данные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решения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задачи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выбрать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таблицы</w:t>
      </w:r>
      <w:r w:rsidR="000138A7">
        <w:rPr>
          <w:sz w:val="28"/>
          <w:szCs w:val="28"/>
        </w:rPr>
        <w:t xml:space="preserve"> </w:t>
      </w:r>
      <w:r w:rsidR="00B507BB" w:rsidRPr="000138A7">
        <w:rPr>
          <w:sz w:val="28"/>
          <w:szCs w:val="28"/>
        </w:rPr>
        <w:t>1</w:t>
      </w:r>
      <w:r w:rsidRPr="000138A7">
        <w:rPr>
          <w:sz w:val="28"/>
          <w:szCs w:val="28"/>
        </w:rPr>
        <w:t>.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B507BB" w:rsidRPr="000138A7" w:rsidRDefault="00B507BB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Таблица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</w:t>
      </w:r>
    </w:p>
    <w:tbl>
      <w:tblPr>
        <w:tblW w:w="47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192"/>
        <w:gridCol w:w="3190"/>
      </w:tblGrid>
      <w:tr w:rsidR="00B507BB" w:rsidRPr="000138A7" w:rsidTr="00B45645">
        <w:tc>
          <w:tcPr>
            <w:tcW w:w="1471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0138A7">
              <w:t>F(м</w:t>
            </w:r>
            <w:r w:rsidRPr="00B45645">
              <w:rPr>
                <w:vertAlign w:val="superscript"/>
              </w:rPr>
              <w:t>2</w:t>
            </w:r>
            <w:r w:rsidRPr="000138A7">
              <w:t>)</w:t>
            </w:r>
          </w:p>
        </w:tc>
        <w:tc>
          <w:tcPr>
            <w:tcW w:w="1765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B45645">
              <w:rPr>
                <w:lang w:val="en-US"/>
              </w:rPr>
              <w:t>t</w:t>
            </w:r>
            <w:r w:rsidRPr="00B45645">
              <w:rPr>
                <w:vertAlign w:val="subscript"/>
              </w:rPr>
              <w:t>вн</w:t>
            </w:r>
          </w:p>
        </w:tc>
        <w:tc>
          <w:tcPr>
            <w:tcW w:w="1764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0138A7">
              <w:t>t</w:t>
            </w:r>
            <w:r w:rsidRPr="00B45645">
              <w:rPr>
                <w:vertAlign w:val="subscript"/>
              </w:rPr>
              <w:t>н</w:t>
            </w:r>
          </w:p>
        </w:tc>
      </w:tr>
      <w:tr w:rsidR="00B507BB" w:rsidRPr="000138A7" w:rsidTr="00B45645">
        <w:tc>
          <w:tcPr>
            <w:tcW w:w="1471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0138A7">
              <w:t>10000</w:t>
            </w:r>
          </w:p>
        </w:tc>
        <w:tc>
          <w:tcPr>
            <w:tcW w:w="1765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0138A7">
              <w:t>12</w:t>
            </w:r>
          </w:p>
        </w:tc>
        <w:tc>
          <w:tcPr>
            <w:tcW w:w="1764" w:type="pct"/>
            <w:shd w:val="clear" w:color="auto" w:fill="auto"/>
          </w:tcPr>
          <w:p w:rsidR="00B507BB" w:rsidRPr="000138A7" w:rsidRDefault="00B507BB" w:rsidP="00B45645">
            <w:pPr>
              <w:spacing w:line="360" w:lineRule="auto"/>
              <w:jc w:val="both"/>
            </w:pPr>
            <w:r w:rsidRPr="000138A7">
              <w:t>-16</w:t>
            </w:r>
          </w:p>
        </w:tc>
      </w:tr>
    </w:tbl>
    <w:p w:rsidR="000138A7" w:rsidRDefault="000138A7" w:rsidP="000138A7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D0B2D" w:rsidRPr="000138A7" w:rsidRDefault="00AD0B2D" w:rsidP="000138A7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Решение:</w:t>
      </w:r>
    </w:p>
    <w:p w:rsidR="00AD0B2D" w:rsidRPr="000138A7" w:rsidRDefault="00AD0B2D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612425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плоские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поверхности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стационарном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режиме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определяется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выражению</w:t>
      </w:r>
    </w:p>
    <w:p w:rsidR="000138A7" w:rsidRP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D2C36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0.25pt">
            <v:imagedata r:id="rId7" o:title=""/>
          </v:shape>
        </w:pict>
      </w:r>
    </w:p>
    <w:p w:rsidR="00612425" w:rsidRP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2C36" w:rsidRPr="000138A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546DB4">
        <w:rPr>
          <w:sz w:val="28"/>
          <w:szCs w:val="28"/>
        </w:rPr>
        <w:pict>
          <v:shape id="_x0000_i1026" type="#_x0000_t75" style="width:41.25pt;height:35.25pt">
            <v:imagedata r:id="rId8" o:title=""/>
          </v:shape>
        </w:pic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термическое</w: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плоской</w: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</w:t>
      </w:r>
      <w:r w:rsidR="00612425" w:rsidRPr="000138A7">
        <w:rPr>
          <w:sz w:val="28"/>
          <w:szCs w:val="28"/>
        </w:rPr>
        <w:t>(</w:t>
      </w:r>
      <w:r w:rsidR="002D2C36" w:rsidRPr="000138A7">
        <w:rPr>
          <w:sz w:val="28"/>
          <w:szCs w:val="28"/>
        </w:rPr>
        <w:t>м</w:t>
      </w:r>
      <w:r w:rsidR="002D2C36" w:rsidRPr="000138A7">
        <w:rPr>
          <w:sz w:val="28"/>
          <w:szCs w:val="28"/>
          <w:vertAlign w:val="superscript"/>
        </w:rPr>
        <w:t>2</w:t>
      </w:r>
      <w:r w:rsidR="002D2C36" w:rsidRPr="000138A7">
        <w:rPr>
          <w:sz w:val="28"/>
          <w:szCs w:val="28"/>
        </w:rPr>
        <w:t>·град</w:t>
      </w:r>
      <w:r w:rsidR="00612425" w:rsidRPr="000138A7">
        <w:rPr>
          <w:sz w:val="28"/>
          <w:szCs w:val="28"/>
        </w:rPr>
        <w:t>/Вт);</w:t>
      </w:r>
    </w:p>
    <w:p w:rsidR="002D2C36" w:rsidRPr="000138A7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F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общая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поверхность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(м</w:t>
      </w:r>
      <w:r w:rsidRPr="000138A7">
        <w:rPr>
          <w:sz w:val="28"/>
          <w:szCs w:val="28"/>
          <w:vertAlign w:val="superscript"/>
        </w:rPr>
        <w:t>2</w:t>
      </w:r>
      <w:r w:rsidR="002D2C36" w:rsidRPr="000138A7">
        <w:rPr>
          <w:sz w:val="28"/>
          <w:szCs w:val="28"/>
        </w:rPr>
        <w:t>).</w:t>
      </w:r>
    </w:p>
    <w:p w:rsidR="00612425" w:rsidRPr="000138A7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Потери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уменьшаются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увеличения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термического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сопротивления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определяется</w:t>
      </w:r>
      <w:r w:rsidR="002D2C36" w:rsidRPr="000138A7">
        <w:rPr>
          <w:sz w:val="28"/>
          <w:szCs w:val="28"/>
        </w:rPr>
        <w:t>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D2C36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6pt;height:35.25pt">
            <v:imagedata r:id="rId9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D2C36" w:rsidRPr="000138A7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где</w:t>
      </w:r>
      <w:r w:rsidR="000138A7">
        <w:rPr>
          <w:sz w:val="28"/>
          <w:szCs w:val="28"/>
        </w:rPr>
        <w:t xml:space="preserve"> </w:t>
      </w:r>
      <w:r w:rsidR="00546DB4">
        <w:rPr>
          <w:sz w:val="28"/>
        </w:rPr>
        <w:pict>
          <v:shape id="_x0000_i1028" type="#_x0000_t75" style="width:27pt;height:18.75pt">
            <v:imagedata r:id="rId10" o:title=""/>
          </v:shape>
        </w:pic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29300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(кДж</w:t>
      </w:r>
      <w:r w:rsidRPr="000138A7">
        <w:rPr>
          <w:sz w:val="28"/>
          <w:szCs w:val="28"/>
        </w:rPr>
        <w:t>/кг)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</w:t>
      </w:r>
      <w:r w:rsidR="002D2C36" w:rsidRPr="000138A7">
        <w:rPr>
          <w:sz w:val="28"/>
          <w:szCs w:val="28"/>
        </w:rPr>
        <w:t>ота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сгорания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топлива.</w:t>
      </w:r>
    </w:p>
    <w:p w:rsidR="00612425" w:rsidRPr="000138A7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рассчитывается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весь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отопительный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сезон.</w:t>
      </w:r>
    </w:p>
    <w:p w:rsidR="00612425" w:rsidRPr="000138A7" w:rsidRDefault="00612425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Экономия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повышения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требований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теплоизоляции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</w:t>
      </w:r>
      <w:r w:rsidR="002D2C36" w:rsidRPr="000138A7">
        <w:rPr>
          <w:sz w:val="28"/>
          <w:szCs w:val="28"/>
        </w:rPr>
        <w:t>н</w:t>
      </w:r>
      <w:r w:rsidR="000138A7">
        <w:rPr>
          <w:sz w:val="28"/>
          <w:szCs w:val="28"/>
        </w:rPr>
        <w:t xml:space="preserve"> </w:t>
      </w:r>
      <w:r w:rsidR="002D2C36" w:rsidRPr="000138A7">
        <w:rPr>
          <w:sz w:val="28"/>
          <w:szCs w:val="28"/>
        </w:rPr>
        <w:t>зданий: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D2C36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2pt;height:36pt">
            <v:imagedata r:id="rId11" o:title=""/>
          </v:shape>
        </w:pict>
      </w:r>
      <w:r w:rsidR="002D2C36" w:rsidRPr="000138A7">
        <w:rPr>
          <w:sz w:val="28"/>
          <w:szCs w:val="28"/>
        </w:rPr>
        <w:t>,</w:t>
      </w:r>
    </w:p>
    <w:p w:rsidR="005A1CE1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8pt;height:20.25pt">
            <v:imagedata r:id="rId12" o:title=""/>
          </v:shape>
        </w:pict>
      </w:r>
      <w:r w:rsidR="002D2C36" w:rsidRPr="000138A7">
        <w:rPr>
          <w:sz w:val="28"/>
          <w:szCs w:val="28"/>
        </w:rPr>
        <w:t>.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5A1CE1" w:rsidRPr="000138A7" w:rsidRDefault="00C12722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Проведем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расчеты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следующих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вариантов:</w:t>
      </w:r>
    </w:p>
    <w:p w:rsidR="00C12722" w:rsidRPr="000138A7" w:rsidRDefault="00C12722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1.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бетонная,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коэффициент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теплопроводности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[Вт/м·град].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C12722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6pt;height:48.75pt">
            <v:imagedata r:id="rId13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C12722" w:rsidRPr="000138A7" w:rsidRDefault="005A6FAD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составит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933,33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кВт.</w:t>
      </w:r>
    </w:p>
    <w:p w:rsidR="005A6FAD" w:rsidRPr="000138A7" w:rsidRDefault="00221409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здания:</w:t>
      </w:r>
    </w:p>
    <w:p w:rsidR="00B351E7" w:rsidRPr="000138A7" w:rsidRDefault="00B351E7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1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Дж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≈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0,277(7)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кВт·ч.,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следовательно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29300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(кДж/кг)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29300000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(Дж/кг)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29300000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/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0,277(7)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кВт·ч./кг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105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776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173,3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кВт·ч./кг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21409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9.25pt;height:33pt">
            <v:imagedata r:id="rId14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221409" w:rsidRPr="000138A7" w:rsidRDefault="00B351E7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8,82×10</w:t>
      </w:r>
      <w:r w:rsidRPr="000138A7">
        <w:rPr>
          <w:sz w:val="28"/>
          <w:szCs w:val="28"/>
          <w:vertAlign w:val="superscript"/>
        </w:rPr>
        <w:t>-6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кг/ч.</w:t>
      </w:r>
    </w:p>
    <w:p w:rsidR="00221409" w:rsidRPr="000138A7" w:rsidRDefault="00B351E7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повышения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требований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теплоизоляции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зданий: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B351E7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76pt;height:18.75pt">
            <v:imagedata r:id="rId15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1D19CC" w:rsidRPr="000138A7" w:rsidRDefault="001D19CC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1-го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варианта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40,572×10</w:t>
      </w:r>
      <w:r w:rsidRPr="000138A7">
        <w:rPr>
          <w:sz w:val="28"/>
          <w:szCs w:val="28"/>
          <w:vertAlign w:val="superscript"/>
        </w:rPr>
        <w:t>-3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кг/сезон.</w:t>
      </w:r>
    </w:p>
    <w:p w:rsidR="00C12722" w:rsidRPr="000138A7" w:rsidRDefault="00C12722" w:rsidP="00013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138A7">
        <w:rPr>
          <w:sz w:val="28"/>
          <w:szCs w:val="28"/>
        </w:rPr>
        <w:t>2.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кирпичная,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300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коэффициент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теплопроводности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0,7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[Вт/м·град].</w:t>
      </w: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Рассчитаем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поток.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58pt;height:48.75pt">
            <v:imagedata r:id="rId16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составит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653,34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кВт.</w:t>
      </w: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37.75pt;height:33pt">
            <v:imagedata r:id="rId17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6,18×10</w:t>
      </w:r>
      <w:r w:rsidRPr="000138A7">
        <w:rPr>
          <w:sz w:val="28"/>
          <w:szCs w:val="28"/>
          <w:vertAlign w:val="superscript"/>
        </w:rPr>
        <w:t>-6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кг/ч.</w:t>
      </w: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повышения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требований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теплоизоляции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зданий: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76pt;height:18.75pt">
            <v:imagedata r:id="rId18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D31488" w:rsidRPr="000138A7" w:rsidRDefault="00D31488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2-го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варианта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28,428×10</w:t>
      </w:r>
      <w:r w:rsidRPr="000138A7">
        <w:rPr>
          <w:sz w:val="28"/>
          <w:szCs w:val="28"/>
          <w:vertAlign w:val="superscript"/>
        </w:rPr>
        <w:t>-3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кг/сезон.</w:t>
      </w:r>
    </w:p>
    <w:p w:rsidR="00C12722" w:rsidRPr="000138A7" w:rsidRDefault="00C12722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3.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кирпичная,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между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двумя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слоями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кирпичной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кладки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каждого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слоя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150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установлена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прокладка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пенопласта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толщиной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δ</w:t>
      </w:r>
      <w:r w:rsidRPr="000138A7">
        <w:rPr>
          <w:sz w:val="28"/>
          <w:szCs w:val="28"/>
          <w:vertAlign w:val="subscript"/>
        </w:rPr>
        <w:t>п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50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коэффициентом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теплопроводности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λ</w:t>
      </w:r>
      <w:r w:rsidRPr="000138A7">
        <w:rPr>
          <w:sz w:val="28"/>
          <w:szCs w:val="28"/>
          <w:vertAlign w:val="subscript"/>
        </w:rPr>
        <w:t>п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=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0,05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[Вт/м·град].</w:t>
      </w: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Рассчитаем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поток.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43pt;height:48.75pt">
            <v:imagedata r:id="rId19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тепловой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поток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составит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70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кВт.</w:t>
      </w: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40pt;height:33pt">
            <v:imagedata r:id="rId20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Расход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отопление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6,62×10</w:t>
      </w:r>
      <w:r w:rsidRPr="000138A7">
        <w:rPr>
          <w:sz w:val="28"/>
          <w:szCs w:val="28"/>
          <w:vertAlign w:val="superscript"/>
        </w:rPr>
        <w:t>-7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кг/ч.</w:t>
      </w: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Определим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счет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повышения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требований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теплоизоляции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стен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зданий:</w: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546DB4" w:rsidP="0001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76.75pt;height:18.75pt">
            <v:imagedata r:id="rId21" o:title=""/>
          </v:shape>
        </w:pict>
      </w:r>
    </w:p>
    <w:p w:rsidR="000138A7" w:rsidRDefault="000138A7" w:rsidP="000138A7">
      <w:pPr>
        <w:spacing w:line="360" w:lineRule="auto"/>
        <w:ind w:firstLine="709"/>
        <w:jc w:val="both"/>
        <w:rPr>
          <w:sz w:val="28"/>
          <w:szCs w:val="28"/>
        </w:rPr>
      </w:pPr>
    </w:p>
    <w:p w:rsidR="000E4F0F" w:rsidRPr="000138A7" w:rsidRDefault="000E4F0F" w:rsidP="000138A7">
      <w:pPr>
        <w:spacing w:line="360" w:lineRule="auto"/>
        <w:ind w:firstLine="709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Таким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образом,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условного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топлива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для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3-го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варианта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составляет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30,452×10</w:t>
      </w:r>
      <w:r w:rsidRPr="000138A7">
        <w:rPr>
          <w:sz w:val="28"/>
          <w:szCs w:val="28"/>
          <w:vertAlign w:val="superscript"/>
        </w:rPr>
        <w:t>-4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кг/сезон.</w:t>
      </w:r>
    </w:p>
    <w:p w:rsidR="007643F4" w:rsidRPr="000138A7" w:rsidRDefault="007643F4" w:rsidP="000138A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138A7">
        <w:rPr>
          <w:sz w:val="28"/>
        </w:rPr>
        <w:t>Список</w:t>
      </w:r>
      <w:r w:rsidR="000138A7">
        <w:rPr>
          <w:sz w:val="28"/>
        </w:rPr>
        <w:t xml:space="preserve"> </w:t>
      </w:r>
      <w:r w:rsidRPr="000138A7">
        <w:rPr>
          <w:sz w:val="28"/>
        </w:rPr>
        <w:t>использованных</w:t>
      </w:r>
      <w:r w:rsidR="000138A7">
        <w:rPr>
          <w:sz w:val="28"/>
        </w:rPr>
        <w:t xml:space="preserve"> </w:t>
      </w:r>
      <w:r w:rsidRPr="000138A7">
        <w:rPr>
          <w:sz w:val="28"/>
        </w:rPr>
        <w:t>источников</w:t>
      </w:r>
    </w:p>
    <w:p w:rsidR="008920FB" w:rsidRPr="000138A7" w:rsidRDefault="008920FB" w:rsidP="000138A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F7AC8" w:rsidRPr="000138A7" w:rsidRDefault="00EE5F15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О</w:t>
      </w:r>
      <w:r w:rsidR="006F7AC8" w:rsidRPr="000138A7">
        <w:rPr>
          <w:sz w:val="28"/>
          <w:szCs w:val="28"/>
        </w:rPr>
        <w:t>сновы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энергосбережения: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Учеб.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пособие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/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М.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В.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Самойлов,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В.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В.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Паневчик,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А.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Н.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Ковалев.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2-е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изд.,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стереотип.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Мн.: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БГЭУ,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2002.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198</w:t>
      </w:r>
      <w:r w:rsidR="000138A7">
        <w:rPr>
          <w:sz w:val="28"/>
          <w:szCs w:val="28"/>
        </w:rPr>
        <w:t xml:space="preserve"> </w:t>
      </w:r>
      <w:r w:rsidR="006F7AC8" w:rsidRPr="000138A7">
        <w:rPr>
          <w:sz w:val="28"/>
          <w:szCs w:val="28"/>
        </w:rPr>
        <w:t>с.</w:t>
      </w:r>
    </w:p>
    <w:p w:rsidR="00D52E06" w:rsidRPr="000138A7" w:rsidRDefault="00D52E06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Сидорский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Через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экономию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ресурсов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росту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экономики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благосостояния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людей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//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Экономика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Беларуси.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2007.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№3.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6-15.</w:t>
      </w:r>
    </w:p>
    <w:p w:rsidR="00D52E06" w:rsidRPr="000138A7" w:rsidRDefault="00D52E06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Стятюгина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А.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Е.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Экономические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механизмы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//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Материалы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XI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Международной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научной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конференции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магистрантов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студентов.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Минск,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мая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2007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г.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33.</w:t>
      </w:r>
    </w:p>
    <w:p w:rsidR="00D52E06" w:rsidRPr="000138A7" w:rsidRDefault="00D52E06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Горустович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В.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Система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управления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энергосбережением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предприятия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Энергоэффективность.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2006.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№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8.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15-17.</w:t>
      </w:r>
    </w:p>
    <w:p w:rsidR="006F7AC8" w:rsidRPr="000138A7" w:rsidRDefault="00EE5F15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Шимова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Основы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экологии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и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экономика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природопользования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/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О.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Шимова,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К.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Соколовский.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Минск: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БГЭУ,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2001.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368</w:t>
      </w:r>
      <w:r w:rsid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</w:p>
    <w:p w:rsidR="0024592D" w:rsidRPr="000138A7" w:rsidRDefault="00EE5F15" w:rsidP="000138A7">
      <w:pPr>
        <w:numPr>
          <w:ilvl w:val="0"/>
          <w:numId w:val="12"/>
        </w:numPr>
        <w:tabs>
          <w:tab w:val="clear" w:pos="720"/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A7">
        <w:rPr>
          <w:sz w:val="28"/>
          <w:szCs w:val="28"/>
        </w:rPr>
        <w:t>Штомпель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Экономическая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экология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/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Н.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Попков.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Минск: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БГАТУ,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2001.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-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349</w:t>
      </w:r>
      <w:r w:rsidR="000138A7" w:rsidRPr="000138A7">
        <w:rPr>
          <w:sz w:val="28"/>
          <w:szCs w:val="28"/>
        </w:rPr>
        <w:t xml:space="preserve"> </w:t>
      </w:r>
      <w:r w:rsidRPr="000138A7">
        <w:rPr>
          <w:sz w:val="28"/>
          <w:szCs w:val="28"/>
        </w:rPr>
        <w:t>с.</w:t>
      </w:r>
      <w:bookmarkStart w:id="0" w:name="_GoBack"/>
      <w:bookmarkEnd w:id="0"/>
    </w:p>
    <w:sectPr w:rsidR="0024592D" w:rsidRPr="000138A7" w:rsidSect="000138A7">
      <w:headerReference w:type="even" r:id="rId22"/>
      <w:footerReference w:type="even" r:id="rId23"/>
      <w:pgSz w:w="11909" w:h="16834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45" w:rsidRDefault="00B45645">
      <w:pPr>
        <w:pStyle w:val="a5"/>
      </w:pPr>
      <w:r>
        <w:separator/>
      </w:r>
    </w:p>
  </w:endnote>
  <w:endnote w:type="continuationSeparator" w:id="0">
    <w:p w:rsidR="00B45645" w:rsidRDefault="00B4564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72" w:rsidRDefault="004B2672">
    <w:pPr>
      <w:pStyle w:val="a5"/>
      <w:framePr w:wrap="around" w:vAnchor="text" w:hAnchor="margin" w:xAlign="center" w:y="1"/>
      <w:rPr>
        <w:rStyle w:val="a7"/>
      </w:rPr>
    </w:pPr>
  </w:p>
  <w:p w:rsidR="004B2672" w:rsidRDefault="004B26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45" w:rsidRDefault="00B45645">
      <w:pPr>
        <w:pStyle w:val="a5"/>
      </w:pPr>
      <w:r>
        <w:separator/>
      </w:r>
    </w:p>
  </w:footnote>
  <w:footnote w:type="continuationSeparator" w:id="0">
    <w:p w:rsidR="00B45645" w:rsidRDefault="00B4564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72" w:rsidRDefault="004B2672">
    <w:pPr>
      <w:pStyle w:val="ac"/>
      <w:framePr w:wrap="around" w:vAnchor="text" w:hAnchor="margin" w:xAlign="right" w:y="1"/>
      <w:rPr>
        <w:rStyle w:val="a7"/>
      </w:rPr>
    </w:pPr>
  </w:p>
  <w:p w:rsidR="004B2672" w:rsidRDefault="004B267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5D09EF"/>
    <w:multiLevelType w:val="hybridMultilevel"/>
    <w:tmpl w:val="B366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5">
    <w:nsid w:val="4E597CE1"/>
    <w:multiLevelType w:val="hybridMultilevel"/>
    <w:tmpl w:val="FE7A2784"/>
    <w:lvl w:ilvl="0" w:tplc="A6CC6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055D7C"/>
    <w:multiLevelType w:val="singleLevel"/>
    <w:tmpl w:val="4C7CADCC"/>
    <w:lvl w:ilvl="0">
      <w:start w:val="1"/>
      <w:numFmt w:val="decimal"/>
      <w:lvlText w:val="%1."/>
      <w:legacy w:legacy="1" w:legacySpace="0" w:legacyIndent="206"/>
      <w:lvlJc w:val="left"/>
      <w:rPr>
        <w:rFonts w:ascii="Cambria" w:hAnsi="Cambria" w:cs="Times New Roman" w:hint="default"/>
      </w:rPr>
    </w:lvl>
  </w:abstractNum>
  <w:abstractNum w:abstractNumId="12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138A7"/>
    <w:rsid w:val="0002259F"/>
    <w:rsid w:val="00054AF2"/>
    <w:rsid w:val="00061678"/>
    <w:rsid w:val="0006383A"/>
    <w:rsid w:val="00090F0B"/>
    <w:rsid w:val="000E4F0F"/>
    <w:rsid w:val="0010737F"/>
    <w:rsid w:val="00110D08"/>
    <w:rsid w:val="00141BFF"/>
    <w:rsid w:val="001962AA"/>
    <w:rsid w:val="001B488A"/>
    <w:rsid w:val="001B6B9F"/>
    <w:rsid w:val="001C5C64"/>
    <w:rsid w:val="001D19CC"/>
    <w:rsid w:val="001E04D7"/>
    <w:rsid w:val="00200DC8"/>
    <w:rsid w:val="002209A9"/>
    <w:rsid w:val="00221409"/>
    <w:rsid w:val="00227E6F"/>
    <w:rsid w:val="002433BC"/>
    <w:rsid w:val="0024592D"/>
    <w:rsid w:val="00263DEE"/>
    <w:rsid w:val="002C08D3"/>
    <w:rsid w:val="002C1024"/>
    <w:rsid w:val="002D16B5"/>
    <w:rsid w:val="002D2C36"/>
    <w:rsid w:val="002E6A1F"/>
    <w:rsid w:val="002F0701"/>
    <w:rsid w:val="002F3486"/>
    <w:rsid w:val="002F376E"/>
    <w:rsid w:val="002F6C5E"/>
    <w:rsid w:val="00311448"/>
    <w:rsid w:val="00336DAA"/>
    <w:rsid w:val="003405B0"/>
    <w:rsid w:val="00370122"/>
    <w:rsid w:val="003A4764"/>
    <w:rsid w:val="003A5609"/>
    <w:rsid w:val="003A7AD1"/>
    <w:rsid w:val="003B3C17"/>
    <w:rsid w:val="003C3056"/>
    <w:rsid w:val="003E7327"/>
    <w:rsid w:val="003F5B37"/>
    <w:rsid w:val="004105C7"/>
    <w:rsid w:val="00422E98"/>
    <w:rsid w:val="00433FFC"/>
    <w:rsid w:val="00450F3F"/>
    <w:rsid w:val="004948C6"/>
    <w:rsid w:val="004B2672"/>
    <w:rsid w:val="004B56AA"/>
    <w:rsid w:val="00504358"/>
    <w:rsid w:val="00517B58"/>
    <w:rsid w:val="00546DB4"/>
    <w:rsid w:val="005A1CE1"/>
    <w:rsid w:val="005A6FAD"/>
    <w:rsid w:val="005C0927"/>
    <w:rsid w:val="005C222C"/>
    <w:rsid w:val="005E19F6"/>
    <w:rsid w:val="005F7CF2"/>
    <w:rsid w:val="005F7EA9"/>
    <w:rsid w:val="00612425"/>
    <w:rsid w:val="0061487A"/>
    <w:rsid w:val="00616315"/>
    <w:rsid w:val="006225E3"/>
    <w:rsid w:val="00640B9D"/>
    <w:rsid w:val="006B18BB"/>
    <w:rsid w:val="006B41B8"/>
    <w:rsid w:val="006F0B7B"/>
    <w:rsid w:val="006F1041"/>
    <w:rsid w:val="006F7AC8"/>
    <w:rsid w:val="007055E0"/>
    <w:rsid w:val="007241F8"/>
    <w:rsid w:val="007351CA"/>
    <w:rsid w:val="00754871"/>
    <w:rsid w:val="007643F4"/>
    <w:rsid w:val="007843FD"/>
    <w:rsid w:val="00784CCC"/>
    <w:rsid w:val="00786D22"/>
    <w:rsid w:val="007B75FA"/>
    <w:rsid w:val="007C6AB6"/>
    <w:rsid w:val="007F5538"/>
    <w:rsid w:val="00800CA2"/>
    <w:rsid w:val="00802AD2"/>
    <w:rsid w:val="00870781"/>
    <w:rsid w:val="008920FB"/>
    <w:rsid w:val="008E7EBF"/>
    <w:rsid w:val="00936E11"/>
    <w:rsid w:val="00937CDC"/>
    <w:rsid w:val="00940DCD"/>
    <w:rsid w:val="009472BF"/>
    <w:rsid w:val="00982D26"/>
    <w:rsid w:val="009C191E"/>
    <w:rsid w:val="009F624E"/>
    <w:rsid w:val="00A070DB"/>
    <w:rsid w:val="00A23869"/>
    <w:rsid w:val="00A42975"/>
    <w:rsid w:val="00A5020B"/>
    <w:rsid w:val="00A8589A"/>
    <w:rsid w:val="00A87BB6"/>
    <w:rsid w:val="00AC5ED4"/>
    <w:rsid w:val="00AD0B2D"/>
    <w:rsid w:val="00AF4750"/>
    <w:rsid w:val="00B13B66"/>
    <w:rsid w:val="00B20C51"/>
    <w:rsid w:val="00B2190C"/>
    <w:rsid w:val="00B351E7"/>
    <w:rsid w:val="00B45645"/>
    <w:rsid w:val="00B507BB"/>
    <w:rsid w:val="00B57894"/>
    <w:rsid w:val="00B653C0"/>
    <w:rsid w:val="00B83938"/>
    <w:rsid w:val="00B93774"/>
    <w:rsid w:val="00B93C8F"/>
    <w:rsid w:val="00BA0D6F"/>
    <w:rsid w:val="00BA781E"/>
    <w:rsid w:val="00BB0DB7"/>
    <w:rsid w:val="00BB1C03"/>
    <w:rsid w:val="00BB2B24"/>
    <w:rsid w:val="00BC30C7"/>
    <w:rsid w:val="00BD3D94"/>
    <w:rsid w:val="00BD49AA"/>
    <w:rsid w:val="00C12722"/>
    <w:rsid w:val="00C275A3"/>
    <w:rsid w:val="00C75A55"/>
    <w:rsid w:val="00C765CA"/>
    <w:rsid w:val="00C9470B"/>
    <w:rsid w:val="00CA6B39"/>
    <w:rsid w:val="00D0654A"/>
    <w:rsid w:val="00D13F16"/>
    <w:rsid w:val="00D31488"/>
    <w:rsid w:val="00D37A97"/>
    <w:rsid w:val="00D52E06"/>
    <w:rsid w:val="00D53D93"/>
    <w:rsid w:val="00D74FEC"/>
    <w:rsid w:val="00D87ACE"/>
    <w:rsid w:val="00DC0CAE"/>
    <w:rsid w:val="00DD496B"/>
    <w:rsid w:val="00DE09C9"/>
    <w:rsid w:val="00E36CAB"/>
    <w:rsid w:val="00E45CE0"/>
    <w:rsid w:val="00E719A4"/>
    <w:rsid w:val="00E91C6D"/>
    <w:rsid w:val="00EA5BDA"/>
    <w:rsid w:val="00ED4374"/>
    <w:rsid w:val="00EE5F15"/>
    <w:rsid w:val="00F206FA"/>
    <w:rsid w:val="00F44382"/>
    <w:rsid w:val="00F82806"/>
    <w:rsid w:val="00F93E6D"/>
    <w:rsid w:val="00FB2B50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E162BC21-CC94-4E38-9353-905F6651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paragraph" w:customStyle="1" w:styleId="t01">
    <w:name w:val="t01"/>
    <w:basedOn w:val="a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9F624E"/>
    <w:rPr>
      <w:rFonts w:cs="Times New Roman"/>
      <w:b/>
      <w:bCs/>
    </w:rPr>
  </w:style>
  <w:style w:type="table" w:styleId="af0">
    <w:name w:val="Table Grid"/>
    <w:basedOn w:val="a1"/>
    <w:uiPriority w:val="59"/>
    <w:rsid w:val="003405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6F7AC8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Style2">
    <w:name w:val="Style2"/>
    <w:basedOn w:val="a"/>
    <w:rsid w:val="00B13B66"/>
    <w:pPr>
      <w:spacing w:line="230" w:lineRule="exact"/>
      <w:ind w:firstLine="600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B13B66"/>
    <w:pPr>
      <w:spacing w:line="240" w:lineRule="exact"/>
      <w:ind w:firstLine="600"/>
      <w:jc w:val="both"/>
    </w:pPr>
    <w:rPr>
      <w:rFonts w:ascii="Cambria" w:hAnsi="Cambria"/>
      <w:sz w:val="24"/>
      <w:szCs w:val="24"/>
    </w:rPr>
  </w:style>
  <w:style w:type="character" w:customStyle="1" w:styleId="FontStyle16">
    <w:name w:val="Font Style16"/>
    <w:rsid w:val="00B13B66"/>
    <w:rPr>
      <w:rFonts w:ascii="Cambria" w:hAnsi="Cambria" w:cs="Cambria"/>
      <w:b/>
      <w:bCs/>
      <w:smallCaps/>
      <w:sz w:val="18"/>
      <w:szCs w:val="18"/>
    </w:rPr>
  </w:style>
  <w:style w:type="character" w:customStyle="1" w:styleId="FontStyle19">
    <w:name w:val="Font Style19"/>
    <w:rsid w:val="00B13B66"/>
    <w:rPr>
      <w:rFonts w:ascii="Cambria" w:hAnsi="Cambria" w:cs="Cambria"/>
      <w:b/>
      <w:bCs/>
      <w:i/>
      <w:iCs/>
      <w:spacing w:val="30"/>
      <w:sz w:val="18"/>
      <w:szCs w:val="18"/>
    </w:rPr>
  </w:style>
  <w:style w:type="character" w:customStyle="1" w:styleId="FontStyle20">
    <w:name w:val="Font Style20"/>
    <w:rsid w:val="00B13B66"/>
    <w:rPr>
      <w:rFonts w:ascii="Cambria" w:hAnsi="Cambria" w:cs="Cambria"/>
      <w:i/>
      <w:iCs/>
      <w:sz w:val="20"/>
      <w:szCs w:val="20"/>
    </w:rPr>
  </w:style>
  <w:style w:type="character" w:customStyle="1" w:styleId="FontStyle23">
    <w:name w:val="Font Style23"/>
    <w:rsid w:val="00B13B66"/>
    <w:rPr>
      <w:rFonts w:ascii="Cambria" w:hAnsi="Cambria" w:cs="Cambria"/>
      <w:spacing w:val="-10"/>
      <w:sz w:val="18"/>
      <w:szCs w:val="18"/>
    </w:rPr>
  </w:style>
  <w:style w:type="paragraph" w:customStyle="1" w:styleId="Default">
    <w:name w:val="Default"/>
    <w:rsid w:val="00245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612425"/>
    <w:rPr>
      <w:rFonts w:ascii="Cambria" w:hAnsi="Cambria"/>
      <w:sz w:val="24"/>
      <w:szCs w:val="24"/>
    </w:rPr>
  </w:style>
  <w:style w:type="paragraph" w:customStyle="1" w:styleId="Style6">
    <w:name w:val="Style6"/>
    <w:basedOn w:val="a"/>
    <w:rsid w:val="00612425"/>
    <w:pPr>
      <w:spacing w:line="365" w:lineRule="exact"/>
    </w:pPr>
    <w:rPr>
      <w:rFonts w:ascii="Cambria" w:hAnsi="Cambria"/>
      <w:sz w:val="24"/>
      <w:szCs w:val="24"/>
    </w:rPr>
  </w:style>
  <w:style w:type="paragraph" w:customStyle="1" w:styleId="Style7">
    <w:name w:val="Style7"/>
    <w:basedOn w:val="a"/>
    <w:rsid w:val="00612425"/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612425"/>
    <w:pPr>
      <w:spacing w:line="125" w:lineRule="exact"/>
      <w:ind w:firstLine="605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612425"/>
    <w:pPr>
      <w:spacing w:line="203" w:lineRule="exact"/>
      <w:jc w:val="both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rsid w:val="00612425"/>
    <w:rPr>
      <w:rFonts w:ascii="Cambria" w:hAnsi="Cambria"/>
      <w:sz w:val="24"/>
      <w:szCs w:val="24"/>
    </w:rPr>
  </w:style>
  <w:style w:type="paragraph" w:customStyle="1" w:styleId="Style13">
    <w:name w:val="Style13"/>
    <w:basedOn w:val="a"/>
    <w:rsid w:val="00612425"/>
    <w:rPr>
      <w:rFonts w:ascii="Cambria" w:hAnsi="Cambria"/>
      <w:sz w:val="24"/>
      <w:szCs w:val="24"/>
    </w:rPr>
  </w:style>
  <w:style w:type="character" w:customStyle="1" w:styleId="FontStyle17">
    <w:name w:val="Font Style17"/>
    <w:rsid w:val="00612425"/>
    <w:rPr>
      <w:rFonts w:ascii="Cambria" w:hAnsi="Cambria" w:cs="Cambria"/>
      <w:sz w:val="18"/>
      <w:szCs w:val="18"/>
    </w:rPr>
  </w:style>
  <w:style w:type="character" w:customStyle="1" w:styleId="FontStyle21">
    <w:name w:val="Font Style21"/>
    <w:rsid w:val="00612425"/>
    <w:rPr>
      <w:rFonts w:ascii="Cambria" w:hAnsi="Cambria" w:cs="Cambria"/>
      <w:spacing w:val="-30"/>
      <w:sz w:val="32"/>
      <w:szCs w:val="32"/>
    </w:rPr>
  </w:style>
  <w:style w:type="character" w:customStyle="1" w:styleId="FontStyle22">
    <w:name w:val="Font Style22"/>
    <w:rsid w:val="00612425"/>
    <w:rPr>
      <w:rFonts w:ascii="Cambria" w:hAnsi="Cambria" w:cs="Cambria"/>
      <w:b/>
      <w:bCs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2014-03-13T00:52:00Z</dcterms:created>
  <dcterms:modified xsi:type="dcterms:W3CDTF">2014-03-13T00:52:00Z</dcterms:modified>
</cp:coreProperties>
</file>