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0D" w:rsidRPr="00787914" w:rsidRDefault="0032090D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7914">
        <w:rPr>
          <w:b/>
          <w:bCs/>
          <w:sz w:val="28"/>
          <w:szCs w:val="28"/>
        </w:rPr>
        <w:t>Содержание</w:t>
      </w:r>
    </w:p>
    <w:p w:rsidR="0032090D" w:rsidRPr="00787914" w:rsidRDefault="0032090D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>Задание № 1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>Задание № 2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 xml:space="preserve">Задание № </w:t>
      </w:r>
      <w:r w:rsidR="00E531B7" w:rsidRPr="00787914">
        <w:rPr>
          <w:sz w:val="28"/>
          <w:szCs w:val="28"/>
        </w:rPr>
        <w:t>3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 xml:space="preserve">Задание № </w:t>
      </w:r>
      <w:r w:rsidR="00E531B7" w:rsidRPr="00787914">
        <w:rPr>
          <w:sz w:val="28"/>
          <w:szCs w:val="28"/>
        </w:rPr>
        <w:t>4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>Задание № 5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>Задание №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6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>Задание № 7</w:t>
      </w:r>
    </w:p>
    <w:p w:rsidR="0032090D" w:rsidRPr="00787914" w:rsidRDefault="0032090D" w:rsidP="00787914">
      <w:pPr>
        <w:widowControl w:val="0"/>
        <w:spacing w:line="360" w:lineRule="auto"/>
        <w:rPr>
          <w:sz w:val="28"/>
          <w:szCs w:val="28"/>
        </w:rPr>
      </w:pPr>
      <w:r w:rsidRPr="00787914">
        <w:rPr>
          <w:sz w:val="28"/>
          <w:szCs w:val="28"/>
        </w:rPr>
        <w:t>Список литературы</w:t>
      </w:r>
    </w:p>
    <w:p w:rsidR="0032090D" w:rsidRPr="00787914" w:rsidRDefault="0032090D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787914" w:rsidRDefault="007879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87914">
        <w:rPr>
          <w:b/>
          <w:bCs/>
          <w:sz w:val="28"/>
          <w:szCs w:val="28"/>
        </w:rPr>
        <w:t>Задание № 1</w:t>
      </w:r>
    </w:p>
    <w:p w:rsidR="00787914" w:rsidRPr="00787914" w:rsidRDefault="007879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61ED0" w:rsidRPr="00787914" w:rsidRDefault="00161ED0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Данные об имущественном положении и источниках финансирования активов отражены в таблице 1.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161ED0" w:rsidRPr="00787914" w:rsidRDefault="00161ED0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1.</w:t>
      </w:r>
    </w:p>
    <w:p w:rsidR="00161ED0" w:rsidRPr="00787914" w:rsidRDefault="00161ED0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Структурно – динамический анализ активов и пассивов организации</w:t>
      </w:r>
    </w:p>
    <w:tbl>
      <w:tblPr>
        <w:tblW w:w="9456" w:type="dxa"/>
        <w:tblInd w:w="93" w:type="dxa"/>
        <w:tblLook w:val="0000" w:firstRow="0" w:lastRow="0" w:firstColumn="0" w:lastColumn="0" w:noHBand="0" w:noVBand="0"/>
      </w:tblPr>
      <w:tblGrid>
        <w:gridCol w:w="2092"/>
        <w:gridCol w:w="874"/>
        <w:gridCol w:w="874"/>
        <w:gridCol w:w="1116"/>
        <w:gridCol w:w="1449"/>
        <w:gridCol w:w="978"/>
        <w:gridCol w:w="957"/>
        <w:gridCol w:w="1116"/>
      </w:tblGrid>
      <w:tr w:rsidR="006F7C6B" w:rsidRPr="00787914">
        <w:trPr>
          <w:trHeight w:val="10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Показатель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Остатки по балансу, тыс. руб.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Темп роста (снижение), %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Структура активов и пассивов, %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изменение (+,-)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</w:t>
            </w:r>
          </w:p>
        </w:tc>
      </w:tr>
      <w:tr w:rsidR="006F7C6B" w:rsidRPr="00787914">
        <w:trPr>
          <w:trHeight w:val="255"/>
        </w:trPr>
        <w:tc>
          <w:tcPr>
            <w:tcW w:w="9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АКТИВЫ</w:t>
            </w:r>
          </w:p>
        </w:tc>
      </w:tr>
      <w:tr w:rsidR="006F7C6B" w:rsidRPr="00787914">
        <w:trPr>
          <w:trHeight w:val="5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Внеоборотные активы - всего,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70369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64745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-5624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15.05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11.68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-3.37</w:t>
            </w:r>
          </w:p>
        </w:tc>
      </w:tr>
      <w:tr w:rsidR="006F7C6B" w:rsidRPr="00787914">
        <w:trPr>
          <w:trHeight w:val="52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1.1. Нематериальные активы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33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1.2. Основные средства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70274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64215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-6059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15.03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11.59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-3.44</w:t>
            </w:r>
          </w:p>
        </w:tc>
      </w:tr>
      <w:tr w:rsidR="006F7C6B" w:rsidRPr="00787914">
        <w:trPr>
          <w:trHeight w:val="6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82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1.4. Долгосрочные вложения в материальные ценности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61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1.5. Долгосрочные финансовые вложения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52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1.6. Отложенные налоговые активы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5.58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0.08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1.7. Прочие внеоборотные активы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 Оборотные активы - всего,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467600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554200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86600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2.1. Запасы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190660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326370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135710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40.77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58.89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18.12</w:t>
            </w:r>
          </w:p>
        </w:tc>
      </w:tr>
      <w:tr w:rsidR="006F7C6B" w:rsidRPr="00787914">
        <w:trPr>
          <w:trHeight w:val="10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 Налог на добавленную стоимость по приобретенным товарам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2.3. Дебиторская задолженность (более чем через 12 месяцев)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2.4. Дебиторская задолженность (в течение 12 месяцев)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90887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83694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-7193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19.44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-4.34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2.5. Краткосрочные финансовые вложения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1872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0.12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2.6. Денежные средства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109086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70890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-38196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23.33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-10.54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2.7. Прочие оборотные активы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Итого активов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467600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554200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86600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255"/>
        </w:trPr>
        <w:tc>
          <w:tcPr>
            <w:tcW w:w="9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ПАССИВЫ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BB4BC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Капита</w:t>
            </w:r>
            <w:r w:rsidR="006F7C6B" w:rsidRPr="00787914">
              <w:rPr>
                <w:sz w:val="20"/>
                <w:szCs w:val="20"/>
              </w:rPr>
              <w:t>л и резервы - всего,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218257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341378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123121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46.68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61.60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14.92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BB4BC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1.1. Уставной капита</w:t>
            </w:r>
            <w:r w:rsidR="006F7C6B" w:rsidRPr="00787914">
              <w:rPr>
                <w:sz w:val="20"/>
                <w:szCs w:val="20"/>
              </w:rPr>
              <w:t>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145000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9.62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26.16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16.54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1.2. Собственные акции, выкупленные у акционеров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1.3.</w:t>
            </w:r>
            <w:r w:rsidR="00BB4BC9" w:rsidRPr="00787914">
              <w:rPr>
                <w:sz w:val="20"/>
                <w:szCs w:val="20"/>
              </w:rPr>
              <w:t xml:space="preserve"> Добавочный капитал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150051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150064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32.09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27.08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-5.01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BB4BC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1.4. Резервный капитал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1.5. Нераспределенная прибыль (непокрытый убыток)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23088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4.96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3.39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2.Обязательства - всего,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249343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212822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-36521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53.32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38.40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-14.92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 xml:space="preserve">2.1. Долгосрочные </w:t>
            </w:r>
            <w:r w:rsidR="00BB4BC9" w:rsidRPr="00787914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-6000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-1.52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2.1.1. Займы и кредиты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12890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-6670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-1.63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2.1.2. Отложенные налоговые обязательства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0.12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2.1.3. Прочие долгосрочные обязательства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 Краткосрочные обязательства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236343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205822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-30521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50.54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37.14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-13.41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2.2.1. Займы и кредиты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96800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53272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-43528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20.70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-11.09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2.2.2. Кредиторская задолженность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139543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152550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13007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29.84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27.53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-2.32</w:t>
            </w:r>
          </w:p>
        </w:tc>
      </w:tr>
      <w:tr w:rsidR="006F7C6B" w:rsidRPr="00787914">
        <w:trPr>
          <w:trHeight w:val="10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2.2.3. Задолженность перед участниками (учредителями) по выплате доходов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2.2.4.Доходы будущих периодов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2.2.5. резервы предстоящих расходов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76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2.2.6. Прочие краткосрочные обязательства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  <w:tr w:rsidR="006F7C6B" w:rsidRPr="00787914">
        <w:trPr>
          <w:trHeight w:val="2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Итого пассивов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467600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554200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86600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C6B" w:rsidRPr="00787914" w:rsidRDefault="006F7C6B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</w:t>
            </w:r>
          </w:p>
        </w:tc>
      </w:tr>
    </w:tbl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BB4BC9" w:rsidRPr="00787914" w:rsidRDefault="0080010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активы. В процессе функционирования предприятия и величина активов, и их структура претерпевают постоянные изменения. 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анализа отчетности.</w:t>
      </w:r>
    </w:p>
    <w:p w:rsidR="00787914" w:rsidRDefault="0080010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Вертикальный анализ показывает структуру средств предприятия и их источников. Есть две причины, обуславливающие необходимость и целесообразность проведения такого анализа: с одной стороны -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предприятий, различающихся по величине используемых ресурсов и другим объемным показателям; с другой стороны - относительные показатели в определенной степени сглаживают негативное влияние инфляционных процессов, которые могут существенно искажать абсолютные показатели финансовой отчетности и тем самым затруднить их сопоставление в динамике. Вертикальному анализу можно подвергнуть либо исходную отчетность, либо модифицированную отчетность (с укрупненной или трансформированной номенклатурой статей).</w:t>
      </w:r>
    </w:p>
    <w:p w:rsidR="0080010B" w:rsidRPr="00787914" w:rsidRDefault="0080010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Горизонтальный анализ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 (снижения). Как правило, берутся базисные темпы роста за смежные периоды (годы), что позволяет анализировать не только изменения отдельных показателей, но и прогнозировать их значения. Ценность результатов горизонтального анализа существенно снижается в условиях инфляции. Тем не менее эти данные можно использовать при межхозяйственных сравнениях. Горизонтальный и вертикальный анализы взаимодополняют друг друга</w:t>
      </w:r>
      <w:r w:rsidR="00BB4BC9" w:rsidRPr="00787914">
        <w:rPr>
          <w:sz w:val="28"/>
          <w:szCs w:val="28"/>
        </w:rPr>
        <w:t>,</w:t>
      </w:r>
      <w:r w:rsidRPr="00787914">
        <w:rPr>
          <w:sz w:val="28"/>
          <w:szCs w:val="28"/>
        </w:rPr>
        <w:t xml:space="preserve"> поэтому на практике нередко строят аналитические таблицы, характеризующие как структуру, так и динамику отдельных показателей отчетной бухгалтерской формы. Эти виды анализа ценны при межхозяйственных сопоставлениях, т. к. позволяют сравнивать отчетность совершенно разных по роду деятельности и объемам производства предприятий.</w:t>
      </w:r>
    </w:p>
    <w:p w:rsidR="00BB4BC9" w:rsidRPr="00787914" w:rsidRDefault="00BB4BC9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показывает, что внеоборотные активы сократились на 8 %, а оборотные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- увеличились на 19 %. Около 50 % оборотных активов занимает запасы. Собственный капитал увеличился на 56 %. Наибольшему изменению подвергнут уставной и резервный капитал. Практически в 7 раз возросли отложенные налоговые обязательства. Также возросла кредиторская задолженность. Таким образом, баланс увеличился на 19 %.</w:t>
      </w:r>
    </w:p>
    <w:p w:rsidR="00BB4BC9" w:rsidRDefault="00BB4BC9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787914" w:rsidRPr="00787914" w:rsidRDefault="007879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87914">
        <w:rPr>
          <w:b/>
          <w:bCs/>
          <w:sz w:val="28"/>
          <w:szCs w:val="28"/>
        </w:rPr>
        <w:t>Задание № 2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66033F" w:rsidRPr="00787914" w:rsidRDefault="008B139D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Проведение структурно – динамического анализа пассивов баланса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8B139D" w:rsidRPr="00787914" w:rsidRDefault="008B139D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2.</w:t>
      </w:r>
    </w:p>
    <w:p w:rsidR="008B139D" w:rsidRPr="00787914" w:rsidRDefault="008B139D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Динамика состояния пассивов и их группировка по срочности оплаты</w:t>
      </w:r>
    </w:p>
    <w:tbl>
      <w:tblPr>
        <w:tblpPr w:leftFromText="180" w:rightFromText="180" w:vertAnchor="text" w:horzAnchor="margin" w:tblpY="20"/>
        <w:tblW w:w="9397" w:type="dxa"/>
        <w:tblLayout w:type="fixed"/>
        <w:tblLook w:val="0000" w:firstRow="0" w:lastRow="0" w:firstColumn="0" w:lastColumn="0" w:noHBand="0" w:noVBand="0"/>
      </w:tblPr>
      <w:tblGrid>
        <w:gridCol w:w="1668"/>
        <w:gridCol w:w="720"/>
        <w:gridCol w:w="936"/>
        <w:gridCol w:w="936"/>
        <w:gridCol w:w="1093"/>
        <w:gridCol w:w="1076"/>
        <w:gridCol w:w="1076"/>
        <w:gridCol w:w="936"/>
        <w:gridCol w:w="956"/>
      </w:tblGrid>
      <w:tr w:rsidR="007B281F" w:rsidRPr="00787914">
        <w:trPr>
          <w:trHeight w:val="5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Пассивы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Строки баланса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Остатки по балансу, тыс. руб.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Темп роста (снижение), %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Удельный вес в составе пассивов, %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Изменение (+,-)</w:t>
            </w:r>
          </w:p>
        </w:tc>
      </w:tr>
      <w:tr w:rsidR="007B281F" w:rsidRPr="00787914">
        <w:trPr>
          <w:trHeight w:val="5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тыс. руб.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%</w:t>
            </w:r>
          </w:p>
        </w:tc>
      </w:tr>
      <w:tr w:rsidR="007B281F" w:rsidRPr="00787914">
        <w:trPr>
          <w:trHeight w:val="1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</w:t>
            </w:r>
          </w:p>
        </w:tc>
      </w:tr>
      <w:tr w:rsidR="007B281F" w:rsidRPr="00787914">
        <w:trPr>
          <w:trHeight w:val="5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П-1 Наиболее срочные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139543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152550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109.32%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29.84%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27.53%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13007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-2.32%</w:t>
            </w:r>
          </w:p>
        </w:tc>
      </w:tr>
      <w:tr w:rsidR="007B281F" w:rsidRPr="00787914">
        <w:trPr>
          <w:trHeight w:val="5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П-2 Краткосрочные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610+630+660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96800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53272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55.03%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20.70%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9.61%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-43528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-11.09%</w:t>
            </w:r>
          </w:p>
        </w:tc>
      </w:tr>
      <w:tr w:rsidR="007B281F" w:rsidRPr="00787914">
        <w:trPr>
          <w:trHeight w:val="5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П-3 Долгосрочные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590+640+650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53.85%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2.78%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1.26%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-6000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-1.52%</w:t>
            </w:r>
          </w:p>
        </w:tc>
      </w:tr>
      <w:tr w:rsidR="007B281F" w:rsidRPr="00787914">
        <w:trPr>
          <w:trHeight w:val="5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П-4 Собственные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218257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341378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156.41%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46.68%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61.60%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123121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14.92%</w:t>
            </w:r>
          </w:p>
        </w:tc>
      </w:tr>
      <w:tr w:rsidR="007B281F" w:rsidRPr="00787914">
        <w:trPr>
          <w:trHeight w:val="1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Баланс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467600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554200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118.52%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100.00%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1F" w:rsidRPr="00787914" w:rsidRDefault="007B281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0.00%</w:t>
            </w:r>
          </w:p>
        </w:tc>
      </w:tr>
    </w:tbl>
    <w:p w:rsidR="00E56D22" w:rsidRPr="00787914" w:rsidRDefault="00E56D22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5E4" w:rsidRPr="00787914" w:rsidRDefault="0038146E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Структура пассивов представлена в колонке 2.</w:t>
      </w:r>
      <w:r w:rsidR="00E368A3" w:rsidRPr="00787914">
        <w:rPr>
          <w:color w:val="000000"/>
          <w:sz w:val="28"/>
          <w:szCs w:val="28"/>
        </w:rPr>
        <w:t xml:space="preserve"> </w:t>
      </w:r>
      <w:r w:rsidR="004A55E4" w:rsidRPr="00787914">
        <w:rPr>
          <w:color w:val="000000"/>
          <w:sz w:val="28"/>
          <w:szCs w:val="28"/>
        </w:rPr>
        <w:t>К наиболее срочным обязательствам относятся кредиторская задолженность, ссуды, не погашенные в срок, расчеты по дивидендам и прочие краткосрочные обязательства. Как видно из таблицы, произошло увеличение данной категории на 9, 32 % на конец года. В составе пассивов наиболее краткосрочные обязательства занимают практически одну</w:t>
      </w:r>
      <w:r w:rsidR="00787914">
        <w:rPr>
          <w:color w:val="000000"/>
          <w:sz w:val="28"/>
          <w:szCs w:val="28"/>
        </w:rPr>
        <w:t xml:space="preserve"> </w:t>
      </w:r>
      <w:r w:rsidR="004A55E4" w:rsidRPr="00787914">
        <w:rPr>
          <w:color w:val="000000"/>
          <w:sz w:val="28"/>
          <w:szCs w:val="28"/>
        </w:rPr>
        <w:t>треть, но на конец года их вес уменьшился на</w:t>
      </w:r>
      <w:r w:rsidR="00787914">
        <w:rPr>
          <w:color w:val="000000"/>
          <w:sz w:val="28"/>
          <w:szCs w:val="28"/>
        </w:rPr>
        <w:t xml:space="preserve"> </w:t>
      </w:r>
      <w:r w:rsidR="004A55E4" w:rsidRPr="00787914">
        <w:rPr>
          <w:color w:val="000000"/>
          <w:sz w:val="28"/>
          <w:szCs w:val="28"/>
        </w:rPr>
        <w:t xml:space="preserve">2, 31 %. </w:t>
      </w:r>
    </w:p>
    <w:p w:rsidR="008A32E5" w:rsidRPr="00787914" w:rsidRDefault="008A32E5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color w:val="000000"/>
          <w:sz w:val="28"/>
          <w:szCs w:val="28"/>
        </w:rPr>
        <w:t xml:space="preserve">К краткосрочным обязательствам относятся </w:t>
      </w:r>
      <w:r w:rsidRPr="00787914">
        <w:rPr>
          <w:sz w:val="28"/>
          <w:szCs w:val="28"/>
        </w:rPr>
        <w:t>краткосрочные заемные кредиты банков и прочие займы, подлежащие погашению в течении двенадцать месяцев после отчетной даты.</w:t>
      </w:r>
      <w:r w:rsidR="009B16DA" w:rsidRPr="00787914">
        <w:rPr>
          <w:sz w:val="28"/>
          <w:szCs w:val="28"/>
        </w:rPr>
        <w:t xml:space="preserve"> Они состоят из суммы трех строк баланса.</w:t>
      </w:r>
      <w:r w:rsidR="003D406C" w:rsidRPr="00787914">
        <w:rPr>
          <w:sz w:val="28"/>
          <w:szCs w:val="28"/>
        </w:rPr>
        <w:t xml:space="preserve"> За рассматриваемый период краткосрочные обязательства сократились на 45 % на конец года. Их удельный вес в составе пассивов на начало года составляет одну пятую, а на конец года – одну десятую. Таким образом, по данному периоду произошло погашение кредитов и прочих обязательств, что положительно сказывается на деятельности предприятия.</w:t>
      </w:r>
    </w:p>
    <w:p w:rsidR="00CE7550" w:rsidRPr="00787914" w:rsidRDefault="003D406C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 xml:space="preserve">Долгосрочные обязательства включают в себя: </w:t>
      </w:r>
      <w:r w:rsidRPr="00787914">
        <w:rPr>
          <w:sz w:val="28"/>
          <w:szCs w:val="28"/>
        </w:rPr>
        <w:t xml:space="preserve">долгосрочные заемные кредиты, прочие долгосрочные пассивы. </w:t>
      </w:r>
      <w:r w:rsidRPr="00787914">
        <w:rPr>
          <w:color w:val="000000"/>
          <w:sz w:val="28"/>
          <w:szCs w:val="28"/>
        </w:rPr>
        <w:t>Финансовый риск долгосрочных обязательств ниже, чем для всех других форм заемных средств. В особенности если они имеют очень большой срок погашения, то по своему значению приближаются к акционерному капиталу. Фактически некоторые формы долгосрочных обязательств имеют связь с акционерным капиталом.</w:t>
      </w:r>
      <w:r w:rsidR="001B6F2B" w:rsidRPr="00787914">
        <w:rPr>
          <w:color w:val="000000"/>
          <w:sz w:val="28"/>
          <w:szCs w:val="28"/>
        </w:rPr>
        <w:t xml:space="preserve"> Таким образом, это долговые обязательства со сроком погашения, превышающим один год.</w:t>
      </w:r>
      <w:r w:rsidR="002D207D" w:rsidRPr="00787914">
        <w:rPr>
          <w:color w:val="000000"/>
          <w:sz w:val="28"/>
          <w:szCs w:val="28"/>
        </w:rPr>
        <w:t xml:space="preserve"> Аналогично краткосрочным обязательствам долгосрочные</w:t>
      </w:r>
      <w:r w:rsidR="00BB5D13">
        <w:rPr>
          <w:color w:val="000000"/>
          <w:sz w:val="28"/>
          <w:szCs w:val="28"/>
        </w:rPr>
        <w:t xml:space="preserve"> снизились на конец года на 46,</w:t>
      </w:r>
      <w:r w:rsidR="002D207D" w:rsidRPr="00787914">
        <w:rPr>
          <w:color w:val="000000"/>
          <w:sz w:val="28"/>
          <w:szCs w:val="28"/>
        </w:rPr>
        <w:t xml:space="preserve">15 %. Их удельный вес в составе пассивов очень низкий и на конец года </w:t>
      </w:r>
      <w:r w:rsidR="00BB5D13">
        <w:rPr>
          <w:color w:val="000000"/>
          <w:sz w:val="28"/>
          <w:szCs w:val="28"/>
        </w:rPr>
        <w:t>уменьшение составило 1,</w:t>
      </w:r>
      <w:r w:rsidR="00CE7550" w:rsidRPr="00787914">
        <w:rPr>
          <w:color w:val="000000"/>
          <w:sz w:val="28"/>
          <w:szCs w:val="28"/>
        </w:rPr>
        <w:t>52 %.</w:t>
      </w:r>
    </w:p>
    <w:p w:rsidR="00CE7550" w:rsidRPr="00787914" w:rsidRDefault="00CE7550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Уменьшение краткосрочных и долгосрочных обязательств связано с повышением суммы собственных средств, которые отражены в сроке баланса 490. так на конец года</w:t>
      </w:r>
      <w:r w:rsidR="00BB5D13">
        <w:rPr>
          <w:color w:val="000000"/>
          <w:sz w:val="28"/>
          <w:szCs w:val="28"/>
        </w:rPr>
        <w:t xml:space="preserve"> данная статья увеличена на 56,</w:t>
      </w:r>
      <w:r w:rsidRPr="00787914">
        <w:rPr>
          <w:color w:val="000000"/>
          <w:sz w:val="28"/>
          <w:szCs w:val="28"/>
        </w:rPr>
        <w:t>41 %. Удельный вес в</w:t>
      </w:r>
      <w:r w:rsidR="00787914">
        <w:rPr>
          <w:color w:val="000000"/>
          <w:sz w:val="28"/>
          <w:szCs w:val="28"/>
        </w:rPr>
        <w:t xml:space="preserve"> </w:t>
      </w:r>
      <w:r w:rsidRPr="00787914">
        <w:rPr>
          <w:color w:val="000000"/>
          <w:sz w:val="28"/>
          <w:szCs w:val="28"/>
        </w:rPr>
        <w:t>составе пассивов составляет около полови</w:t>
      </w:r>
      <w:r w:rsidR="00BB5D13">
        <w:rPr>
          <w:color w:val="000000"/>
          <w:sz w:val="28"/>
          <w:szCs w:val="28"/>
        </w:rPr>
        <w:t>ны, именно на начало года – 46,</w:t>
      </w:r>
      <w:r w:rsidRPr="00787914">
        <w:rPr>
          <w:color w:val="000000"/>
          <w:sz w:val="28"/>
          <w:szCs w:val="28"/>
        </w:rPr>
        <w:t>68 %, а на конец года – увеличилось на</w:t>
      </w:r>
      <w:r w:rsidR="00BB5D13">
        <w:rPr>
          <w:color w:val="000000"/>
          <w:sz w:val="28"/>
          <w:szCs w:val="28"/>
        </w:rPr>
        <w:t xml:space="preserve"> 14,92 % и составило 61,</w:t>
      </w:r>
      <w:r w:rsidR="00787914">
        <w:rPr>
          <w:color w:val="000000"/>
          <w:sz w:val="28"/>
          <w:szCs w:val="28"/>
        </w:rPr>
        <w:t>60 %.</w:t>
      </w:r>
    </w:p>
    <w:p w:rsidR="0038146E" w:rsidRPr="00787914" w:rsidRDefault="0038146E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Темп роста (снижения) = остатки баланса на конец года/остатки баланса на начало года. Соответственно опред</w:t>
      </w:r>
      <w:r w:rsidR="00787914">
        <w:rPr>
          <w:color w:val="000000"/>
          <w:sz w:val="28"/>
          <w:szCs w:val="28"/>
        </w:rPr>
        <w:t>еляется для каждого показателя.</w:t>
      </w:r>
    </w:p>
    <w:p w:rsidR="0038146E" w:rsidRPr="00787914" w:rsidRDefault="0038146E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Удельный вес в составе пассивов = Пассив /Баланс.</w:t>
      </w:r>
      <w:r w:rsidR="00787914">
        <w:rPr>
          <w:color w:val="000000"/>
          <w:sz w:val="28"/>
          <w:szCs w:val="28"/>
        </w:rPr>
        <w:t xml:space="preserve"> </w:t>
      </w:r>
      <w:r w:rsidRPr="00787914">
        <w:rPr>
          <w:color w:val="000000"/>
          <w:sz w:val="28"/>
          <w:szCs w:val="28"/>
        </w:rPr>
        <w:t>Так, например,</w:t>
      </w:r>
      <w:r w:rsidR="00787914">
        <w:rPr>
          <w:color w:val="000000"/>
          <w:sz w:val="28"/>
          <w:szCs w:val="28"/>
        </w:rPr>
        <w:t xml:space="preserve"> </w:t>
      </w:r>
      <w:r w:rsidRPr="00787914">
        <w:rPr>
          <w:color w:val="000000"/>
          <w:sz w:val="28"/>
          <w:szCs w:val="28"/>
        </w:rPr>
        <w:t>удельный вес наиболее срочных обязательств в составе пассивов на начало года</w:t>
      </w:r>
      <w:r w:rsidR="00787914">
        <w:rPr>
          <w:color w:val="000000"/>
          <w:sz w:val="28"/>
          <w:szCs w:val="28"/>
        </w:rPr>
        <w:t xml:space="preserve"> </w:t>
      </w:r>
      <w:r w:rsidRPr="00787914">
        <w:rPr>
          <w:color w:val="000000"/>
          <w:sz w:val="28"/>
          <w:szCs w:val="28"/>
        </w:rPr>
        <w:t>= остатки по балансу на начало года/ Баланс. Аналогично рассчитывается для оставшихся пассивов на начало и конец года.</w:t>
      </w:r>
    </w:p>
    <w:p w:rsidR="0093547C" w:rsidRPr="00787914" w:rsidRDefault="0093547C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Изменение пассивов (тыс. руб.) = остатки на начало года – остатки на конец года.</w:t>
      </w:r>
      <w:r w:rsidR="00E368A3" w:rsidRPr="00787914">
        <w:rPr>
          <w:color w:val="000000"/>
          <w:sz w:val="28"/>
          <w:szCs w:val="28"/>
        </w:rPr>
        <w:t xml:space="preserve"> </w:t>
      </w:r>
      <w:r w:rsidRPr="00787914">
        <w:rPr>
          <w:color w:val="000000"/>
          <w:sz w:val="28"/>
          <w:szCs w:val="28"/>
        </w:rPr>
        <w:t>Изменение пассивов (%) = удельный вес в составе пассивов на начало года – удельный вес пассивов на конец года</w:t>
      </w:r>
      <w:r w:rsidR="0071680D" w:rsidRPr="00787914">
        <w:rPr>
          <w:color w:val="000000"/>
          <w:sz w:val="28"/>
          <w:szCs w:val="28"/>
        </w:rPr>
        <w:t>.</w:t>
      </w:r>
    </w:p>
    <w:p w:rsidR="00FF756B" w:rsidRPr="00787914" w:rsidRDefault="00FF756B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 xml:space="preserve">Изменение уровня ликвидности определяется по изменению (динамике) абсолютного показателя чистого оборотного капитала. Он составляет величину, оставшуюся после погашения всех краткосрочных обязательств. Следовательно, рост этого показателя — повышение уровня ликвидности предприятия. На анализируемом предприятии краткосрочные пассивы </w:t>
      </w:r>
      <w:r w:rsidR="009D051C" w:rsidRPr="00787914">
        <w:rPr>
          <w:color w:val="000000"/>
          <w:sz w:val="28"/>
          <w:szCs w:val="28"/>
        </w:rPr>
        <w:t xml:space="preserve">не </w:t>
      </w:r>
      <w:r w:rsidRPr="00787914">
        <w:rPr>
          <w:color w:val="000000"/>
          <w:sz w:val="28"/>
          <w:szCs w:val="28"/>
        </w:rPr>
        <w:t>полностью покрываются оборотными средствами</w:t>
      </w:r>
      <w:r w:rsidR="009D051C" w:rsidRPr="00787914">
        <w:rPr>
          <w:color w:val="000000"/>
          <w:sz w:val="28"/>
          <w:szCs w:val="28"/>
        </w:rPr>
        <w:t>. Собствен</w:t>
      </w:r>
      <w:r w:rsidR="00BB5D13">
        <w:rPr>
          <w:color w:val="000000"/>
          <w:sz w:val="28"/>
          <w:szCs w:val="28"/>
        </w:rPr>
        <w:t>ные средства увеличились на 56,</w:t>
      </w:r>
      <w:r w:rsidR="009D051C" w:rsidRPr="00787914">
        <w:rPr>
          <w:color w:val="000000"/>
          <w:sz w:val="28"/>
          <w:szCs w:val="28"/>
        </w:rPr>
        <w:t>41 %., а обязатель</w:t>
      </w:r>
      <w:r w:rsidR="00BB5D13">
        <w:rPr>
          <w:color w:val="000000"/>
          <w:sz w:val="28"/>
          <w:szCs w:val="28"/>
        </w:rPr>
        <w:t>ства уменьшились практически на</w:t>
      </w:r>
      <w:r w:rsidR="009D051C" w:rsidRPr="00787914">
        <w:rPr>
          <w:color w:val="000000"/>
          <w:sz w:val="28"/>
          <w:szCs w:val="28"/>
        </w:rPr>
        <w:t>половину.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787914" w:rsidRPr="00787914" w:rsidRDefault="007879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7914">
        <w:rPr>
          <w:b/>
          <w:bCs/>
          <w:sz w:val="28"/>
          <w:szCs w:val="28"/>
        </w:rPr>
        <w:t>Задание № 3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A31970" w:rsidRPr="00787914" w:rsidRDefault="00A31970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Определение затрат на 1 руб. продаж, в том числе по элементам затрат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A31970" w:rsidRPr="00787914" w:rsidRDefault="00A31970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3.</w:t>
      </w:r>
    </w:p>
    <w:p w:rsidR="00A31970" w:rsidRPr="00787914" w:rsidRDefault="00A31970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Состав и динамика затрат на производство продукции</w:t>
      </w:r>
    </w:p>
    <w:tbl>
      <w:tblPr>
        <w:tblW w:w="91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1356"/>
        <w:gridCol w:w="1074"/>
        <w:gridCol w:w="1245"/>
        <w:gridCol w:w="1356"/>
        <w:gridCol w:w="1197"/>
        <w:gridCol w:w="1245"/>
      </w:tblGrid>
      <w:tr w:rsidR="00394541" w:rsidRPr="00787914">
        <w:trPr>
          <w:trHeight w:val="540"/>
        </w:trPr>
        <w:tc>
          <w:tcPr>
            <w:tcW w:w="1687" w:type="dxa"/>
            <w:vMerge w:val="restart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Показатель</w:t>
            </w:r>
          </w:p>
        </w:tc>
        <w:tc>
          <w:tcPr>
            <w:tcW w:w="3675" w:type="dxa"/>
            <w:gridSpan w:val="3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3798" w:type="dxa"/>
            <w:gridSpan w:val="3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Затраты на 1 руб. продаж, руб.</w:t>
            </w:r>
          </w:p>
        </w:tc>
      </w:tr>
      <w:tr w:rsidR="00787914" w:rsidRPr="00787914">
        <w:trPr>
          <w:trHeight w:val="510"/>
        </w:trPr>
        <w:tc>
          <w:tcPr>
            <w:tcW w:w="1687" w:type="dxa"/>
            <w:vMerge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изменение (+,-)</w:t>
            </w:r>
          </w:p>
        </w:tc>
      </w:tr>
      <w:tr w:rsidR="00787914" w:rsidRPr="00787914">
        <w:trPr>
          <w:trHeight w:val="255"/>
        </w:trPr>
        <w:tc>
          <w:tcPr>
            <w:tcW w:w="168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</w:t>
            </w:r>
          </w:p>
        </w:tc>
      </w:tr>
      <w:tr w:rsidR="00787914" w:rsidRPr="00787914">
        <w:trPr>
          <w:trHeight w:val="510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Материальные затраты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142295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235790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93495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2.60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0.87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-1.73</w:t>
            </w:r>
          </w:p>
        </w:tc>
      </w:tr>
      <w:tr w:rsidR="00787914" w:rsidRPr="00787914">
        <w:trPr>
          <w:trHeight w:val="510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 xml:space="preserve">2. Расходы </w:t>
            </w:r>
            <w:r w:rsidR="00371BCE" w:rsidRPr="00787914">
              <w:rPr>
                <w:sz w:val="20"/>
                <w:szCs w:val="20"/>
              </w:rPr>
              <w:t>н</w:t>
            </w:r>
            <w:r w:rsidRPr="00787914">
              <w:rPr>
                <w:sz w:val="20"/>
                <w:szCs w:val="20"/>
              </w:rPr>
              <w:t>а оплату труда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36652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60734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24082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10.09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3.39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-6.71</w:t>
            </w:r>
          </w:p>
        </w:tc>
      </w:tr>
      <w:tr w:rsidR="00787914" w:rsidRPr="00787914">
        <w:trPr>
          <w:trHeight w:val="510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3.Отчисления на социальные нужды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15092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25008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9916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24.51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8.22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-16.29</w:t>
            </w:r>
          </w:p>
        </w:tc>
      </w:tr>
      <w:tr w:rsidR="00787914" w:rsidRPr="00787914">
        <w:trPr>
          <w:trHeight w:val="255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4. Амортизация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2155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3572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1417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171.66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57.56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-114.10</w:t>
            </w:r>
          </w:p>
        </w:tc>
      </w:tr>
      <w:tr w:rsidR="00787914" w:rsidRPr="00787914">
        <w:trPr>
          <w:trHeight w:val="255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5. Прочие расходы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19404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32153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12749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19.06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6.39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-12.67</w:t>
            </w:r>
          </w:p>
        </w:tc>
      </w:tr>
      <w:tr w:rsidR="00787914" w:rsidRPr="00787914">
        <w:trPr>
          <w:trHeight w:val="765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6. Итого по элементам расходов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215598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357257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141659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1.72</w:t>
            </w:r>
          </w:p>
        </w:tc>
        <w:tc>
          <w:tcPr>
            <w:tcW w:w="1197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0.58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-1.14</w:t>
            </w:r>
          </w:p>
        </w:tc>
      </w:tr>
      <w:tr w:rsidR="00787914" w:rsidRPr="00787914">
        <w:trPr>
          <w:trHeight w:val="1035"/>
        </w:trPr>
        <w:tc>
          <w:tcPr>
            <w:tcW w:w="1687" w:type="dxa"/>
            <w:vAlign w:val="bottom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7. Выручка (нетто) от продажи товаров, продукции, работ, услуг</w:t>
            </w:r>
          </w:p>
        </w:tc>
        <w:tc>
          <w:tcPr>
            <w:tcW w:w="1356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256240</w:t>
            </w:r>
          </w:p>
        </w:tc>
        <w:tc>
          <w:tcPr>
            <w:tcW w:w="1074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432360</w:t>
            </w:r>
          </w:p>
        </w:tc>
        <w:tc>
          <w:tcPr>
            <w:tcW w:w="1245" w:type="dxa"/>
            <w:vAlign w:val="center"/>
          </w:tcPr>
          <w:p w:rsidR="00394541" w:rsidRPr="00787914" w:rsidRDefault="00394541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176120</w:t>
            </w:r>
          </w:p>
        </w:tc>
        <w:tc>
          <w:tcPr>
            <w:tcW w:w="1356" w:type="dxa"/>
            <w:vAlign w:val="center"/>
          </w:tcPr>
          <w:p w:rsidR="00394541" w:rsidRPr="00787914" w:rsidRDefault="00A9707A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1.44</w:t>
            </w:r>
          </w:p>
        </w:tc>
        <w:tc>
          <w:tcPr>
            <w:tcW w:w="1197" w:type="dxa"/>
            <w:vAlign w:val="center"/>
          </w:tcPr>
          <w:p w:rsidR="00394541" w:rsidRPr="00787914" w:rsidRDefault="00A9707A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0.48</w:t>
            </w:r>
          </w:p>
        </w:tc>
        <w:tc>
          <w:tcPr>
            <w:tcW w:w="1245" w:type="dxa"/>
            <w:vAlign w:val="center"/>
          </w:tcPr>
          <w:p w:rsidR="00394541" w:rsidRPr="00787914" w:rsidRDefault="00A9707A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 xml:space="preserve"> - 0.97</w:t>
            </w:r>
          </w:p>
        </w:tc>
      </w:tr>
    </w:tbl>
    <w:p w:rsidR="00A31970" w:rsidRPr="00787914" w:rsidRDefault="00A31970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371BCE" w:rsidRPr="00787914" w:rsidRDefault="00371BCE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Изменение в сумме показателей рассчитывается как разница меж</w:t>
      </w:r>
      <w:r w:rsidR="00787914">
        <w:rPr>
          <w:sz w:val="28"/>
          <w:szCs w:val="28"/>
        </w:rPr>
        <w:t>ду отчетным и предыдущим годом.</w:t>
      </w:r>
    </w:p>
    <w:p w:rsidR="00371BCE" w:rsidRPr="00787914" w:rsidRDefault="00371BCE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Затраты на 1 рубль продаж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 xml:space="preserve">для каждого показателя = себестоимость проданной продукции (за предыдущий и за отчетный период)/сумма по данному показателю (за предыдущий и за отчетный период). Так например, </w:t>
      </w:r>
      <w:r w:rsidR="00375616" w:rsidRPr="00787914">
        <w:rPr>
          <w:sz w:val="28"/>
          <w:szCs w:val="28"/>
        </w:rPr>
        <w:t>затраты на 1 рубль продукции по такому показателю как расходы на оплату труда за отчетный период = 205616/60734 =</w:t>
      </w:r>
      <w:r w:rsidR="00787914">
        <w:rPr>
          <w:sz w:val="28"/>
          <w:szCs w:val="28"/>
        </w:rPr>
        <w:t xml:space="preserve"> </w:t>
      </w:r>
      <w:r w:rsidR="00BB5D13">
        <w:rPr>
          <w:sz w:val="28"/>
          <w:szCs w:val="28"/>
        </w:rPr>
        <w:t>3,</w:t>
      </w:r>
      <w:r w:rsidR="00375616" w:rsidRPr="00787914">
        <w:rPr>
          <w:sz w:val="28"/>
          <w:szCs w:val="28"/>
        </w:rPr>
        <w:t>39. Аналогично рассчитываются затраты на 1 рубль продаж все оставшиеся показатели.</w:t>
      </w:r>
    </w:p>
    <w:p w:rsidR="00394541" w:rsidRPr="00787914" w:rsidRDefault="00394541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 xml:space="preserve">Охарактеризуем динамику </w:t>
      </w:r>
      <w:r w:rsidR="007924D6" w:rsidRPr="00787914">
        <w:rPr>
          <w:rFonts w:ascii="Times New Roman" w:hAnsi="Times New Roman" w:cs="Times New Roman"/>
          <w:sz w:val="28"/>
          <w:szCs w:val="28"/>
        </w:rPr>
        <w:t>затрат</w:t>
      </w:r>
      <w:r w:rsidRPr="00787914">
        <w:rPr>
          <w:rFonts w:ascii="Times New Roman" w:hAnsi="Times New Roman" w:cs="Times New Roman"/>
          <w:sz w:val="28"/>
          <w:szCs w:val="28"/>
        </w:rPr>
        <w:t xml:space="preserve"> проданной продукции (затрат на 1 руб.</w:t>
      </w:r>
      <w:r w:rsidR="00CA6C77" w:rsidRPr="00787914">
        <w:rPr>
          <w:rFonts w:ascii="Times New Roman" w:hAnsi="Times New Roman" w:cs="Times New Roman"/>
          <w:sz w:val="28"/>
          <w:szCs w:val="28"/>
        </w:rPr>
        <w:t xml:space="preserve"> </w:t>
      </w:r>
      <w:r w:rsidRPr="00787914">
        <w:rPr>
          <w:rFonts w:ascii="Times New Roman" w:hAnsi="Times New Roman" w:cs="Times New Roman"/>
          <w:sz w:val="28"/>
          <w:szCs w:val="28"/>
        </w:rPr>
        <w:t xml:space="preserve">продаж). Выявим влияние на изменение структуры проданной продукции, </w:t>
      </w:r>
      <w:r w:rsidR="007924D6" w:rsidRPr="00787914">
        <w:rPr>
          <w:rFonts w:ascii="Times New Roman" w:hAnsi="Times New Roman" w:cs="Times New Roman"/>
          <w:sz w:val="28"/>
          <w:szCs w:val="28"/>
        </w:rPr>
        <w:t>затрат е</w:t>
      </w:r>
      <w:r w:rsidRPr="00787914">
        <w:rPr>
          <w:rFonts w:ascii="Times New Roman" w:hAnsi="Times New Roman" w:cs="Times New Roman"/>
          <w:sz w:val="28"/>
          <w:szCs w:val="28"/>
        </w:rPr>
        <w:t>диницы отдельных ее видов и цен на нее.</w:t>
      </w:r>
      <w:r w:rsidR="007924D6" w:rsidRPr="00787914">
        <w:rPr>
          <w:rFonts w:ascii="Times New Roman" w:hAnsi="Times New Roman" w:cs="Times New Roman"/>
          <w:sz w:val="28"/>
          <w:szCs w:val="28"/>
        </w:rPr>
        <w:t xml:space="preserve"> </w:t>
      </w:r>
      <w:r w:rsidRPr="00787914">
        <w:rPr>
          <w:rFonts w:ascii="Times New Roman" w:hAnsi="Times New Roman" w:cs="Times New Roman"/>
          <w:sz w:val="28"/>
          <w:szCs w:val="28"/>
        </w:rPr>
        <w:t>Важный обобщающий показатель себестоимости продукции - затраты на 1 рубль продукции, который характеризует издержкоемкость продукции. Он выгоден тем, что, во-первых, очень универсальный и, во-вторых, показывает прямую связь между себестоимостью и прибылью.</w:t>
      </w:r>
      <w:r w:rsidR="007924D6" w:rsidRPr="00787914">
        <w:rPr>
          <w:rFonts w:ascii="Times New Roman" w:hAnsi="Times New Roman" w:cs="Times New Roman"/>
          <w:sz w:val="28"/>
          <w:szCs w:val="28"/>
        </w:rPr>
        <w:t xml:space="preserve"> </w:t>
      </w:r>
      <w:r w:rsidRPr="00787914">
        <w:rPr>
          <w:rFonts w:ascii="Times New Roman" w:hAnsi="Times New Roman" w:cs="Times New Roman"/>
          <w:sz w:val="28"/>
          <w:szCs w:val="28"/>
        </w:rPr>
        <w:t xml:space="preserve">На изменение уровня затрат на 1 рубль продаж могут оказывать влияние </w:t>
      </w:r>
      <w:r w:rsidR="007924D6" w:rsidRPr="00787914">
        <w:rPr>
          <w:rFonts w:ascii="Times New Roman" w:hAnsi="Times New Roman" w:cs="Times New Roman"/>
          <w:sz w:val="28"/>
          <w:szCs w:val="28"/>
        </w:rPr>
        <w:t xml:space="preserve">помимо перечисленных </w:t>
      </w:r>
      <w:r w:rsidRPr="00787914">
        <w:rPr>
          <w:rFonts w:ascii="Times New Roman" w:hAnsi="Times New Roman" w:cs="Times New Roman"/>
          <w:sz w:val="28"/>
          <w:szCs w:val="28"/>
        </w:rPr>
        <w:t xml:space="preserve">изменения структуры реализованной продукции, себестоимости отдельных ее видов и цен на нее. Для анализа затрат на 1 рубль продаж на основе исходных данных </w:t>
      </w:r>
      <w:r w:rsidR="007924D6" w:rsidRPr="00787914">
        <w:rPr>
          <w:rFonts w:ascii="Times New Roman" w:hAnsi="Times New Roman" w:cs="Times New Roman"/>
          <w:sz w:val="28"/>
          <w:szCs w:val="28"/>
        </w:rPr>
        <w:t>заполняе</w:t>
      </w:r>
      <w:r w:rsidRPr="00787914">
        <w:rPr>
          <w:rFonts w:ascii="Times New Roman" w:hAnsi="Times New Roman" w:cs="Times New Roman"/>
          <w:sz w:val="28"/>
          <w:szCs w:val="28"/>
        </w:rPr>
        <w:t>тся</w:t>
      </w:r>
      <w:r w:rsidR="00787914">
        <w:rPr>
          <w:rFonts w:ascii="Times New Roman" w:hAnsi="Times New Roman" w:cs="Times New Roman"/>
          <w:sz w:val="28"/>
          <w:szCs w:val="28"/>
        </w:rPr>
        <w:t xml:space="preserve"> </w:t>
      </w:r>
      <w:r w:rsidR="007924D6" w:rsidRPr="00787914">
        <w:rPr>
          <w:rFonts w:ascii="Times New Roman" w:hAnsi="Times New Roman" w:cs="Times New Roman"/>
          <w:sz w:val="28"/>
          <w:szCs w:val="28"/>
        </w:rPr>
        <w:t>таблица.</w:t>
      </w:r>
    </w:p>
    <w:p w:rsidR="00375616" w:rsidRPr="00787914" w:rsidRDefault="00CA6C77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Таблица показывает, что наибольшее место затрат на 1 рубль продаж занимает амортизация. Но на конец отчетного года происходит её резкое снижение на 114 %.</w:t>
      </w:r>
      <w:r w:rsidR="007924D6" w:rsidRPr="00787914">
        <w:rPr>
          <w:rFonts w:ascii="Times New Roman" w:hAnsi="Times New Roman" w:cs="Times New Roman"/>
          <w:sz w:val="28"/>
          <w:szCs w:val="28"/>
        </w:rPr>
        <w:t xml:space="preserve"> В целом по элементам происходит увеличение на 141 659 тыс. руб.</w:t>
      </w:r>
      <w:r w:rsidR="00787914">
        <w:rPr>
          <w:rFonts w:ascii="Times New Roman" w:hAnsi="Times New Roman" w:cs="Times New Roman"/>
          <w:sz w:val="28"/>
          <w:szCs w:val="28"/>
        </w:rPr>
        <w:t xml:space="preserve"> </w:t>
      </w:r>
      <w:r w:rsidR="00375616" w:rsidRPr="00787914">
        <w:rPr>
          <w:rFonts w:ascii="Times New Roman" w:hAnsi="Times New Roman" w:cs="Times New Roman"/>
          <w:sz w:val="28"/>
          <w:szCs w:val="28"/>
        </w:rPr>
        <w:t>По оставшимся показателям имеют место довольно низкий уровень по затратам на 1 рубль продаж, и</w:t>
      </w:r>
      <w:r w:rsidR="00787914">
        <w:rPr>
          <w:rFonts w:ascii="Times New Roman" w:hAnsi="Times New Roman" w:cs="Times New Roman"/>
          <w:sz w:val="28"/>
          <w:szCs w:val="28"/>
        </w:rPr>
        <w:t xml:space="preserve"> </w:t>
      </w:r>
      <w:r w:rsidR="00375616" w:rsidRPr="00787914">
        <w:rPr>
          <w:rFonts w:ascii="Times New Roman" w:hAnsi="Times New Roman" w:cs="Times New Roman"/>
          <w:sz w:val="28"/>
          <w:szCs w:val="28"/>
        </w:rPr>
        <w:t>происходит колебания от 2 до 19 %.</w:t>
      </w:r>
      <w:r w:rsidR="006333B5" w:rsidRPr="00787914">
        <w:rPr>
          <w:rFonts w:ascii="Times New Roman" w:hAnsi="Times New Roman" w:cs="Times New Roman"/>
          <w:sz w:val="28"/>
          <w:szCs w:val="28"/>
        </w:rPr>
        <w:t xml:space="preserve"> </w:t>
      </w:r>
      <w:r w:rsidR="00375616" w:rsidRPr="00787914">
        <w:rPr>
          <w:rFonts w:ascii="Times New Roman" w:hAnsi="Times New Roman" w:cs="Times New Roman"/>
          <w:sz w:val="28"/>
          <w:szCs w:val="28"/>
        </w:rPr>
        <w:t>Как видно из таблицы по всем показателям произошло снижение затрат на 1 рубль продаж.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В элементе « Материальные затраты » отражается стоимость: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 xml:space="preserve">- приобретаемых со стороны сырья и материалов, 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- покупных материалов,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- покупных комплектующих изделий и полуфабрикатов,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- природного сырья (плата за воду);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- приобретаемого со стороны топлива всех видов,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- покупной энергии всех видов,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- потерь от недостачи поступивших материальных ресурсов в пределах естественной убыли.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Стоимость материальных ресурсов, отражаемая по элементу «Материальные затраты», формируется исходя из цен их приобретения, наценок (надбавок), комиссионных вознаграждений, таможенных пошлин, тары и упаковки (этот элемент составляет 60-90% от себестоимости).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Из затрат на материальные ресурсы, включаемых в себестоимость продукции, исключается стоимость возвратных отходов. Под возвратными отходами производства понимаются остатки сырья, материалов, теплоносителей и других видов материальных ресурсов, образовавшихся в процессе производства продукции, утратившие полностью или частично потребительские качества и в силу этого используемые с повышенными затратами.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В элементе «</w:t>
      </w:r>
      <w:r w:rsidR="000A7E94" w:rsidRPr="00787914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787914">
        <w:rPr>
          <w:rFonts w:ascii="Times New Roman" w:hAnsi="Times New Roman" w:cs="Times New Roman"/>
          <w:sz w:val="28"/>
          <w:szCs w:val="28"/>
        </w:rPr>
        <w:t>на оплату труда» отражаются затраты на оплату труда основного производственного персонала предприятия, включая премии рабочим и служащим за производственные результаты, компенсации, оплата отпусков, пособия по увольнению, оплата больничных листов и другие виды выплат.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В элементе «Отчисления на социальные нужды» отражаются обязательные отчисления по установленным законодательством нормам органам государственного социального страхования, Пенсионного фонда, государственного фонда занятости и медицинского страхования от затрат на оплату труда работников, включаемых в себестоимость продукции.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 xml:space="preserve">В элементе </w:t>
      </w:r>
      <w:r w:rsidR="000A7E94" w:rsidRPr="00787914">
        <w:rPr>
          <w:rFonts w:ascii="Times New Roman" w:hAnsi="Times New Roman" w:cs="Times New Roman"/>
          <w:sz w:val="28"/>
          <w:szCs w:val="28"/>
        </w:rPr>
        <w:t>«Амортизация</w:t>
      </w:r>
      <w:r w:rsidRPr="00787914">
        <w:rPr>
          <w:rFonts w:ascii="Times New Roman" w:hAnsi="Times New Roman" w:cs="Times New Roman"/>
          <w:sz w:val="28"/>
          <w:szCs w:val="28"/>
        </w:rPr>
        <w:t>» отражается сумма амортизационных отчислений на полное восстановление основных производственных фондов, исчисленная исходя из их балансовой стоимости и утвержденных в установленном порядке норм, включая и ускоренную амортизацию их активной части, производимую в соответствии с законодательством.</w:t>
      </w:r>
    </w:p>
    <w:p w:rsidR="006333B5" w:rsidRPr="00787914" w:rsidRDefault="0073465D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Предприятия,</w:t>
      </w:r>
      <w:r w:rsidR="006333B5" w:rsidRPr="00787914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условиях аренды, по элементу «Амортизация» отражают амортизационные отчисления на полное </w:t>
      </w:r>
      <w:r w:rsidRPr="00787914">
        <w:rPr>
          <w:rFonts w:ascii="Times New Roman" w:hAnsi="Times New Roman" w:cs="Times New Roman"/>
          <w:sz w:val="28"/>
          <w:szCs w:val="28"/>
        </w:rPr>
        <w:t>восстановление,</w:t>
      </w:r>
      <w:r w:rsidR="006333B5" w:rsidRPr="00787914">
        <w:rPr>
          <w:rFonts w:ascii="Times New Roman" w:hAnsi="Times New Roman" w:cs="Times New Roman"/>
          <w:sz w:val="28"/>
          <w:szCs w:val="28"/>
        </w:rPr>
        <w:t xml:space="preserve"> как по собственным, так и по арендованным основным фондам.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 xml:space="preserve">В состав элемента «Прочие </w:t>
      </w:r>
      <w:r w:rsidR="0073465D" w:rsidRPr="00787914">
        <w:rPr>
          <w:rFonts w:ascii="Times New Roman" w:hAnsi="Times New Roman" w:cs="Times New Roman"/>
          <w:sz w:val="28"/>
          <w:szCs w:val="28"/>
        </w:rPr>
        <w:t>расходы</w:t>
      </w:r>
      <w:r w:rsidRPr="00787914">
        <w:rPr>
          <w:rFonts w:ascii="Times New Roman" w:hAnsi="Times New Roman" w:cs="Times New Roman"/>
          <w:sz w:val="28"/>
          <w:szCs w:val="28"/>
        </w:rPr>
        <w:t>» входят налоги, сборы, отчисления в специальные внебюджетные фонды, производимые в соответствии с установл</w:t>
      </w:r>
      <w:r w:rsidR="0073465D" w:rsidRPr="00787914">
        <w:rPr>
          <w:rFonts w:ascii="Times New Roman" w:hAnsi="Times New Roman" w:cs="Times New Roman"/>
          <w:sz w:val="28"/>
          <w:szCs w:val="28"/>
        </w:rPr>
        <w:t>енным законодательством порядке</w:t>
      </w:r>
      <w:r w:rsidRPr="00787914">
        <w:rPr>
          <w:rFonts w:ascii="Times New Roman" w:hAnsi="Times New Roman" w:cs="Times New Roman"/>
          <w:sz w:val="28"/>
          <w:szCs w:val="28"/>
        </w:rPr>
        <w:t>, платежи за предельно допустимые выбросы загрязняющих веществ, по обязательному страхованию имущества предприятия, учитываемого в составе производственных фондов, а также отдельных категорий работников, занятых в производстве соответствующих видов продукции, вознаграждения за рационализаторские предложения и изобретения, авторские вознаграждения за издания произведений науки, литературы и искусства, платежи по кредитам, затраты на командировки, плата сторонним организациям за пожарную и сторожевую охрану, за подготовку и переподготовку кадров, оплата услуг связи, банков, износ по нематериальным активам, а также другие затраты входящие в состав себестоимости продукции.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 xml:space="preserve">Группировка затрат по элементам необходима для того, чтобы изучить материалоемкость, энергоемкость, трудоемкость, фондоемкость и установить влияние технического прогресса на структуру затрат. Если доля заработной платы уменьшается, а доля амортизации увеличивается, то это свидетельствует о повышении технического уровня предприятия, о росте </w:t>
      </w:r>
      <w:r w:rsidR="0073465D" w:rsidRPr="00787914">
        <w:rPr>
          <w:rFonts w:ascii="Times New Roman" w:hAnsi="Times New Roman" w:cs="Times New Roman"/>
          <w:sz w:val="28"/>
          <w:szCs w:val="28"/>
        </w:rPr>
        <w:t>производительности труда. Удель</w:t>
      </w:r>
      <w:r w:rsidRPr="00787914">
        <w:rPr>
          <w:rFonts w:ascii="Times New Roman" w:hAnsi="Times New Roman" w:cs="Times New Roman"/>
          <w:sz w:val="28"/>
          <w:szCs w:val="28"/>
        </w:rPr>
        <w:t>ный вес зарплаты сокращается и в том случае, если увеличивается доля покупных комплектующих изделий, полуфабрикатов, что свидетельствует о повышении уровня кооперации и специализации.</w:t>
      </w:r>
    </w:p>
    <w:p w:rsidR="006333B5" w:rsidRPr="00787914" w:rsidRDefault="006333B5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По этому методу себестоимость определяется путем сложения всех элементов сметы затрат. При анализе затрат на рубль продукции по экономическим элементам исключается влияние цены. То есть в расчете используются только базисные цены.</w:t>
      </w:r>
    </w:p>
    <w:p w:rsidR="0097407B" w:rsidRPr="00787914" w:rsidRDefault="0097407B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914" w:rsidRPr="00787914" w:rsidRDefault="00787914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914">
        <w:rPr>
          <w:rFonts w:ascii="Times New Roman" w:hAnsi="Times New Roman" w:cs="Times New Roman"/>
          <w:b/>
          <w:bCs/>
          <w:sz w:val="28"/>
          <w:szCs w:val="28"/>
        </w:rPr>
        <w:t>Задание № 4</w:t>
      </w:r>
    </w:p>
    <w:p w:rsidR="00787914" w:rsidRDefault="00787914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541" w:rsidRPr="00787914" w:rsidRDefault="00135E57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>А</w:t>
      </w:r>
      <w:r w:rsidR="001F1B11" w:rsidRPr="00787914">
        <w:rPr>
          <w:rFonts w:ascii="Times New Roman" w:hAnsi="Times New Roman" w:cs="Times New Roman"/>
          <w:sz w:val="28"/>
          <w:szCs w:val="28"/>
        </w:rPr>
        <w:t>нализ влияния факторов на изменение прибыли от продаж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1F1B11" w:rsidRPr="00787914" w:rsidRDefault="001F1B11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4.</w:t>
      </w:r>
    </w:p>
    <w:p w:rsidR="00BB5D13" w:rsidRPr="00E24D77" w:rsidRDefault="001F1B11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Исходная информация для определения факторного анализа прибыли </w:t>
      </w:r>
    </w:p>
    <w:p w:rsidR="001F1B11" w:rsidRPr="00787914" w:rsidRDefault="001F1B11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от продаж, тыс. руб.</w:t>
      </w:r>
    </w:p>
    <w:tbl>
      <w:tblPr>
        <w:tblW w:w="7484" w:type="dxa"/>
        <w:tblInd w:w="475" w:type="dxa"/>
        <w:tblLook w:val="0000" w:firstRow="0" w:lastRow="0" w:firstColumn="0" w:lastColumn="0" w:noHBand="0" w:noVBand="0"/>
      </w:tblPr>
      <w:tblGrid>
        <w:gridCol w:w="2758"/>
        <w:gridCol w:w="1583"/>
        <w:gridCol w:w="1898"/>
        <w:gridCol w:w="1245"/>
      </w:tblGrid>
      <w:tr w:rsidR="002433AF" w:rsidRPr="00787914">
        <w:trPr>
          <w:trHeight w:val="102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Фактически по ценам и затратам предыдущего года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Отчетный год</w:t>
            </w:r>
          </w:p>
        </w:tc>
      </w:tr>
      <w:tr w:rsidR="002433AF" w:rsidRPr="00787914">
        <w:trPr>
          <w:trHeight w:val="255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</w:t>
            </w:r>
          </w:p>
        </w:tc>
      </w:tr>
      <w:tr w:rsidR="002433AF" w:rsidRPr="00787914">
        <w:trPr>
          <w:trHeight w:val="255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Выручка от продаж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256240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344840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432360</w:t>
            </w:r>
          </w:p>
        </w:tc>
      </w:tr>
      <w:tr w:rsidR="002433AF" w:rsidRPr="00787914">
        <w:trPr>
          <w:trHeight w:val="510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 Себестоимость проданной продукции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205616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288470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369933</w:t>
            </w:r>
          </w:p>
        </w:tc>
      </w:tr>
      <w:tr w:rsidR="002433AF" w:rsidRPr="00787914">
        <w:trPr>
          <w:trHeight w:val="510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 Коммерческие расходы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4190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6600</w:t>
            </w:r>
          </w:p>
        </w:tc>
      </w:tr>
      <w:tr w:rsidR="002433AF" w:rsidRPr="00787914">
        <w:trPr>
          <w:trHeight w:val="510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4. Управленческие расходы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5860</w:t>
            </w:r>
          </w:p>
        </w:tc>
      </w:tr>
      <w:tr w:rsidR="002433AF" w:rsidRPr="00787914">
        <w:trPr>
          <w:trHeight w:val="345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5. Прибыль от продаж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35624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45930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AF" w:rsidRPr="00787914" w:rsidRDefault="002433A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49967</w:t>
            </w:r>
          </w:p>
        </w:tc>
      </w:tr>
    </w:tbl>
    <w:p w:rsidR="001F1B11" w:rsidRPr="00787914" w:rsidRDefault="001F1B11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720049" w:rsidRPr="00787914" w:rsidRDefault="00C135E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Влияние объема продаж на изменение прибыли = Прибыль от продаж </w:t>
      </w:r>
      <w:r w:rsidR="00117429" w:rsidRPr="00787914">
        <w:rPr>
          <w:sz w:val="28"/>
          <w:szCs w:val="28"/>
        </w:rPr>
        <w:t xml:space="preserve">за предыдущий год </w:t>
      </w:r>
      <w:r w:rsidRPr="00787914">
        <w:rPr>
          <w:sz w:val="28"/>
          <w:szCs w:val="28"/>
        </w:rPr>
        <w:t>* темп роста объема продаж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=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35 624 * (432 360 – 344 840)/344 840 =</w:t>
      </w:r>
      <w:r w:rsidR="00787914">
        <w:rPr>
          <w:sz w:val="28"/>
          <w:szCs w:val="28"/>
        </w:rPr>
        <w:t xml:space="preserve"> </w:t>
      </w:r>
      <w:r w:rsidR="00BB5D13">
        <w:rPr>
          <w:sz w:val="28"/>
          <w:szCs w:val="28"/>
        </w:rPr>
        <w:t>9041,</w:t>
      </w:r>
      <w:r w:rsidRPr="00787914">
        <w:rPr>
          <w:sz w:val="28"/>
          <w:szCs w:val="28"/>
        </w:rPr>
        <w:t>34</w:t>
      </w:r>
    </w:p>
    <w:p w:rsidR="00C135EB" w:rsidRPr="00787914" w:rsidRDefault="00C135E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Влияние себестоимости продукции на изменение прибыли = </w:t>
      </w:r>
      <w:r w:rsidR="00117429" w:rsidRPr="00787914">
        <w:rPr>
          <w:sz w:val="28"/>
          <w:szCs w:val="28"/>
        </w:rPr>
        <w:t>Себестоимость в отчетном периоде – себестоимость фактически по ценам и затратам предыдущего года = 369 933 – 288 470 = 81 463</w:t>
      </w:r>
    </w:p>
    <w:p w:rsidR="00117429" w:rsidRPr="00787914" w:rsidRDefault="00117429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Влияние коммерческих расходов на изменение прибыли =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Коммерческие расходы в отчетном периоде – Коммерческие расходы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фактически по ценам и затратам предыдущего года = 6 600 – 4 190 = 2 410</w:t>
      </w:r>
    </w:p>
    <w:p w:rsidR="002B1698" w:rsidRPr="00787914" w:rsidRDefault="002B1698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Влияние </w:t>
      </w:r>
      <w:r w:rsidR="00476534" w:rsidRPr="00787914">
        <w:rPr>
          <w:sz w:val="28"/>
          <w:szCs w:val="28"/>
        </w:rPr>
        <w:t>управленческих</w:t>
      </w:r>
      <w:r w:rsidRPr="00787914">
        <w:rPr>
          <w:sz w:val="28"/>
          <w:szCs w:val="28"/>
        </w:rPr>
        <w:t xml:space="preserve"> расходов на изменение прибыли = </w:t>
      </w:r>
      <w:r w:rsidR="00476534" w:rsidRPr="00787914">
        <w:rPr>
          <w:sz w:val="28"/>
          <w:szCs w:val="28"/>
        </w:rPr>
        <w:t>Управленческие расходы за предыдущий год * темп роста управленческих расходов</w:t>
      </w:r>
      <w:r w:rsidR="00787914">
        <w:rPr>
          <w:sz w:val="28"/>
          <w:szCs w:val="28"/>
        </w:rPr>
        <w:t xml:space="preserve"> </w:t>
      </w:r>
      <w:r w:rsidR="00476534" w:rsidRPr="00787914">
        <w:rPr>
          <w:sz w:val="28"/>
          <w:szCs w:val="28"/>
        </w:rPr>
        <w:t>= 6 800 * (5 860 – 6 250)/6 250 =</w:t>
      </w:r>
      <w:r w:rsidR="00787914">
        <w:rPr>
          <w:sz w:val="28"/>
          <w:szCs w:val="28"/>
        </w:rPr>
        <w:t xml:space="preserve"> </w:t>
      </w:r>
      <w:r w:rsidR="00476534" w:rsidRPr="00787914">
        <w:rPr>
          <w:sz w:val="28"/>
          <w:szCs w:val="28"/>
        </w:rPr>
        <w:t>- 424,32</w:t>
      </w:r>
    </w:p>
    <w:p w:rsidR="00476534" w:rsidRPr="00787914" w:rsidRDefault="00476534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Влияние цен на проданную продукцию на изменение прибыли = </w:t>
      </w:r>
      <w:r w:rsidR="00EF20B0" w:rsidRPr="00787914">
        <w:rPr>
          <w:sz w:val="28"/>
          <w:szCs w:val="28"/>
        </w:rPr>
        <w:t>Выручка от продаж за отчетный год – выручка от продаж фактически по ценам и затратам предыдущего года =</w:t>
      </w:r>
      <w:r w:rsidR="00787914">
        <w:rPr>
          <w:sz w:val="28"/>
          <w:szCs w:val="28"/>
        </w:rPr>
        <w:t xml:space="preserve"> </w:t>
      </w:r>
      <w:r w:rsidR="00EF20B0" w:rsidRPr="00787914">
        <w:rPr>
          <w:sz w:val="28"/>
          <w:szCs w:val="28"/>
        </w:rPr>
        <w:t>432 360 – 344 840 = 87 520</w:t>
      </w:r>
    </w:p>
    <w:p w:rsidR="00476534" w:rsidRPr="00787914" w:rsidRDefault="00476534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Влияние структурных сдвигов проданной продукции на изменение прибыли = </w:t>
      </w:r>
      <w:r w:rsidR="0011150B" w:rsidRPr="00787914">
        <w:rPr>
          <w:sz w:val="28"/>
          <w:szCs w:val="28"/>
        </w:rPr>
        <w:t>Себестоимость за предыдущий период * приращение себестоимости = 205 616 * (369 933 – 288 470)/288 470 =58 065, 34</w:t>
      </w:r>
    </w:p>
    <w:p w:rsidR="00EF20B0" w:rsidRPr="00787914" w:rsidRDefault="00EF20B0" w:rsidP="00787914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87914">
        <w:rPr>
          <w:b w:val="0"/>
          <w:bCs w:val="0"/>
          <w:sz w:val="28"/>
          <w:szCs w:val="28"/>
        </w:rPr>
        <w:t>Успешная реализация этой задачи предполагает необходимость управления процессом формирования прибыли, включающим в себя как выявления резервов ее роста, так и ее использования. Исходным положением в его осуществлении является проведение аналитических расчетов по определению желаемой величины прибыли. Эти расчеты следует вести в рамках принимаемого плана производства и реализации продукции и финансового плана.</w:t>
      </w:r>
    </w:p>
    <w:p w:rsidR="00EF20B0" w:rsidRPr="00787914" w:rsidRDefault="008272EF" w:rsidP="00787914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87914">
        <w:rPr>
          <w:b w:val="0"/>
          <w:bCs w:val="0"/>
          <w:sz w:val="28"/>
          <w:szCs w:val="28"/>
        </w:rPr>
        <w:t>П</w:t>
      </w:r>
      <w:r w:rsidR="00EF20B0" w:rsidRPr="00787914">
        <w:rPr>
          <w:b w:val="0"/>
          <w:bCs w:val="0"/>
          <w:sz w:val="28"/>
          <w:szCs w:val="28"/>
        </w:rPr>
        <w:t>рибыль исчисляется как разность между плановой суммой выручки от продаж (без налога на добавленную стоимость и акцизов) и плановой величиной себестоимости товарной продукции, управленческих и коммерческих расходов</w:t>
      </w:r>
      <w:r w:rsidRPr="00787914">
        <w:rPr>
          <w:b w:val="0"/>
          <w:bCs w:val="0"/>
          <w:sz w:val="28"/>
          <w:szCs w:val="28"/>
        </w:rPr>
        <w:t>.</w:t>
      </w:r>
    </w:p>
    <w:p w:rsidR="00EF20B0" w:rsidRPr="00787914" w:rsidRDefault="00EF20B0" w:rsidP="00787914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87914">
        <w:rPr>
          <w:b w:val="0"/>
          <w:bCs w:val="0"/>
          <w:sz w:val="28"/>
          <w:szCs w:val="28"/>
        </w:rPr>
        <w:t>Вместе с тем при планировании прибыли важно стремиться к ее максимизации. Это сложный процесс, поскольку е</w:t>
      </w:r>
      <w:r w:rsidR="008272EF" w:rsidRPr="00787914">
        <w:rPr>
          <w:b w:val="0"/>
          <w:bCs w:val="0"/>
          <w:sz w:val="28"/>
          <w:szCs w:val="28"/>
        </w:rPr>
        <w:t>е величина зави</w:t>
      </w:r>
      <w:r w:rsidRPr="00787914">
        <w:rPr>
          <w:b w:val="0"/>
          <w:bCs w:val="0"/>
          <w:sz w:val="28"/>
          <w:szCs w:val="28"/>
        </w:rPr>
        <w:t xml:space="preserve">сит от объема продаж и ассортимента продукции, уровня издержек производства и цены за единицу </w:t>
      </w:r>
      <w:r w:rsidR="008272EF" w:rsidRPr="00787914">
        <w:rPr>
          <w:b w:val="0"/>
          <w:bCs w:val="0"/>
          <w:sz w:val="28"/>
          <w:szCs w:val="28"/>
        </w:rPr>
        <w:t>продукции, устанавливаемой пред</w:t>
      </w:r>
      <w:r w:rsidRPr="00787914">
        <w:rPr>
          <w:b w:val="0"/>
          <w:bCs w:val="0"/>
          <w:sz w:val="28"/>
          <w:szCs w:val="28"/>
        </w:rPr>
        <w:t>приятием, и каждый из них в свою очередь в своем формировании зависит от многих факторов.</w:t>
      </w:r>
    </w:p>
    <w:p w:rsidR="008272EF" w:rsidRPr="00787914" w:rsidRDefault="008272EF" w:rsidP="00787914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8272EF" w:rsidRPr="00787914" w:rsidRDefault="00787914" w:rsidP="0078791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Задание № 5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EF20B0" w:rsidRPr="00787914" w:rsidRDefault="0011150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Влияние факторов на изменение рентабельности собственного капитала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11150B" w:rsidRPr="00787914" w:rsidRDefault="0011150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5.</w:t>
      </w:r>
    </w:p>
    <w:p w:rsidR="0011150B" w:rsidRPr="00787914" w:rsidRDefault="0011150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Расчет влияния факторов на изменение рентабельности собственного капитала</w:t>
      </w:r>
    </w:p>
    <w:tbl>
      <w:tblPr>
        <w:tblW w:w="9230" w:type="dxa"/>
        <w:tblInd w:w="115" w:type="dxa"/>
        <w:tblLook w:val="0000" w:firstRow="0" w:lastRow="0" w:firstColumn="0" w:lastColumn="0" w:noHBand="0" w:noVBand="0"/>
      </w:tblPr>
      <w:tblGrid>
        <w:gridCol w:w="2693"/>
        <w:gridCol w:w="2947"/>
        <w:gridCol w:w="1356"/>
        <w:gridCol w:w="1074"/>
        <w:gridCol w:w="1160"/>
      </w:tblGrid>
      <w:tr w:rsidR="00954296" w:rsidRPr="0078791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Показатель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Изменение (+,-)</w:t>
            </w:r>
          </w:p>
        </w:tc>
      </w:tr>
      <w:tr w:rsidR="00954296" w:rsidRPr="00787914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</w:t>
            </w:r>
          </w:p>
        </w:tc>
      </w:tr>
      <w:tr w:rsidR="00954296" w:rsidRPr="00787914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Чистая прибыль, тыс. руб.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форма №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36737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51746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15009</w:t>
            </w:r>
          </w:p>
        </w:tc>
      </w:tr>
      <w:tr w:rsidR="00954296" w:rsidRPr="00787914">
        <w:trPr>
          <w:trHeight w:val="15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2.Среднегодовые остатки собственного капитала, тыс. руб.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(</w:t>
            </w:r>
            <w:r w:rsidR="00291C78" w:rsidRPr="00787914">
              <w:rPr>
                <w:sz w:val="20"/>
                <w:szCs w:val="20"/>
              </w:rPr>
              <w:t>Собственный</w:t>
            </w:r>
            <w:r w:rsidRPr="00787914">
              <w:rPr>
                <w:sz w:val="20"/>
                <w:szCs w:val="20"/>
              </w:rPr>
              <w:t xml:space="preserve"> капитал на начало года +Собственный капитал на конец года)/2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278725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279817.5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1092.5</w:t>
            </w:r>
          </w:p>
        </w:tc>
      </w:tr>
      <w:tr w:rsidR="00954296" w:rsidRPr="00787914">
        <w:trPr>
          <w:trHeight w:val="113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 Среднегодовые остатки заемного капитала, тыс. руб.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 xml:space="preserve">(Заемный </w:t>
            </w:r>
            <w:r w:rsidR="00291C78" w:rsidRPr="00787914">
              <w:rPr>
                <w:sz w:val="20"/>
                <w:szCs w:val="20"/>
              </w:rPr>
              <w:t>капитал</w:t>
            </w:r>
            <w:r w:rsidRPr="00787914">
              <w:rPr>
                <w:sz w:val="20"/>
                <w:szCs w:val="20"/>
              </w:rPr>
              <w:t xml:space="preserve"> на начало года</w:t>
            </w:r>
            <w:r w:rsidR="00291C78" w:rsidRPr="00787914">
              <w:rPr>
                <w:sz w:val="20"/>
                <w:szCs w:val="20"/>
              </w:rPr>
              <w:t xml:space="preserve"> </w:t>
            </w:r>
            <w:r w:rsidRPr="00787914">
              <w:rPr>
                <w:sz w:val="20"/>
                <w:szCs w:val="20"/>
              </w:rPr>
              <w:t>+</w:t>
            </w:r>
            <w:r w:rsidR="00291C78" w:rsidRPr="00787914">
              <w:rPr>
                <w:sz w:val="20"/>
                <w:szCs w:val="20"/>
              </w:rPr>
              <w:t xml:space="preserve"> </w:t>
            </w:r>
            <w:r w:rsidRPr="00787914">
              <w:rPr>
                <w:sz w:val="20"/>
                <w:szCs w:val="20"/>
              </w:rPr>
              <w:t>заемный капитал на конец года)/2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245220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231082.5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-14137.5</w:t>
            </w:r>
          </w:p>
        </w:tc>
      </w:tr>
      <w:tr w:rsidR="00954296" w:rsidRPr="00787914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4. Среднегодовые остатки всех активов, тыс. руб.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(Активы на начало года +Активы на конец года)/2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505600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510900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5300</w:t>
            </w:r>
          </w:p>
        </w:tc>
      </w:tr>
      <w:tr w:rsidR="00954296" w:rsidRPr="00787914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5. Выручка от продаж, тыс. руб.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форма №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256240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432360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176120</w:t>
            </w:r>
          </w:p>
        </w:tc>
      </w:tr>
      <w:tr w:rsidR="00954296" w:rsidRPr="00787914">
        <w:trPr>
          <w:trHeight w:val="11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6. Доля активов на 1 рубль заемного капитала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Среднегодовые остатки всех активов/Среднегодовые остатки заемного капитала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2.0618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2.2109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0.1491</w:t>
            </w:r>
          </w:p>
        </w:tc>
      </w:tr>
      <w:tr w:rsidR="00954296" w:rsidRPr="00787914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7. Коэффициент оборачиваемости активов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Выручка/Среднегодовые остатки всех активов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0.339467</w:t>
            </w:r>
          </w:p>
        </w:tc>
      </w:tr>
      <w:tr w:rsidR="00954296" w:rsidRPr="00787914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8272EF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8. Коэффициент финансового рычага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Заемный капитал/Собственный капитал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-0.05396</w:t>
            </w:r>
          </w:p>
        </w:tc>
      </w:tr>
      <w:tr w:rsidR="00954296" w:rsidRPr="00787914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9. Рентабельность продаж, 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Прибыль/Выручка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14.34%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11.97%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-2.37%</w:t>
            </w:r>
          </w:p>
        </w:tc>
      </w:tr>
      <w:tr w:rsidR="00954296" w:rsidRPr="00787914">
        <w:trPr>
          <w:trHeight w:val="12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10. Рентабельность собственного капитала, 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Чистая прибыль/Средние остатки собственного капитала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13.18%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18.49%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5.31%</w:t>
            </w:r>
          </w:p>
        </w:tc>
      </w:tr>
      <w:tr w:rsidR="00954296" w:rsidRPr="00787914">
        <w:trPr>
          <w:trHeight w:val="20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11. Влияние факторов на изменение рентабельности собственного капитала факторов - всего, %</w:t>
            </w:r>
            <w:r w:rsidR="00787914" w:rsidRPr="00787914">
              <w:rPr>
                <w:sz w:val="20"/>
                <w:szCs w:val="20"/>
              </w:rPr>
              <w:t xml:space="preserve"> </w:t>
            </w:r>
            <w:r w:rsidRPr="00787914">
              <w:rPr>
                <w:sz w:val="20"/>
                <w:szCs w:val="20"/>
              </w:rPr>
              <w:t>в том числе: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4296" w:rsidRPr="00787914">
        <w:trPr>
          <w:trHeight w:val="25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а) доли активов на 1 рубль заемного капитала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Доля активов на 1 рубль заемного капитала * Коэффициент финансового рычага (левериджа) * Коэффициент оборачиваемости активов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-0.7875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-1.3602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-0.57</w:t>
            </w:r>
          </w:p>
        </w:tc>
      </w:tr>
      <w:tr w:rsidR="00954296" w:rsidRPr="00787914">
        <w:trPr>
          <w:trHeight w:val="22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б) коэффициента оборачиваемости активов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Коэффициент финансового рычага (левериджа) * Коэффициент оборачиваемости активов) * Рентабельность продаж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0.0679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0.03</w:t>
            </w:r>
          </w:p>
        </w:tc>
      </w:tr>
      <w:tr w:rsidR="00954296" w:rsidRPr="00787914">
        <w:trPr>
          <w:trHeight w:val="20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в) коэффициента финансового рычага (левериджа)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Коэффициент финансового рычага (левериджа) * (Заемный капитал/Выручка) * Рентабельность продаж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0.0586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0.1059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0.05</w:t>
            </w:r>
          </w:p>
        </w:tc>
      </w:tr>
      <w:tr w:rsidR="00954296" w:rsidRPr="00787914">
        <w:trPr>
          <w:trHeight w:val="22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в) рентабельности продаж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Коэффициент финансового рычага (левериджа) * Коэффициент обо</w:t>
            </w:r>
            <w:r w:rsidR="00291C78" w:rsidRPr="00787914">
              <w:rPr>
                <w:sz w:val="20"/>
                <w:szCs w:val="20"/>
              </w:rPr>
              <w:t>р</w:t>
            </w:r>
            <w:r w:rsidRPr="00787914">
              <w:rPr>
                <w:sz w:val="20"/>
                <w:szCs w:val="20"/>
              </w:rPr>
              <w:t>ачиваемости активов * Рентабельность продаж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0.0679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0.0222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-0.05</w:t>
            </w:r>
          </w:p>
        </w:tc>
      </w:tr>
      <w:tr w:rsidR="00954296" w:rsidRPr="00787914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Баланс отклонений, 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-0.5931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-1.1309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96" w:rsidRPr="00787914" w:rsidRDefault="00954296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-0.54</w:t>
            </w:r>
          </w:p>
        </w:tc>
      </w:tr>
    </w:tbl>
    <w:p w:rsidR="005D4A56" w:rsidRPr="00787914" w:rsidRDefault="005D4A56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504150" w:rsidRPr="00787914" w:rsidRDefault="00787914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7860" w:rsidRPr="00787914">
        <w:rPr>
          <w:rFonts w:ascii="Times New Roman" w:hAnsi="Times New Roman" w:cs="Times New Roman"/>
          <w:sz w:val="28"/>
          <w:szCs w:val="28"/>
        </w:rPr>
        <w:t>Алгоритм расчета влияния факторов на изменение рентабельности собственного капитала представлен в колонке 2. Соответственно данные в 3 и 4 колонке рассчитываются по этим формулам.</w:t>
      </w:r>
    </w:p>
    <w:p w:rsidR="005D4A56" w:rsidRPr="00787914" w:rsidRDefault="005D4A56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4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активов - финансовый показатель, рассчитываемый как отношение оборота компании к среднегодовой величине суммарных активов. Характеризует эффективность использования ресурсов, привлеченных для организации производства. Является показателем, косвенно отражающим потенциальную </w:t>
      </w:r>
      <w:r w:rsidR="00787914">
        <w:rPr>
          <w:rFonts w:ascii="Times New Roman" w:hAnsi="Times New Roman" w:cs="Times New Roman"/>
          <w:sz w:val="28"/>
          <w:szCs w:val="28"/>
        </w:rPr>
        <w:t>рентабельность работы компании.</w:t>
      </w:r>
    </w:p>
    <w:p w:rsidR="005D4A56" w:rsidRPr="00787914" w:rsidRDefault="005D4A56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rStyle w:val="a9"/>
          <w:b w:val="0"/>
          <w:bCs w:val="0"/>
          <w:color w:val="000000"/>
          <w:sz w:val="28"/>
          <w:szCs w:val="28"/>
        </w:rPr>
        <w:t>Коэффициент финансового левериджа (плечо финансового рычага)</w:t>
      </w:r>
      <w:r w:rsidRPr="00787914">
        <w:rPr>
          <w:color w:val="000000"/>
          <w:sz w:val="28"/>
          <w:szCs w:val="28"/>
        </w:rPr>
        <w:t xml:space="preserve"> определяется как отношение заемного капитала к собственному капиталу. Коэффициент финансового левериджа прямо пропорционален финансовому риску предприятия.</w:t>
      </w:r>
    </w:p>
    <w:p w:rsidR="005D4A56" w:rsidRPr="00787914" w:rsidRDefault="00F23909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 xml:space="preserve">На </w:t>
      </w:r>
      <w:r w:rsidR="005D4A56" w:rsidRPr="00787914">
        <w:rPr>
          <w:color w:val="000000"/>
          <w:sz w:val="28"/>
          <w:szCs w:val="28"/>
        </w:rPr>
        <w:t>практике анализа применяется множество показателей эффективности работы предприятия. Показатель рентабельности собственного капитала выбран потому, что он является наиболее важным для акционеров компании. Он характеризует прибыль, которую собственники получают с рубля вложенных в предприятие средств. Этот коэффициент учитывает такие важные параметры, как платежи по процентам за кредит и налог на прибыль.</w:t>
      </w:r>
    </w:p>
    <w:p w:rsidR="00F23909" w:rsidRPr="00787914" w:rsidRDefault="00F23909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Таблица показывает, что наибольшее влияние оказывает такой показатель как доля активов на 1 рубль</w:t>
      </w:r>
      <w:r w:rsidR="00F83ADD" w:rsidRPr="00787914">
        <w:rPr>
          <w:color w:val="000000"/>
          <w:sz w:val="28"/>
          <w:szCs w:val="28"/>
        </w:rPr>
        <w:t xml:space="preserve"> заемного капитала</w:t>
      </w:r>
      <w:r w:rsidR="00787914">
        <w:rPr>
          <w:color w:val="000000"/>
          <w:sz w:val="28"/>
          <w:szCs w:val="28"/>
        </w:rPr>
        <w:t xml:space="preserve"> </w:t>
      </w:r>
      <w:r w:rsidR="00F83ADD" w:rsidRPr="00787914">
        <w:rPr>
          <w:color w:val="000000"/>
          <w:sz w:val="28"/>
          <w:szCs w:val="28"/>
        </w:rPr>
        <w:t>и коэффициент оборачиваемости активов, что составляет 0.06 и 0.078. В отчетном году произошло увеличение чистой прибыли на 15 009 тыс. руб. Уменьшению подвергнуты среднегодовые остатки заемного капитала, что говорит о платежеспособности предприятия.</w:t>
      </w:r>
      <w:r w:rsidR="00787914">
        <w:rPr>
          <w:color w:val="000000"/>
          <w:sz w:val="28"/>
          <w:szCs w:val="28"/>
        </w:rPr>
        <w:t xml:space="preserve"> </w:t>
      </w:r>
      <w:r w:rsidR="00F83ADD" w:rsidRPr="00787914">
        <w:rPr>
          <w:color w:val="000000"/>
          <w:sz w:val="28"/>
          <w:szCs w:val="28"/>
        </w:rPr>
        <w:t>Это связано с у</w:t>
      </w:r>
      <w:r w:rsidR="00BB5D13">
        <w:rPr>
          <w:color w:val="000000"/>
          <w:sz w:val="28"/>
          <w:szCs w:val="28"/>
        </w:rPr>
        <w:t>величением выручки более, чем на</w:t>
      </w:r>
      <w:r w:rsidR="00F83ADD" w:rsidRPr="00787914">
        <w:rPr>
          <w:color w:val="000000"/>
          <w:sz w:val="28"/>
          <w:szCs w:val="28"/>
        </w:rPr>
        <w:t>половину.</w:t>
      </w:r>
    </w:p>
    <w:p w:rsidR="00F23909" w:rsidRPr="00787914" w:rsidRDefault="00F83ADD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В связи с низким увеличением прибыли рентабельность продаж уменьш</w:t>
      </w:r>
      <w:r w:rsidR="00504150" w:rsidRPr="00787914">
        <w:rPr>
          <w:color w:val="000000"/>
          <w:sz w:val="28"/>
          <w:szCs w:val="28"/>
        </w:rPr>
        <w:t>илась на 2,</w:t>
      </w:r>
      <w:r w:rsidRPr="00787914">
        <w:rPr>
          <w:color w:val="000000"/>
          <w:sz w:val="28"/>
          <w:szCs w:val="28"/>
        </w:rPr>
        <w:t>37 %, а рентабельность собст</w:t>
      </w:r>
      <w:r w:rsidR="00504150" w:rsidRPr="00787914">
        <w:rPr>
          <w:color w:val="000000"/>
          <w:sz w:val="28"/>
          <w:szCs w:val="28"/>
        </w:rPr>
        <w:t>венного капитала возросла на 5,</w:t>
      </w:r>
      <w:r w:rsidRPr="00787914">
        <w:rPr>
          <w:color w:val="000000"/>
          <w:sz w:val="28"/>
          <w:szCs w:val="28"/>
        </w:rPr>
        <w:t>31 %.</w:t>
      </w:r>
    </w:p>
    <w:p w:rsidR="00F83ADD" w:rsidRPr="00787914" w:rsidRDefault="00F83ADD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914" w:rsidRPr="00787914" w:rsidRDefault="007879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87914">
        <w:rPr>
          <w:b/>
          <w:bCs/>
          <w:sz w:val="28"/>
          <w:szCs w:val="28"/>
        </w:rPr>
        <w:t>Задание № 6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117429" w:rsidRPr="00787914" w:rsidRDefault="00492CDF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Анализ показателей интенсификации использования основных ресурсов</w:t>
      </w:r>
    </w:p>
    <w:p w:rsidR="00787914" w:rsidRDefault="007879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492CDF" w:rsidRPr="00787914" w:rsidRDefault="00492CDF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6.</w:t>
      </w:r>
    </w:p>
    <w:p w:rsidR="00492CDF" w:rsidRPr="00787914" w:rsidRDefault="00492CDF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Расчет показателей оценки ресурсов организации</w:t>
      </w:r>
    </w:p>
    <w:tbl>
      <w:tblPr>
        <w:tblW w:w="8598" w:type="dxa"/>
        <w:tblInd w:w="115" w:type="dxa"/>
        <w:tblLook w:val="0000" w:firstRow="0" w:lastRow="0" w:firstColumn="0" w:lastColumn="0" w:noHBand="0" w:noVBand="0"/>
      </w:tblPr>
      <w:tblGrid>
        <w:gridCol w:w="4331"/>
        <w:gridCol w:w="1583"/>
        <w:gridCol w:w="1245"/>
        <w:gridCol w:w="1439"/>
      </w:tblGrid>
      <w:tr w:rsidR="003E6ED9" w:rsidRPr="00787914">
        <w:trPr>
          <w:trHeight w:val="102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Темп роста (снижения), %</w:t>
            </w:r>
          </w:p>
        </w:tc>
      </w:tr>
      <w:tr w:rsidR="003E6ED9" w:rsidRPr="00787914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</w:t>
            </w:r>
          </w:p>
        </w:tc>
      </w:tr>
      <w:tr w:rsidR="003E6ED9" w:rsidRPr="00787914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Выручка от продажи, тыс. руб.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256240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432360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1.69</w:t>
            </w:r>
          </w:p>
        </w:tc>
      </w:tr>
      <w:tr w:rsidR="003E6ED9" w:rsidRPr="00787914">
        <w:trPr>
          <w:trHeight w:val="76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2.Оплата труда с отчислениями на социальные нужды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15092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25008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1.66</w:t>
            </w:r>
          </w:p>
        </w:tc>
      </w:tr>
      <w:tr w:rsidR="003E6ED9" w:rsidRPr="00787914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 Материальные затраты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142295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235790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1.66</w:t>
            </w:r>
          </w:p>
        </w:tc>
      </w:tr>
      <w:tr w:rsidR="003E6ED9" w:rsidRPr="00787914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4. Основные средства, тыс. руб.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70274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64125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0.91</w:t>
            </w:r>
          </w:p>
        </w:tc>
      </w:tr>
      <w:tr w:rsidR="003E6ED9" w:rsidRPr="00787914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5. Оборотные средства, тыс. руб.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505600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510900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1.01</w:t>
            </w:r>
          </w:p>
        </w:tc>
      </w:tr>
      <w:tr w:rsidR="003E6ED9" w:rsidRPr="00787914">
        <w:trPr>
          <w:trHeight w:val="255"/>
        </w:trPr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F83ADD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Расчетные</w:t>
            </w:r>
            <w:r w:rsidR="003E6ED9" w:rsidRPr="00787914">
              <w:rPr>
                <w:sz w:val="20"/>
                <w:szCs w:val="20"/>
              </w:rPr>
              <w:t xml:space="preserve"> данные</w:t>
            </w:r>
          </w:p>
        </w:tc>
      </w:tr>
      <w:tr w:rsidR="003E6ED9" w:rsidRPr="00787914">
        <w:trPr>
          <w:trHeight w:val="51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 Зарплатоотдача, коп.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496.07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504.26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1.02</w:t>
            </w:r>
          </w:p>
        </w:tc>
      </w:tr>
      <w:tr w:rsidR="003E6ED9" w:rsidRPr="00787914">
        <w:trPr>
          <w:trHeight w:val="6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2. Материалоотдача, коп.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180.08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183.37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1.02</w:t>
            </w:r>
          </w:p>
        </w:tc>
      </w:tr>
      <w:tr w:rsidR="003E6ED9" w:rsidRPr="00787914">
        <w:trPr>
          <w:trHeight w:val="6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3. Фондоотдача, коп.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364.63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674.25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1.85</w:t>
            </w:r>
          </w:p>
        </w:tc>
      </w:tr>
      <w:tr w:rsidR="003E6ED9" w:rsidRPr="00787914">
        <w:trPr>
          <w:trHeight w:val="82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4. Оборачиваемость оборотных активов, количество оборотов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0.88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ED9" w:rsidRPr="00787914" w:rsidRDefault="003E6ED9" w:rsidP="00787914">
            <w:pPr>
              <w:spacing w:line="360" w:lineRule="auto"/>
              <w:rPr>
                <w:sz w:val="20"/>
                <w:szCs w:val="20"/>
              </w:rPr>
            </w:pPr>
            <w:r w:rsidRPr="00787914">
              <w:rPr>
                <w:sz w:val="20"/>
                <w:szCs w:val="20"/>
              </w:rPr>
              <w:t>1.37</w:t>
            </w:r>
          </w:p>
        </w:tc>
      </w:tr>
    </w:tbl>
    <w:p w:rsidR="003E6ED9" w:rsidRPr="00787914" w:rsidRDefault="003E6ED9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753B9B" w:rsidRPr="00787914" w:rsidRDefault="00753B9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Темп роста (снижения) = сумма за отчетный период – сумма за предыдущий период.</w:t>
      </w:r>
    </w:p>
    <w:p w:rsidR="00753B9B" w:rsidRPr="00787914" w:rsidRDefault="00753B9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Зарплатоотдача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(за предыдущий период)= выручка от продажи/(оплата труда с отчислениями на социальные нужды + расходы на оплату труда)*100. Аналогично рассчитывается показатель за отчетный год.</w:t>
      </w:r>
      <w:r w:rsidR="00D62E44" w:rsidRPr="00787914">
        <w:rPr>
          <w:sz w:val="28"/>
          <w:szCs w:val="28"/>
        </w:rPr>
        <w:t xml:space="preserve"> Данный показатель показывает, сколько дохода или прибыли должны получить</w:t>
      </w:r>
      <w:r w:rsidR="00BB5D13">
        <w:rPr>
          <w:sz w:val="28"/>
          <w:szCs w:val="28"/>
        </w:rPr>
        <w:t>,</w:t>
      </w:r>
      <w:r w:rsidR="00D62E44" w:rsidRPr="00787914">
        <w:rPr>
          <w:sz w:val="28"/>
          <w:szCs w:val="28"/>
        </w:rPr>
        <w:t xml:space="preserve"> вкладывая 1 рубль в оплату труда.</w:t>
      </w:r>
      <w:r w:rsidR="00AB4EF1" w:rsidRPr="00787914">
        <w:rPr>
          <w:sz w:val="28"/>
          <w:szCs w:val="28"/>
        </w:rPr>
        <w:t xml:space="preserve"> В нашем примере произошло небольшое увеличение показателя</w:t>
      </w:r>
      <w:r w:rsidR="00787914">
        <w:rPr>
          <w:sz w:val="28"/>
          <w:szCs w:val="28"/>
        </w:rPr>
        <w:t xml:space="preserve"> </w:t>
      </w:r>
      <w:r w:rsidR="00AB4EF1" w:rsidRPr="00787914">
        <w:rPr>
          <w:sz w:val="28"/>
          <w:szCs w:val="28"/>
        </w:rPr>
        <w:t>на 1,02 % по сравнению с предыдущим годом.</w:t>
      </w:r>
    </w:p>
    <w:p w:rsidR="00753B9B" w:rsidRPr="00787914" w:rsidRDefault="00753B9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Материалоотдача </w:t>
      </w:r>
      <w:r w:rsidR="007A2AA2" w:rsidRPr="00787914">
        <w:rPr>
          <w:sz w:val="28"/>
          <w:szCs w:val="28"/>
        </w:rPr>
        <w:t xml:space="preserve">(за предыдущий и отчетный год) </w:t>
      </w:r>
      <w:r w:rsidRPr="00787914">
        <w:rPr>
          <w:sz w:val="28"/>
          <w:szCs w:val="28"/>
        </w:rPr>
        <w:t>= (выручка от продажи/материальные затраты) *100</w:t>
      </w:r>
      <w:r w:rsidR="007A2AA2" w:rsidRPr="00787914">
        <w:rPr>
          <w:sz w:val="28"/>
          <w:szCs w:val="28"/>
        </w:rPr>
        <w:t>.</w:t>
      </w:r>
      <w:r w:rsidR="000B0878" w:rsidRPr="00787914">
        <w:rPr>
          <w:sz w:val="28"/>
          <w:szCs w:val="28"/>
        </w:rPr>
        <w:t xml:space="preserve"> Материалоотдача позволяет оценить сколько фактически материальных затрат приходится на единицу продукции. Аналогично предыдущему показателю сумма увеличилась на 1,02 % п</w:t>
      </w:r>
      <w:r w:rsidR="001A6214">
        <w:rPr>
          <w:sz w:val="28"/>
          <w:szCs w:val="28"/>
        </w:rPr>
        <w:t>о отношению к предыдущему году.</w:t>
      </w:r>
    </w:p>
    <w:p w:rsidR="007A2AA2" w:rsidRPr="00787914" w:rsidRDefault="007A2AA2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Фондоотдача (за предыдущий и отчетный год) = выручка от продажи/основные средства.</w:t>
      </w:r>
      <w:r w:rsidR="0072398B" w:rsidRPr="00787914">
        <w:rPr>
          <w:sz w:val="28"/>
          <w:szCs w:val="28"/>
        </w:rPr>
        <w:t xml:space="preserve"> Данный показатель показывает, сколько дохода или прибыли должны получить</w:t>
      </w:r>
      <w:r w:rsidR="00BB5D13">
        <w:rPr>
          <w:sz w:val="28"/>
          <w:szCs w:val="28"/>
        </w:rPr>
        <w:t>,</w:t>
      </w:r>
      <w:r w:rsidR="0072398B" w:rsidRPr="00787914">
        <w:rPr>
          <w:sz w:val="28"/>
          <w:szCs w:val="28"/>
        </w:rPr>
        <w:t xml:space="preserve"> вкладывая 1 рубль в основные фонды.</w:t>
      </w:r>
      <w:r w:rsidR="00787914">
        <w:rPr>
          <w:sz w:val="28"/>
          <w:szCs w:val="28"/>
        </w:rPr>
        <w:t xml:space="preserve"> </w:t>
      </w:r>
      <w:r w:rsidR="0072398B" w:rsidRPr="00787914">
        <w:rPr>
          <w:sz w:val="28"/>
          <w:szCs w:val="28"/>
        </w:rPr>
        <w:t>Также пр</w:t>
      </w:r>
      <w:r w:rsidR="006A0E34" w:rsidRPr="00787914">
        <w:rPr>
          <w:sz w:val="28"/>
          <w:szCs w:val="28"/>
        </w:rPr>
        <w:t>оизошло увеличение на 1, 85 %</w:t>
      </w:r>
      <w:r w:rsidR="0072398B" w:rsidRPr="00787914">
        <w:rPr>
          <w:sz w:val="28"/>
          <w:szCs w:val="28"/>
        </w:rPr>
        <w:t xml:space="preserve"> в отчетном году.</w:t>
      </w:r>
    </w:p>
    <w:p w:rsidR="007A2AA2" w:rsidRPr="00787914" w:rsidRDefault="007A2AA2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Оборачиваемость оборотных активов, количество оборотов (за предыдущий и отчетный год) = выручка от продажи/</w:t>
      </w:r>
      <w:r w:rsidR="005168DA" w:rsidRPr="00787914">
        <w:rPr>
          <w:sz w:val="28"/>
          <w:szCs w:val="28"/>
        </w:rPr>
        <w:t>среднегодовой остаток активов</w:t>
      </w:r>
      <w:r w:rsidR="0086370F" w:rsidRPr="00787914">
        <w:rPr>
          <w:sz w:val="28"/>
          <w:szCs w:val="28"/>
        </w:rPr>
        <w:t>.</w:t>
      </w:r>
      <w:r w:rsidR="00AC1F7D" w:rsidRPr="00787914">
        <w:rPr>
          <w:sz w:val="28"/>
          <w:szCs w:val="28"/>
        </w:rPr>
        <w:t xml:space="preserve"> Этот показатель учитывает, сколько оборотов в течение отчетного года совершает оборотный капитал в процессе производственно–сбытовой и заготовительной деятельности.</w:t>
      </w:r>
      <w:r w:rsidR="006A0E34" w:rsidRPr="00787914">
        <w:rPr>
          <w:sz w:val="28"/>
          <w:szCs w:val="28"/>
        </w:rPr>
        <w:t xml:space="preserve"> Количество оборотов в отчетном году увеличилось на 1,37 % и составило 0.88.</w:t>
      </w:r>
    </w:p>
    <w:p w:rsidR="00C95003" w:rsidRPr="00787914" w:rsidRDefault="00C95003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492CDF" w:rsidRPr="00787914" w:rsidRDefault="00492CDF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7.</w:t>
      </w:r>
    </w:p>
    <w:p w:rsidR="00492CDF" w:rsidRPr="00787914" w:rsidRDefault="00492CDF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Сводный анализ показателей ресурсов организации</w:t>
      </w:r>
    </w:p>
    <w:tbl>
      <w:tblPr>
        <w:tblW w:w="9097" w:type="dxa"/>
        <w:tblInd w:w="115" w:type="dxa"/>
        <w:tblLook w:val="0000" w:firstRow="0" w:lastRow="0" w:firstColumn="0" w:lastColumn="0" w:noHBand="0" w:noVBand="0"/>
      </w:tblPr>
      <w:tblGrid>
        <w:gridCol w:w="2145"/>
        <w:gridCol w:w="1400"/>
        <w:gridCol w:w="1000"/>
        <w:gridCol w:w="1552"/>
        <w:gridCol w:w="1494"/>
        <w:gridCol w:w="1506"/>
      </w:tblGrid>
      <w:tr w:rsidR="0002433C" w:rsidRPr="00787914">
        <w:trPr>
          <w:trHeight w:val="102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Коэффициент динамики качественных показателей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Прирост ресурса на 1 % прироста выручки, %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Доля влияния на 100 % прироста выручки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Относительная экономия ресурсов (+,-)</w:t>
            </w:r>
          </w:p>
        </w:tc>
      </w:tr>
      <w:tr w:rsidR="0002433C" w:rsidRPr="00787914">
        <w:trPr>
          <w:trHeight w:val="76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4A36D3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экстенсивности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интенсивности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33C" w:rsidRPr="00787914">
        <w:trPr>
          <w:trHeight w:val="25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33C" w:rsidRPr="00787914">
        <w:trPr>
          <w:trHeight w:val="76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 Выручка от продажи, 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297171.57</w:t>
            </w:r>
          </w:p>
        </w:tc>
      </w:tr>
      <w:tr w:rsidR="0002433C" w:rsidRPr="00787914">
        <w:trPr>
          <w:trHeight w:val="10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2.Оплата труда с отчислениями на социальные нужды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0.9559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95.59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15707.12</w:t>
            </w:r>
          </w:p>
        </w:tc>
      </w:tr>
      <w:tr w:rsidR="0002433C" w:rsidRPr="00787914">
        <w:trPr>
          <w:trHeight w:val="76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 Материальные затраты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95.60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148102.07</w:t>
            </w:r>
          </w:p>
        </w:tc>
      </w:tr>
      <w:tr w:rsidR="0002433C" w:rsidRPr="00787914">
        <w:trPr>
          <w:trHeight w:val="76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 Основные средства, 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-0.1273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12.73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87.27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714.31</w:t>
            </w:r>
          </w:p>
        </w:tc>
      </w:tr>
      <w:tr w:rsidR="0002433C" w:rsidRPr="00787914">
        <w:trPr>
          <w:trHeight w:val="76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 Оборотные средства, 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0.0153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15.30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84.70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81.68</w:t>
            </w:r>
          </w:p>
        </w:tc>
      </w:tr>
      <w:tr w:rsidR="0002433C" w:rsidRPr="00787914">
        <w:trPr>
          <w:trHeight w:val="10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 xml:space="preserve">Комплексная оценка </w:t>
            </w:r>
            <w:r w:rsidR="00832E23" w:rsidRPr="001A6214">
              <w:rPr>
                <w:sz w:val="20"/>
                <w:szCs w:val="20"/>
              </w:rPr>
              <w:t>всесторонней</w:t>
            </w:r>
            <w:r w:rsidRPr="001A6214">
              <w:rPr>
                <w:sz w:val="20"/>
                <w:szCs w:val="20"/>
              </w:rPr>
              <w:t xml:space="preserve"> интенсификации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-1.4549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145.49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-45.49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3C" w:rsidRPr="001A6214" w:rsidRDefault="0002433C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0.00</w:t>
            </w:r>
          </w:p>
        </w:tc>
      </w:tr>
    </w:tbl>
    <w:p w:rsidR="0096441D" w:rsidRPr="00787914" w:rsidRDefault="0096441D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C95003" w:rsidRPr="00787914" w:rsidRDefault="00C95003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Прирост ресурса на 1 % прироста выручки = </w:t>
      </w:r>
      <w:r w:rsidR="00B308A9" w:rsidRPr="00787914">
        <w:rPr>
          <w:sz w:val="28"/>
          <w:szCs w:val="28"/>
        </w:rPr>
        <w:t>(</w:t>
      </w:r>
      <w:r w:rsidR="00520089" w:rsidRPr="00787914">
        <w:rPr>
          <w:sz w:val="28"/>
          <w:szCs w:val="28"/>
        </w:rPr>
        <w:t>темп роста (снижения) показателя</w:t>
      </w:r>
      <w:r w:rsidR="00B308A9" w:rsidRPr="00787914">
        <w:rPr>
          <w:sz w:val="28"/>
          <w:szCs w:val="28"/>
        </w:rPr>
        <w:t xml:space="preserve"> * 100 - 100)/(</w:t>
      </w:r>
      <w:r w:rsidR="00520089" w:rsidRPr="00787914">
        <w:rPr>
          <w:sz w:val="28"/>
          <w:szCs w:val="28"/>
        </w:rPr>
        <w:t xml:space="preserve">темп роста (снижения) </w:t>
      </w:r>
      <w:r w:rsidR="00B308A9" w:rsidRPr="00787914">
        <w:rPr>
          <w:sz w:val="28"/>
          <w:szCs w:val="28"/>
        </w:rPr>
        <w:t>выручк</w:t>
      </w:r>
      <w:r w:rsidR="00520089" w:rsidRPr="00787914">
        <w:rPr>
          <w:sz w:val="28"/>
          <w:szCs w:val="28"/>
        </w:rPr>
        <w:t>и</w:t>
      </w:r>
      <w:r w:rsidR="00B308A9" w:rsidRPr="00787914">
        <w:rPr>
          <w:sz w:val="28"/>
          <w:szCs w:val="28"/>
        </w:rPr>
        <w:t xml:space="preserve"> от продаж * 100 – 100).</w:t>
      </w:r>
      <w:r w:rsidR="00520089" w:rsidRPr="00787914">
        <w:rPr>
          <w:sz w:val="28"/>
          <w:szCs w:val="28"/>
        </w:rPr>
        <w:t xml:space="preserve"> Так например, прирост оборотных средств = (1.01*100 – 100)/(1.69*100 – 100) = 0.0153</w:t>
      </w:r>
      <w:r w:rsidR="004E6CD6" w:rsidRPr="00787914">
        <w:rPr>
          <w:sz w:val="28"/>
          <w:szCs w:val="28"/>
        </w:rPr>
        <w:t>. Также рассчитываются и другие показатели.</w:t>
      </w:r>
    </w:p>
    <w:p w:rsidR="003C2F76" w:rsidRPr="00787914" w:rsidRDefault="003C2F76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Доля влияния на 100 % прироста выручки экстенсивности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= Прирост ресурса на 1 % прироста выручки * 100.</w:t>
      </w:r>
    </w:p>
    <w:p w:rsidR="003C2F76" w:rsidRPr="00787914" w:rsidRDefault="003C2F76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Доля влияния на 100 % прироста выручки интенсивности = 100 - доля влияния на 100 % прироста выручки экстенсивности</w:t>
      </w:r>
      <w:r w:rsidR="00EC04B3" w:rsidRPr="00787914">
        <w:rPr>
          <w:sz w:val="28"/>
          <w:szCs w:val="28"/>
        </w:rPr>
        <w:t>.</w:t>
      </w:r>
    </w:p>
    <w:p w:rsidR="00EC04B3" w:rsidRPr="00787914" w:rsidRDefault="00EC04B3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Относительная экономия ресурсов = (сумма показателя за отчетный период – сумма показателя за предыдущий период) * темп роста или снижения * прирост ресурса на 1 % прироста выручки</w:t>
      </w:r>
      <w:r w:rsidR="009A5D71" w:rsidRPr="00787914">
        <w:rPr>
          <w:sz w:val="28"/>
          <w:szCs w:val="28"/>
        </w:rPr>
        <w:t>.</w:t>
      </w:r>
    </w:p>
    <w:p w:rsidR="009A5D71" w:rsidRPr="00787914" w:rsidRDefault="009A5D71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В данном случае расчет сделан по прямым показателям интенсификации производств. Его можно выполнить по обратным показателям: трудоемкости, материалоемкости, фондоемкости и уровню запасов оборотных средств на 1 рубль продукции. Приведенные данные показывают, что качественный уровень использования ресурсов повысился, кроме фондоотдачи основных средств.</w:t>
      </w:r>
    </w:p>
    <w:p w:rsidR="000358F1" w:rsidRPr="00787914" w:rsidRDefault="000358F1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Эти данные свидетельствуют, что для трудовых ресурсов и материальных оборотных средств на предприятии характерно преимущественно интенсивное использование, для материальных потребленных ресурсов - преимущественно экстенсивное использование, а для основных производственных фондов - полностью экстенсивное использование при отрицательной интенсификации, т. е. ухудшение качественного уровня использования - фондоотдачи. Этот вывод более наглядно иллюстрируется расчетом доли влияния интенсивности и экстенсивности на прирост продукции.</w:t>
      </w:r>
    </w:p>
    <w:p w:rsidR="000358F1" w:rsidRPr="00787914" w:rsidRDefault="000358F1" w:rsidP="007879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914">
        <w:rPr>
          <w:color w:val="000000"/>
          <w:sz w:val="28"/>
          <w:szCs w:val="28"/>
        </w:rPr>
        <w:t>В статистике, планировании и анализе хозяйственной деятельности для количественной оценки роли отдельных факторов официально используется индексный метод. Влияние количественного фактора определяется делением темпа прироста ресурса на темп прироста результативного показателя и умножением на 100%. Для определения доли влияния качественного фактора полученный результат вычитается из 100%. Наибольшей динамике подвержены</w:t>
      </w:r>
      <w:r w:rsidR="00787914">
        <w:rPr>
          <w:color w:val="000000"/>
          <w:sz w:val="28"/>
          <w:szCs w:val="28"/>
        </w:rPr>
        <w:t xml:space="preserve"> </w:t>
      </w:r>
      <w:r w:rsidRPr="00787914">
        <w:rPr>
          <w:color w:val="000000"/>
          <w:sz w:val="28"/>
          <w:szCs w:val="28"/>
        </w:rPr>
        <w:t>объемы выручки и основные средства, в связи с этим прирост основных средств на 1 % выручки является отрицательным.</w:t>
      </w:r>
    </w:p>
    <w:p w:rsidR="000358F1" w:rsidRDefault="000358F1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6214" w:rsidRPr="001A6214" w:rsidRDefault="001A62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7914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7</w:t>
      </w:r>
    </w:p>
    <w:p w:rsidR="00E24D77" w:rsidRDefault="00E24D77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02433C" w:rsidRPr="00787914" w:rsidRDefault="0002433C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Сравнительная комплексная оценка</w:t>
      </w:r>
    </w:p>
    <w:p w:rsidR="001A6214" w:rsidRDefault="001A62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253106" w:rsidRPr="00787914" w:rsidRDefault="00253106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8.</w:t>
      </w:r>
    </w:p>
    <w:p w:rsidR="0002433C" w:rsidRPr="00787914" w:rsidRDefault="0002433C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Исходная информация Х</w:t>
      </w:r>
    </w:p>
    <w:tbl>
      <w:tblPr>
        <w:tblW w:w="8712" w:type="dxa"/>
        <w:tblInd w:w="-20" w:type="dxa"/>
        <w:tblLook w:val="0000" w:firstRow="0" w:lastRow="0" w:firstColumn="0" w:lastColumn="0" w:noHBand="0" w:noVBand="0"/>
      </w:tblPr>
      <w:tblGrid>
        <w:gridCol w:w="3203"/>
        <w:gridCol w:w="1044"/>
        <w:gridCol w:w="918"/>
        <w:gridCol w:w="918"/>
        <w:gridCol w:w="1215"/>
        <w:gridCol w:w="1414"/>
      </w:tblGrid>
      <w:tr w:rsidR="00C00056" w:rsidRPr="001A6214">
        <w:trPr>
          <w:trHeight w:val="255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Показатель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Общества с ограниченной ответственностью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00056" w:rsidRPr="001A6214">
        <w:trPr>
          <w:trHeight w:val="1020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"АГАТ"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Значимость показателя, балл</w:t>
            </w:r>
          </w:p>
        </w:tc>
      </w:tr>
      <w:tr w:rsidR="00C00056" w:rsidRPr="001A6214">
        <w:trPr>
          <w:trHeight w:val="255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</w:t>
            </w:r>
          </w:p>
        </w:tc>
      </w:tr>
      <w:tr w:rsidR="00C00056" w:rsidRPr="001A6214">
        <w:trPr>
          <w:trHeight w:val="510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 Коэффициент текущей ликвидности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2.1478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2.4415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1.8421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</w:tr>
      <w:tr w:rsidR="00C00056" w:rsidRPr="001A6214">
        <w:trPr>
          <w:trHeight w:val="510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 Коэффициент оборачиваемости активов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0.8514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0.7147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0.7578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</w:t>
            </w:r>
          </w:p>
        </w:tc>
      </w:tr>
      <w:tr w:rsidR="00C00056" w:rsidRPr="001A6214">
        <w:trPr>
          <w:trHeight w:val="510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 Рентабельность продаж, 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11.97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10.27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15.67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11.98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</w:t>
            </w:r>
          </w:p>
        </w:tc>
      </w:tr>
      <w:tr w:rsidR="00C00056" w:rsidRPr="001A6214">
        <w:trPr>
          <w:trHeight w:val="510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 Рентабельность собственного капитала, 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18.49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13.27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15.42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17.45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</w:t>
            </w:r>
          </w:p>
        </w:tc>
      </w:tr>
      <w:tr w:rsidR="00C00056" w:rsidRPr="001A6214">
        <w:trPr>
          <w:trHeight w:val="645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 Коэффициент автономии (независимости)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0.6027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0.5894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0.5749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</w:tr>
      <w:tr w:rsidR="00C00056" w:rsidRPr="001A6214">
        <w:trPr>
          <w:trHeight w:val="510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6. Коэффициент маневренности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0.7594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0.5678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0.4258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</w:tr>
      <w:tr w:rsidR="00C00056" w:rsidRPr="001A6214">
        <w:trPr>
          <w:trHeight w:val="510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7. Коэффициент финансирования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0.6286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1.1128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0.9478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0.8457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</w:tr>
      <w:tr w:rsidR="00C00056" w:rsidRPr="001A6214">
        <w:trPr>
          <w:trHeight w:val="1275"/>
        </w:trPr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 xml:space="preserve">8. Коэффициент обеспеченности оборотных активов </w:t>
            </w:r>
            <w:r w:rsidR="00E448F2" w:rsidRPr="001A6214">
              <w:rPr>
                <w:sz w:val="20"/>
                <w:szCs w:val="20"/>
              </w:rPr>
              <w:t>собственными</w:t>
            </w:r>
            <w:r w:rsidRPr="001A6214">
              <w:rPr>
                <w:sz w:val="20"/>
                <w:szCs w:val="20"/>
              </w:rPr>
              <w:t xml:space="preserve"> средствами, 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57.94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25.59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38.14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20.18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56" w:rsidRPr="001A6214" w:rsidRDefault="00C0005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</w:tr>
    </w:tbl>
    <w:p w:rsidR="000358F1" w:rsidRPr="00787914" w:rsidRDefault="000358F1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253106" w:rsidRPr="00787914" w:rsidRDefault="00253106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Таблица 9.</w:t>
      </w:r>
    </w:p>
    <w:p w:rsidR="0002433C" w:rsidRPr="00787914" w:rsidRDefault="0002433C" w:rsidP="0078791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87914">
        <w:rPr>
          <w:sz w:val="28"/>
          <w:szCs w:val="28"/>
        </w:rPr>
        <w:t>Коэффициенты отношения показателей к эталону Х</w:t>
      </w:r>
      <w:r w:rsidRPr="00787914">
        <w:rPr>
          <w:sz w:val="28"/>
          <w:szCs w:val="28"/>
          <w:lang w:val="en-GB"/>
        </w:rPr>
        <w:t>I</w:t>
      </w:r>
      <w:r w:rsidRPr="00787914">
        <w:rPr>
          <w:sz w:val="28"/>
          <w:szCs w:val="28"/>
        </w:rPr>
        <w:t>Х</w:t>
      </w:r>
      <w:r w:rsidRPr="00787914">
        <w:rPr>
          <w:sz w:val="28"/>
          <w:szCs w:val="28"/>
          <w:vertAlign w:val="subscript"/>
          <w:lang w:val="en-GB"/>
        </w:rPr>
        <w:t>max</w:t>
      </w:r>
    </w:p>
    <w:tbl>
      <w:tblPr>
        <w:tblW w:w="8843" w:type="dxa"/>
        <w:tblInd w:w="235" w:type="dxa"/>
        <w:tblLook w:val="0000" w:firstRow="0" w:lastRow="0" w:firstColumn="0" w:lastColumn="0" w:noHBand="0" w:noVBand="0"/>
      </w:tblPr>
      <w:tblGrid>
        <w:gridCol w:w="3640"/>
        <w:gridCol w:w="1141"/>
        <w:gridCol w:w="1094"/>
        <w:gridCol w:w="877"/>
        <w:gridCol w:w="877"/>
        <w:gridCol w:w="1214"/>
      </w:tblGrid>
      <w:tr w:rsidR="00253106" w:rsidRPr="001A6214">
        <w:trPr>
          <w:trHeight w:val="25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Показатель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Общества с ограниченной ответственностью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3106" w:rsidRPr="001A6214">
        <w:trPr>
          <w:trHeight w:val="102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"АГАТ"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Значимость показателя, балл</w:t>
            </w:r>
          </w:p>
        </w:tc>
      </w:tr>
      <w:tr w:rsidR="00253106" w:rsidRPr="001A6214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</w:t>
            </w:r>
          </w:p>
        </w:tc>
      </w:tr>
      <w:tr w:rsidR="00253106" w:rsidRPr="001A6214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 Коэффициент текущей ликвидности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</w:tr>
      <w:tr w:rsidR="00253106" w:rsidRPr="001A6214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 Коэффициент оборачиваемости активов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</w:t>
            </w:r>
          </w:p>
        </w:tc>
      </w:tr>
      <w:tr w:rsidR="00253106" w:rsidRPr="001A6214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 Рентабельность продаж, 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</w:t>
            </w:r>
          </w:p>
        </w:tc>
      </w:tr>
      <w:tr w:rsidR="00253106" w:rsidRPr="001A6214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 Рентабельность собственного капитала, 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</w:t>
            </w:r>
          </w:p>
        </w:tc>
      </w:tr>
      <w:tr w:rsidR="00253106" w:rsidRPr="001A6214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 Коэффициент автономии (независимости)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</w:tr>
      <w:tr w:rsidR="00253106" w:rsidRPr="001A6214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6. Коэффициент маневренности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</w:tr>
      <w:tr w:rsidR="00253106" w:rsidRPr="001A6214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7. Коэффициент финансирования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</w:tr>
      <w:tr w:rsidR="00253106" w:rsidRPr="001A6214">
        <w:trPr>
          <w:trHeight w:val="15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8. Коэффициент обеспеченности оборотных активов собственными средствами, 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0.35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06" w:rsidRPr="001A6214" w:rsidRDefault="00253106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</w:tr>
    </w:tbl>
    <w:p w:rsidR="000358F1" w:rsidRPr="00787914" w:rsidRDefault="000358F1" w:rsidP="0078791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253106" w:rsidRPr="00787914" w:rsidRDefault="001A6214" w:rsidP="007879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3106" w:rsidRPr="00787914">
        <w:rPr>
          <w:sz w:val="28"/>
          <w:szCs w:val="28"/>
        </w:rPr>
        <w:t>Таблица</w:t>
      </w:r>
      <w:r w:rsidR="00787914">
        <w:rPr>
          <w:sz w:val="28"/>
          <w:szCs w:val="28"/>
        </w:rPr>
        <w:t xml:space="preserve"> </w:t>
      </w:r>
      <w:r w:rsidR="00253106" w:rsidRPr="00787914">
        <w:rPr>
          <w:sz w:val="28"/>
          <w:szCs w:val="28"/>
        </w:rPr>
        <w:t>10.</w:t>
      </w:r>
    </w:p>
    <w:p w:rsidR="0002433C" w:rsidRPr="00787914" w:rsidRDefault="0002433C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Результаты сравнительной рейтинговой оценки</w:t>
      </w:r>
    </w:p>
    <w:tbl>
      <w:tblPr>
        <w:tblW w:w="8852" w:type="dxa"/>
        <w:tblInd w:w="235" w:type="dxa"/>
        <w:tblLook w:val="0000" w:firstRow="0" w:lastRow="0" w:firstColumn="0" w:lastColumn="0" w:noHBand="0" w:noVBand="0"/>
      </w:tblPr>
      <w:tblGrid>
        <w:gridCol w:w="4272"/>
        <w:gridCol w:w="1220"/>
        <w:gridCol w:w="960"/>
        <w:gridCol w:w="960"/>
        <w:gridCol w:w="1440"/>
      </w:tblGrid>
      <w:tr w:rsidR="001F7CFB" w:rsidRPr="001A6214">
        <w:trPr>
          <w:trHeight w:val="25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Показатель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Общества с ограниченной ответственностью</w:t>
            </w:r>
          </w:p>
        </w:tc>
      </w:tr>
      <w:tr w:rsidR="001F7CFB" w:rsidRPr="001A6214">
        <w:trPr>
          <w:trHeight w:val="255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"АГАТ"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№ 3</w:t>
            </w:r>
          </w:p>
        </w:tc>
      </w:tr>
      <w:tr w:rsidR="001F7CFB" w:rsidRPr="001A621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 Коэффициент текущей ликвидности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E37" w:rsidRPr="001A6214" w:rsidRDefault="003C08BE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3.02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 Коэффициент оборачиваемости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4.46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 Рентабельность продаж,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4.59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 Рентабельность собственного капитала,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6.61</w:t>
            </w:r>
          </w:p>
        </w:tc>
      </w:tr>
      <w:tr w:rsidR="001F7CFB" w:rsidRPr="001A6214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 Коэффициент автономии (независимости)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1.88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6. Коэффициент маневренности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1.58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7. Коэффициент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3.05</w:t>
            </w:r>
          </w:p>
        </w:tc>
      </w:tr>
      <w:tr w:rsidR="001F7CFB" w:rsidRPr="001A6214"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8. Коэффициент обеспеченности оборотных активов собственными средствами,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1.04</w:t>
            </w:r>
          </w:p>
        </w:tc>
      </w:tr>
      <w:tr w:rsidR="001F7CFB" w:rsidRPr="001A621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Сумма квадратов показателей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27.61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29.47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26.23</w:t>
            </w:r>
          </w:p>
        </w:tc>
      </w:tr>
      <w:tr w:rsidR="001F7CFB" w:rsidRPr="001A621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Рейтинговая оценка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5.4286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5.1211</w:t>
            </w:r>
          </w:p>
        </w:tc>
      </w:tr>
      <w:tr w:rsidR="001F7CFB" w:rsidRPr="001A621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Место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FB" w:rsidRPr="001A6214" w:rsidRDefault="001F7CFB" w:rsidP="001A6214">
            <w:pPr>
              <w:spacing w:line="360" w:lineRule="auto"/>
              <w:rPr>
                <w:sz w:val="20"/>
                <w:szCs w:val="20"/>
              </w:rPr>
            </w:pPr>
            <w:r w:rsidRPr="001A6214">
              <w:rPr>
                <w:sz w:val="20"/>
                <w:szCs w:val="20"/>
              </w:rPr>
              <w:t>4</w:t>
            </w:r>
          </w:p>
        </w:tc>
      </w:tr>
    </w:tbl>
    <w:p w:rsidR="00927A59" w:rsidRPr="00787914" w:rsidRDefault="00927A59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BB16DB" w:rsidRPr="00787914" w:rsidRDefault="00BB16D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В общем виде алгоритм сравнительной рейтинговой оценки финансового состояния может быть представлен в виде следующих операций. </w:t>
      </w:r>
    </w:p>
    <w:p w:rsidR="00BB16DB" w:rsidRPr="00787914" w:rsidRDefault="00BB16DB" w:rsidP="00787914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Исходные данные представляются в виде матрицы (aij), т. е. таблицы, где по строкам записаны номера показателей (i=1, 2, 3, …n), а по столбцам – номера организации (j=1, 2, 3, …m). </w:t>
      </w:r>
    </w:p>
    <w:p w:rsidR="00BB16DB" w:rsidRPr="00787914" w:rsidRDefault="00BB16DB" w:rsidP="00787914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По каждому показателю находится максимальное значение и заносится в столбец условной эталонной организации (m+1). </w:t>
      </w:r>
    </w:p>
    <w:p w:rsidR="00BB16DB" w:rsidRDefault="00BB16DB" w:rsidP="00787914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Исходные показатели матрицы стандартизируются в отношении соответствующего показателя э</w:t>
      </w:r>
      <w:r w:rsidR="001A6214">
        <w:rPr>
          <w:sz w:val="28"/>
          <w:szCs w:val="28"/>
        </w:rPr>
        <w:t>талонной организации по формуле</w:t>
      </w:r>
    </w:p>
    <w:p w:rsidR="001A6214" w:rsidRPr="00787914" w:rsidRDefault="001A6214" w:rsidP="001A6214">
      <w:pPr>
        <w:spacing w:line="360" w:lineRule="auto"/>
        <w:jc w:val="both"/>
        <w:rPr>
          <w:sz w:val="28"/>
          <w:szCs w:val="28"/>
        </w:rPr>
      </w:pPr>
    </w:p>
    <w:p w:rsidR="008515AE" w:rsidRPr="00787914" w:rsidRDefault="00BB16D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xij =( aij )/(max aij )</w:t>
      </w:r>
      <w:r w:rsidR="008515AE" w:rsidRPr="00787914">
        <w:rPr>
          <w:sz w:val="28"/>
          <w:szCs w:val="28"/>
        </w:rPr>
        <w:t xml:space="preserve">, </w:t>
      </w:r>
    </w:p>
    <w:p w:rsidR="00BB16DB" w:rsidRPr="00787914" w:rsidRDefault="001A6214" w:rsidP="007879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16DB" w:rsidRPr="00787914">
        <w:rPr>
          <w:sz w:val="28"/>
          <w:szCs w:val="28"/>
        </w:rPr>
        <w:t xml:space="preserve">где xij – стандартизированные показатели j-й организации. </w:t>
      </w:r>
    </w:p>
    <w:p w:rsidR="00BB16DB" w:rsidRDefault="00BB16DB" w:rsidP="00787914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Для каждой организации значение ее рейтинговой</w:t>
      </w:r>
      <w:r w:rsidR="001A6214">
        <w:rPr>
          <w:sz w:val="28"/>
          <w:szCs w:val="28"/>
        </w:rPr>
        <w:t xml:space="preserve"> оценки определяется по формуле</w:t>
      </w:r>
    </w:p>
    <w:p w:rsidR="001A6214" w:rsidRPr="00787914" w:rsidRDefault="001A6214" w:rsidP="001A6214">
      <w:pPr>
        <w:spacing w:line="360" w:lineRule="auto"/>
        <w:jc w:val="both"/>
        <w:rPr>
          <w:sz w:val="28"/>
          <w:szCs w:val="28"/>
        </w:rPr>
      </w:pPr>
    </w:p>
    <w:p w:rsidR="00797135" w:rsidRPr="00787914" w:rsidRDefault="00797135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  <w:lang w:val="en-GB"/>
        </w:rPr>
        <w:t>R</w:t>
      </w:r>
      <w:r w:rsidRPr="00787914">
        <w:rPr>
          <w:sz w:val="28"/>
          <w:szCs w:val="28"/>
          <w:vertAlign w:val="subscript"/>
          <w:lang w:val="en-GB"/>
        </w:rPr>
        <w:t>j</w:t>
      </w:r>
      <w:r w:rsidRPr="00787914">
        <w:rPr>
          <w:sz w:val="28"/>
          <w:szCs w:val="28"/>
        </w:rPr>
        <w:t xml:space="preserve">=√(1 – </w:t>
      </w:r>
      <w:r w:rsidRPr="00787914">
        <w:rPr>
          <w:sz w:val="28"/>
          <w:szCs w:val="28"/>
          <w:lang w:val="en-GB"/>
        </w:rPr>
        <w:t>x</w:t>
      </w:r>
      <w:r w:rsidRPr="00787914">
        <w:rPr>
          <w:sz w:val="28"/>
          <w:szCs w:val="28"/>
          <w:vertAlign w:val="subscript"/>
        </w:rPr>
        <w:t>1</w:t>
      </w:r>
      <w:r w:rsidRPr="00787914">
        <w:rPr>
          <w:sz w:val="28"/>
          <w:szCs w:val="28"/>
          <w:vertAlign w:val="subscript"/>
          <w:lang w:val="en-GB"/>
        </w:rPr>
        <w:t>j</w:t>
      </w:r>
      <w:r w:rsidRPr="00787914">
        <w:rPr>
          <w:sz w:val="28"/>
          <w:szCs w:val="28"/>
        </w:rPr>
        <w:t>)</w:t>
      </w:r>
      <w:r w:rsidRPr="00787914">
        <w:rPr>
          <w:sz w:val="28"/>
          <w:szCs w:val="28"/>
          <w:vertAlign w:val="superscript"/>
        </w:rPr>
        <w:t>2</w:t>
      </w:r>
      <w:r w:rsidRPr="00787914">
        <w:rPr>
          <w:sz w:val="28"/>
          <w:szCs w:val="28"/>
        </w:rPr>
        <w:t xml:space="preserve"> + (1 – </w:t>
      </w:r>
      <w:r w:rsidRPr="00787914">
        <w:rPr>
          <w:sz w:val="28"/>
          <w:szCs w:val="28"/>
          <w:lang w:val="en-GB"/>
        </w:rPr>
        <w:t>x</w:t>
      </w:r>
      <w:r w:rsidRPr="00787914">
        <w:rPr>
          <w:sz w:val="28"/>
          <w:szCs w:val="28"/>
          <w:vertAlign w:val="subscript"/>
        </w:rPr>
        <w:t>2</w:t>
      </w:r>
      <w:r w:rsidRPr="00787914">
        <w:rPr>
          <w:sz w:val="28"/>
          <w:szCs w:val="28"/>
          <w:vertAlign w:val="subscript"/>
          <w:lang w:val="en-GB"/>
        </w:rPr>
        <w:t>j</w:t>
      </w:r>
      <w:r w:rsidRPr="00787914">
        <w:rPr>
          <w:sz w:val="28"/>
          <w:szCs w:val="28"/>
        </w:rPr>
        <w:t>)</w:t>
      </w:r>
      <w:r w:rsidRPr="00787914">
        <w:rPr>
          <w:sz w:val="28"/>
          <w:szCs w:val="28"/>
          <w:vertAlign w:val="superscript"/>
        </w:rPr>
        <w:t>2</w:t>
      </w:r>
      <w:r w:rsidRPr="00787914">
        <w:rPr>
          <w:sz w:val="28"/>
          <w:szCs w:val="28"/>
        </w:rPr>
        <w:t xml:space="preserve"> + … + (1 – </w:t>
      </w:r>
      <w:r w:rsidRPr="00787914">
        <w:rPr>
          <w:sz w:val="28"/>
          <w:szCs w:val="28"/>
          <w:lang w:val="en-GB"/>
        </w:rPr>
        <w:t>x</w:t>
      </w:r>
      <w:r w:rsidRPr="00787914">
        <w:rPr>
          <w:sz w:val="28"/>
          <w:szCs w:val="28"/>
          <w:vertAlign w:val="subscript"/>
          <w:lang w:val="en-GB"/>
        </w:rPr>
        <w:t>nj</w:t>
      </w:r>
      <w:r w:rsidRPr="00787914">
        <w:rPr>
          <w:sz w:val="28"/>
          <w:szCs w:val="28"/>
        </w:rPr>
        <w:t>)</w:t>
      </w:r>
      <w:r w:rsidRPr="00787914">
        <w:rPr>
          <w:sz w:val="28"/>
          <w:szCs w:val="28"/>
          <w:vertAlign w:val="superscript"/>
        </w:rPr>
        <w:t>2</w:t>
      </w:r>
    </w:p>
    <w:p w:rsidR="001A6214" w:rsidRDefault="001A6214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1A6214" w:rsidRDefault="00BB16D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где R</w:t>
      </w:r>
      <w:r w:rsidRPr="00787914">
        <w:rPr>
          <w:sz w:val="28"/>
          <w:szCs w:val="28"/>
          <w:vertAlign w:val="subscript"/>
        </w:rPr>
        <w:t>j</w:t>
      </w:r>
      <w:r w:rsidRPr="00787914">
        <w:rPr>
          <w:sz w:val="28"/>
          <w:szCs w:val="28"/>
        </w:rPr>
        <w:t xml:space="preserve"> – рейтинговая оценка для j-ой организации; </w:t>
      </w:r>
    </w:p>
    <w:p w:rsidR="00BB16DB" w:rsidRPr="00787914" w:rsidRDefault="00BB16DB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x</w:t>
      </w:r>
      <w:r w:rsidRPr="00787914">
        <w:rPr>
          <w:sz w:val="28"/>
          <w:szCs w:val="28"/>
          <w:vertAlign w:val="subscript"/>
        </w:rPr>
        <w:t>1j</w:t>
      </w:r>
      <w:r w:rsidRPr="00787914">
        <w:rPr>
          <w:sz w:val="28"/>
          <w:szCs w:val="28"/>
        </w:rPr>
        <w:t>, x</w:t>
      </w:r>
      <w:r w:rsidRPr="00787914">
        <w:rPr>
          <w:sz w:val="28"/>
          <w:szCs w:val="28"/>
          <w:vertAlign w:val="subscript"/>
        </w:rPr>
        <w:t>2j</w:t>
      </w:r>
      <w:r w:rsidRPr="00787914">
        <w:rPr>
          <w:sz w:val="28"/>
          <w:szCs w:val="28"/>
        </w:rPr>
        <w:t>, …, x</w:t>
      </w:r>
      <w:r w:rsidRPr="00787914">
        <w:rPr>
          <w:sz w:val="28"/>
          <w:szCs w:val="28"/>
          <w:vertAlign w:val="subscript"/>
        </w:rPr>
        <w:t>nj</w:t>
      </w:r>
      <w:r w:rsidRPr="00787914">
        <w:rPr>
          <w:sz w:val="28"/>
          <w:szCs w:val="28"/>
        </w:rPr>
        <w:t xml:space="preserve"> – стандартизирован</w:t>
      </w:r>
      <w:r w:rsidR="001A6214">
        <w:rPr>
          <w:sz w:val="28"/>
          <w:szCs w:val="28"/>
        </w:rPr>
        <w:t>ные показатели j-й организации.</w:t>
      </w:r>
    </w:p>
    <w:p w:rsidR="00BB16DB" w:rsidRPr="00787914" w:rsidRDefault="00BB16DB" w:rsidP="00787914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Организации упорядочиваются (ранжируются) в порядке убывания рейтинговой оценки. Наивысший рейтинг имеет организация с минимальным значением R. Для применения данного алгоритма на практике никаких ограничений количества сравниваемых показателей и организаций не предусмотрено.</w:t>
      </w:r>
    </w:p>
    <w:p w:rsidR="00253106" w:rsidRPr="00787914" w:rsidRDefault="00253106" w:rsidP="00787914">
      <w:pPr>
        <w:pStyle w:val="2"/>
        <w:tabs>
          <w:tab w:val="left" w:pos="0"/>
        </w:tabs>
      </w:pPr>
      <w:r w:rsidRPr="00787914">
        <w:t>Обобщающую оценку результатов хозяйственной деятельности организации или ее подразделения можно получить</w:t>
      </w:r>
      <w:r w:rsidR="001A6214">
        <w:t>,</w:t>
      </w:r>
      <w:r w:rsidRPr="00787914">
        <w:t xml:space="preserve"> сформировав комплексную оценку на базе системы показателей, агрегирование которых тем или иным способом позволит ранжировать результаты.</w:t>
      </w:r>
      <w:r w:rsidR="000358F1" w:rsidRPr="00787914">
        <w:t xml:space="preserve"> </w:t>
      </w:r>
      <w:r w:rsidRPr="00787914">
        <w:t xml:space="preserve">Одним из вариантов </w:t>
      </w:r>
      <w:r w:rsidR="000358F1" w:rsidRPr="00787914">
        <w:t>конструирования</w:t>
      </w:r>
      <w:r w:rsidRPr="00787914">
        <w:t xml:space="preserve"> интегрального показателя для </w:t>
      </w:r>
      <w:r w:rsidR="000358F1" w:rsidRPr="00787914">
        <w:t>обобщающей</w:t>
      </w:r>
      <w:r w:rsidRPr="00787914">
        <w:t xml:space="preserve"> комплексной оценки является метод расстояний.</w:t>
      </w:r>
    </w:p>
    <w:p w:rsidR="008874EB" w:rsidRPr="00787914" w:rsidRDefault="00253106" w:rsidP="00787914">
      <w:pPr>
        <w:pStyle w:val="2"/>
        <w:tabs>
          <w:tab w:val="left" w:pos="0"/>
        </w:tabs>
      </w:pPr>
      <w:r w:rsidRPr="00787914">
        <w:t>При его использовании устанавливается близость объектов анализа – акционерных обществ, фирм, цехов, к объекту-эталону по каждому из сравниваемых показателей. Вначале определяются коэффициенты по каждому показателю как отношение его значения к показателю-эталону с максимальным уровнем. Наивысшее с экономической точки зрения значение каждого из сравниваемых показателей</w:t>
      </w:r>
      <w:r w:rsidR="00787914">
        <w:t xml:space="preserve"> </w:t>
      </w:r>
      <w:r w:rsidRPr="00787914">
        <w:t>принимается за эталон.</w:t>
      </w:r>
      <w:r w:rsidR="000358F1" w:rsidRPr="00787914">
        <w:t xml:space="preserve"> </w:t>
      </w:r>
      <w:r w:rsidR="008874EB" w:rsidRPr="00787914">
        <w:t>Затем рассчитывается сумма квадратов полученных коэффициентов. Чтобы учесть сравнительную значимость индикаторов каждый квадрат умножается на соответствующий весовой коэффициент значимости. Из суммы квадратов показателей, выбранных</w:t>
      </w:r>
      <w:r w:rsidR="00787914">
        <w:t xml:space="preserve"> </w:t>
      </w:r>
      <w:r w:rsidR="008874EB" w:rsidRPr="00787914">
        <w:t>для комплексной оценки, извлекается квадратный корень для получения показателя обобщающей рейтинговой оценки. Наибольшее значение которого</w:t>
      </w:r>
      <w:r w:rsidR="008874EB" w:rsidRPr="00787914">
        <w:rPr>
          <w:vertAlign w:val="subscript"/>
        </w:rPr>
        <w:t xml:space="preserve"> </w:t>
      </w:r>
      <w:r w:rsidR="008874EB" w:rsidRPr="00787914">
        <w:t xml:space="preserve">соответствует первому месту в ранжировке </w:t>
      </w:r>
      <w:r w:rsidR="008A27C1" w:rsidRPr="00787914">
        <w:t>п</w:t>
      </w:r>
      <w:r w:rsidR="008874EB" w:rsidRPr="00787914">
        <w:t>о результатам их деятельности. В основе данного показателя лежит близость к эталону.</w:t>
      </w:r>
    </w:p>
    <w:p w:rsidR="008515AE" w:rsidRPr="00787914" w:rsidRDefault="008515AE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 xml:space="preserve">Можно выделить следующие достоинства предлагаемой методики рейтинговой оценки финансового состояния. </w:t>
      </w:r>
    </w:p>
    <w:p w:rsidR="008515AE" w:rsidRPr="00787914" w:rsidRDefault="008515AE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Во–первых, предлагаемая методика базируется на комплексном, многомерном подходе к оценке такого сложного явления, как финансовое состояние организации.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Во–вторых, рейтинговая оценка финансового состояния осуществляется на основе данных публичной отчетности. Для ее получения используются важнейшие показатели финансовой деятельности, применяемые на практике в рыночной экономике.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В–третьих, рейтинговая оценка является сравнительной. Она учитывает реальн</w:t>
      </w:r>
      <w:r w:rsidR="001A6214">
        <w:rPr>
          <w:sz w:val="28"/>
          <w:szCs w:val="28"/>
        </w:rPr>
        <w:t>ые достижения всех конкурентов.</w:t>
      </w:r>
    </w:p>
    <w:p w:rsidR="008515AE" w:rsidRPr="00787914" w:rsidRDefault="008515AE" w:rsidP="00787914">
      <w:pPr>
        <w:spacing w:line="360" w:lineRule="auto"/>
        <w:ind w:firstLine="709"/>
        <w:jc w:val="both"/>
        <w:rPr>
          <w:sz w:val="28"/>
          <w:szCs w:val="28"/>
        </w:rPr>
      </w:pPr>
      <w:r w:rsidRPr="00787914">
        <w:rPr>
          <w:sz w:val="28"/>
          <w:szCs w:val="28"/>
        </w:rPr>
        <w:t>В–четвертых, для получения рейтинговой оценки используется гибкий вычислительный алгоритм, реализующий возможности математической модели сравнительной комплексной оценки производственно – хозяйственной деятельности организации, прошедший</w:t>
      </w:r>
      <w:r w:rsidR="001A6214">
        <w:rPr>
          <w:sz w:val="28"/>
          <w:szCs w:val="28"/>
        </w:rPr>
        <w:t xml:space="preserve"> широкую апробацию на практике.</w:t>
      </w:r>
    </w:p>
    <w:p w:rsidR="000358F1" w:rsidRPr="00787914" w:rsidRDefault="000358F1" w:rsidP="00787914">
      <w:pPr>
        <w:pStyle w:val="2"/>
        <w:tabs>
          <w:tab w:val="left" w:pos="0"/>
        </w:tabs>
      </w:pPr>
      <w:r w:rsidRPr="00787914">
        <w:t>Таким образом</w:t>
      </w:r>
      <w:r w:rsidR="00787914">
        <w:t>,</w:t>
      </w:r>
      <w:r w:rsidRPr="00787914">
        <w:t xml:space="preserve"> комплексная оценка результатов деятельности показала, что</w:t>
      </w:r>
      <w:r w:rsidR="00787914">
        <w:t xml:space="preserve"> </w:t>
      </w:r>
      <w:r w:rsidRPr="00787914">
        <w:t>первое место занимает предприятие «АГАТ»»,</w:t>
      </w:r>
      <w:r w:rsidR="00787914">
        <w:t xml:space="preserve"> </w:t>
      </w:r>
      <w:r w:rsidRPr="00787914">
        <w:t>второе - № 3, третье - № 2 и соответственно четвертое</w:t>
      </w:r>
      <w:r w:rsidR="00787914">
        <w:t xml:space="preserve"> </w:t>
      </w:r>
      <w:r w:rsidRPr="00787914">
        <w:t>- № 4.</w:t>
      </w:r>
    </w:p>
    <w:p w:rsidR="00253106" w:rsidRPr="00787914" w:rsidRDefault="00253106" w:rsidP="0078791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7C1" w:rsidRPr="00787914" w:rsidRDefault="00787914" w:rsidP="007879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A27C1" w:rsidRPr="00787914">
        <w:rPr>
          <w:b/>
          <w:bCs/>
          <w:sz w:val="28"/>
          <w:szCs w:val="28"/>
        </w:rPr>
        <w:t>Список литературы</w:t>
      </w:r>
    </w:p>
    <w:p w:rsidR="008A27C1" w:rsidRPr="00787914" w:rsidRDefault="008A27C1" w:rsidP="00787914">
      <w:pPr>
        <w:spacing w:line="360" w:lineRule="auto"/>
        <w:ind w:firstLine="709"/>
        <w:jc w:val="both"/>
        <w:rPr>
          <w:sz w:val="28"/>
          <w:szCs w:val="28"/>
        </w:rPr>
      </w:pPr>
    </w:p>
    <w:p w:rsidR="003C479C" w:rsidRPr="00787914" w:rsidRDefault="003C479C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87914">
        <w:rPr>
          <w:sz w:val="28"/>
          <w:szCs w:val="28"/>
        </w:rPr>
        <w:t>Анализ фин</w:t>
      </w:r>
      <w:r w:rsidR="00787914">
        <w:rPr>
          <w:sz w:val="28"/>
          <w:szCs w:val="28"/>
        </w:rPr>
        <w:t>ансовой отчетности: учебник/ Л.В. Донцова, Н.</w:t>
      </w:r>
      <w:r w:rsidRPr="00787914">
        <w:rPr>
          <w:sz w:val="28"/>
          <w:szCs w:val="28"/>
        </w:rPr>
        <w:t>А. Никифорова.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5 – изд., перераб. и доп. – М.: Издательство «Дело и сервис», 2007. – 368 с.</w:t>
      </w:r>
    </w:p>
    <w:p w:rsidR="003C479C" w:rsidRPr="00787914" w:rsidRDefault="003C479C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787914">
        <w:rPr>
          <w:sz w:val="28"/>
          <w:szCs w:val="28"/>
        </w:rPr>
        <w:t>Анализ фи</w:t>
      </w:r>
      <w:r w:rsidR="00787914">
        <w:rPr>
          <w:sz w:val="28"/>
          <w:szCs w:val="28"/>
        </w:rPr>
        <w:t>нансовой отчетности: учебник/Б.Т. Жарылгасова, А.</w:t>
      </w:r>
      <w:r w:rsidRPr="00787914">
        <w:rPr>
          <w:sz w:val="28"/>
          <w:szCs w:val="28"/>
        </w:rPr>
        <w:t>Е. Суглобов. – М.: КНОРУС, 2006. – 312 с.</w:t>
      </w:r>
    </w:p>
    <w:p w:rsidR="003C479C" w:rsidRPr="00787914" w:rsidRDefault="003C479C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787914">
        <w:rPr>
          <w:sz w:val="28"/>
          <w:szCs w:val="28"/>
        </w:rPr>
        <w:t>Анализ финансовой отчетност</w:t>
      </w:r>
      <w:r w:rsidR="00787914">
        <w:rPr>
          <w:sz w:val="28"/>
          <w:szCs w:val="28"/>
        </w:rPr>
        <w:t>и: Учебное пособие для вузов/Ю.</w:t>
      </w:r>
      <w:r w:rsidRPr="00787914">
        <w:rPr>
          <w:sz w:val="28"/>
          <w:szCs w:val="28"/>
        </w:rPr>
        <w:t>В. Радченко.</w:t>
      </w:r>
      <w:r w:rsidR="00787914">
        <w:rPr>
          <w:sz w:val="28"/>
          <w:szCs w:val="28"/>
        </w:rPr>
        <w:t xml:space="preserve"> </w:t>
      </w:r>
      <w:r w:rsidRPr="00787914">
        <w:rPr>
          <w:sz w:val="28"/>
          <w:szCs w:val="28"/>
        </w:rPr>
        <w:t>– 2 – е изд., доп. – Ростов н/Д: Феникс, 2007. – 192 с.</w:t>
      </w:r>
    </w:p>
    <w:p w:rsidR="003C479C" w:rsidRPr="00787914" w:rsidRDefault="003C479C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787914">
        <w:rPr>
          <w:sz w:val="28"/>
          <w:szCs w:val="28"/>
        </w:rPr>
        <w:t>Экономический анализ финансово - хозяйственной деятельности. Учебник для ср. про</w:t>
      </w:r>
      <w:r w:rsidR="00787914">
        <w:rPr>
          <w:sz w:val="28"/>
          <w:szCs w:val="28"/>
        </w:rPr>
        <w:t>ф. образования/Под общ. ред. М.</w:t>
      </w:r>
      <w:r w:rsidRPr="00787914">
        <w:rPr>
          <w:sz w:val="28"/>
          <w:szCs w:val="28"/>
        </w:rPr>
        <w:t>В. Мельник; Финансовая Академия при Правительстве РФ. – М.: Экономистъ, 2004. – 320 с.</w:t>
      </w:r>
    </w:p>
    <w:p w:rsidR="003C479C" w:rsidRPr="00787914" w:rsidRDefault="003C479C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787914">
        <w:rPr>
          <w:sz w:val="28"/>
          <w:szCs w:val="28"/>
        </w:rPr>
        <w:t>Экономический анализ хозяйственно</w:t>
      </w:r>
      <w:r w:rsidR="00787914">
        <w:rPr>
          <w:sz w:val="28"/>
          <w:szCs w:val="28"/>
        </w:rPr>
        <w:t>й деятельности: Учебник Э.</w:t>
      </w:r>
      <w:r w:rsidR="00112BEA" w:rsidRPr="00787914">
        <w:rPr>
          <w:sz w:val="28"/>
          <w:szCs w:val="28"/>
        </w:rPr>
        <w:t>А, Ма</w:t>
      </w:r>
      <w:r w:rsidR="00787914">
        <w:rPr>
          <w:sz w:val="28"/>
          <w:szCs w:val="28"/>
        </w:rPr>
        <w:t>ркарьян, Г.П. Герасименко, С.</w:t>
      </w:r>
      <w:r w:rsidRPr="00787914">
        <w:rPr>
          <w:sz w:val="28"/>
          <w:szCs w:val="28"/>
        </w:rPr>
        <w:t>Э. Маркарьян. – Изд. 2-е, исправ. и доп. – Ростов н/Д: Феникс, 2005. – 560 с.</w:t>
      </w:r>
    </w:p>
    <w:p w:rsidR="003C479C" w:rsidRPr="00787914" w:rsidRDefault="003C479C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787914">
        <w:rPr>
          <w:sz w:val="28"/>
          <w:szCs w:val="28"/>
        </w:rPr>
        <w:t>Экономический анализ: Основы теории. Комплексный анализ хозяйственной деятельности о</w:t>
      </w:r>
      <w:r w:rsidR="00787914">
        <w:rPr>
          <w:sz w:val="28"/>
          <w:szCs w:val="28"/>
        </w:rPr>
        <w:t>рганизации: Учебник/Под ред. Н.В. Войтоловского, проф. А.П. Калининой, проф. И.</w:t>
      </w:r>
      <w:r w:rsidRPr="00787914">
        <w:rPr>
          <w:sz w:val="28"/>
          <w:szCs w:val="28"/>
        </w:rPr>
        <w:t>И. Мазуровой. 2-е изд., перераб. и доп. - М.: Высшее образование, 2006. – 513 с.</w:t>
      </w:r>
    </w:p>
    <w:p w:rsidR="00FF756B" w:rsidRPr="00787914" w:rsidRDefault="00FF756B" w:rsidP="00E24D77">
      <w:pPr>
        <w:widowControl w:val="0"/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787914">
        <w:rPr>
          <w:sz w:val="28"/>
          <w:szCs w:val="28"/>
        </w:rPr>
        <w:t xml:space="preserve">Экономический анализ: Методические указания по выполнению контрольной работы для самостоятельной работы студентов V курса специальности 080105 (060400) «Финансы и кредит» (первое и второе высшее образование). –М.: </w:t>
      </w:r>
      <w:r w:rsidR="007B6A98" w:rsidRPr="00787914">
        <w:rPr>
          <w:sz w:val="28"/>
          <w:szCs w:val="28"/>
        </w:rPr>
        <w:t>ВЗФЭИ</w:t>
      </w:r>
      <w:r w:rsidRPr="00787914">
        <w:rPr>
          <w:sz w:val="28"/>
          <w:szCs w:val="28"/>
        </w:rPr>
        <w:t>, 200</w:t>
      </w:r>
      <w:r w:rsidR="007B6A98" w:rsidRPr="00787914">
        <w:rPr>
          <w:sz w:val="28"/>
          <w:szCs w:val="28"/>
        </w:rPr>
        <w:t>8</w:t>
      </w:r>
      <w:r w:rsidRPr="00787914">
        <w:rPr>
          <w:sz w:val="28"/>
          <w:szCs w:val="28"/>
        </w:rPr>
        <w:t xml:space="preserve">. </w:t>
      </w:r>
      <w:bookmarkStart w:id="0" w:name="_GoBack"/>
      <w:bookmarkEnd w:id="0"/>
    </w:p>
    <w:sectPr w:rsidR="00FF756B" w:rsidRPr="00787914" w:rsidSect="00787914">
      <w:pgSz w:w="11906" w:h="16838" w:code="1"/>
      <w:pgMar w:top="1134" w:right="850" w:bottom="1134" w:left="1701" w:header="720" w:footer="720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0F" w:rsidRDefault="000D7F0F">
      <w:r>
        <w:separator/>
      </w:r>
    </w:p>
  </w:endnote>
  <w:endnote w:type="continuationSeparator" w:id="0">
    <w:p w:rsidR="000D7F0F" w:rsidRDefault="000D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0F" w:rsidRDefault="000D7F0F">
      <w:r>
        <w:separator/>
      </w:r>
    </w:p>
  </w:footnote>
  <w:footnote w:type="continuationSeparator" w:id="0">
    <w:p w:rsidR="000D7F0F" w:rsidRDefault="000D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0F1"/>
    <w:multiLevelType w:val="multilevel"/>
    <w:tmpl w:val="92868F5E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4CAF1930"/>
    <w:multiLevelType w:val="hybridMultilevel"/>
    <w:tmpl w:val="1C24F6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E252C71"/>
    <w:multiLevelType w:val="hybridMultilevel"/>
    <w:tmpl w:val="684217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114"/>
    <w:rsid w:val="0002433C"/>
    <w:rsid w:val="000358F1"/>
    <w:rsid w:val="0008272B"/>
    <w:rsid w:val="000A7E94"/>
    <w:rsid w:val="000B0878"/>
    <w:rsid w:val="000D7F0F"/>
    <w:rsid w:val="0011150B"/>
    <w:rsid w:val="00112BEA"/>
    <w:rsid w:val="00117429"/>
    <w:rsid w:val="00135E57"/>
    <w:rsid w:val="00161ED0"/>
    <w:rsid w:val="001A6214"/>
    <w:rsid w:val="001B6F2B"/>
    <w:rsid w:val="001F1B11"/>
    <w:rsid w:val="001F7CFB"/>
    <w:rsid w:val="002433AF"/>
    <w:rsid w:val="00253106"/>
    <w:rsid w:val="00291C78"/>
    <w:rsid w:val="002B1698"/>
    <w:rsid w:val="002D207D"/>
    <w:rsid w:val="002E7CE5"/>
    <w:rsid w:val="0032090D"/>
    <w:rsid w:val="00371BCE"/>
    <w:rsid w:val="00375616"/>
    <w:rsid w:val="0038146E"/>
    <w:rsid w:val="00394541"/>
    <w:rsid w:val="003C08BE"/>
    <w:rsid w:val="003C2F76"/>
    <w:rsid w:val="003C479C"/>
    <w:rsid w:val="003D406C"/>
    <w:rsid w:val="003E6ED9"/>
    <w:rsid w:val="00476534"/>
    <w:rsid w:val="00492CDF"/>
    <w:rsid w:val="004A36D3"/>
    <w:rsid w:val="004A55E4"/>
    <w:rsid w:val="004E6CD6"/>
    <w:rsid w:val="00504150"/>
    <w:rsid w:val="00505566"/>
    <w:rsid w:val="005168DA"/>
    <w:rsid w:val="00520089"/>
    <w:rsid w:val="005C3509"/>
    <w:rsid w:val="005D4A56"/>
    <w:rsid w:val="006333B5"/>
    <w:rsid w:val="0066033F"/>
    <w:rsid w:val="006A0E34"/>
    <w:rsid w:val="006D7285"/>
    <w:rsid w:val="006F33C5"/>
    <w:rsid w:val="006F7C6B"/>
    <w:rsid w:val="0071680D"/>
    <w:rsid w:val="00720049"/>
    <w:rsid w:val="0072398B"/>
    <w:rsid w:val="0073465D"/>
    <w:rsid w:val="00753B9B"/>
    <w:rsid w:val="00787914"/>
    <w:rsid w:val="007924D6"/>
    <w:rsid w:val="00797135"/>
    <w:rsid w:val="007A2AA2"/>
    <w:rsid w:val="007B281F"/>
    <w:rsid w:val="007B6A98"/>
    <w:rsid w:val="007C0341"/>
    <w:rsid w:val="0080010B"/>
    <w:rsid w:val="008272EF"/>
    <w:rsid w:val="00832E23"/>
    <w:rsid w:val="008515AE"/>
    <w:rsid w:val="0086370F"/>
    <w:rsid w:val="008874EB"/>
    <w:rsid w:val="008A27C1"/>
    <w:rsid w:val="008A32E5"/>
    <w:rsid w:val="008B139D"/>
    <w:rsid w:val="00927A59"/>
    <w:rsid w:val="0093547C"/>
    <w:rsid w:val="00954296"/>
    <w:rsid w:val="00961ACB"/>
    <w:rsid w:val="0096441D"/>
    <w:rsid w:val="0097407B"/>
    <w:rsid w:val="009922C9"/>
    <w:rsid w:val="009A5D71"/>
    <w:rsid w:val="009B16DA"/>
    <w:rsid w:val="009D051C"/>
    <w:rsid w:val="00A31970"/>
    <w:rsid w:val="00A86E37"/>
    <w:rsid w:val="00A9707A"/>
    <w:rsid w:val="00AB4EF1"/>
    <w:rsid w:val="00AC1F7D"/>
    <w:rsid w:val="00B12E37"/>
    <w:rsid w:val="00B278A4"/>
    <w:rsid w:val="00B308A9"/>
    <w:rsid w:val="00B4259B"/>
    <w:rsid w:val="00B53396"/>
    <w:rsid w:val="00BB16DB"/>
    <w:rsid w:val="00BB4BC9"/>
    <w:rsid w:val="00BB5D13"/>
    <w:rsid w:val="00C00056"/>
    <w:rsid w:val="00C135EB"/>
    <w:rsid w:val="00C81694"/>
    <w:rsid w:val="00C95003"/>
    <w:rsid w:val="00CA6C77"/>
    <w:rsid w:val="00CE43E1"/>
    <w:rsid w:val="00CE7550"/>
    <w:rsid w:val="00D42E9F"/>
    <w:rsid w:val="00D62E44"/>
    <w:rsid w:val="00DA35B2"/>
    <w:rsid w:val="00DF7860"/>
    <w:rsid w:val="00E24D77"/>
    <w:rsid w:val="00E368A3"/>
    <w:rsid w:val="00E448F2"/>
    <w:rsid w:val="00E531B7"/>
    <w:rsid w:val="00E56D22"/>
    <w:rsid w:val="00EB0D66"/>
    <w:rsid w:val="00EC04B3"/>
    <w:rsid w:val="00EF20B0"/>
    <w:rsid w:val="00F13114"/>
    <w:rsid w:val="00F23909"/>
    <w:rsid w:val="00F715EB"/>
    <w:rsid w:val="00F83ADD"/>
    <w:rsid w:val="00FB3A0C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DBDE56-2BCE-4008-B266-5F0A5DF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EF20B0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footer"/>
    <w:basedOn w:val="a"/>
    <w:link w:val="a4"/>
    <w:uiPriority w:val="99"/>
    <w:rsid w:val="00161E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161ED0"/>
  </w:style>
  <w:style w:type="paragraph" w:styleId="a6">
    <w:name w:val="Normal (Web)"/>
    <w:basedOn w:val="a"/>
    <w:uiPriority w:val="99"/>
    <w:rsid w:val="00394541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a7">
    <w:name w:val="header"/>
    <w:basedOn w:val="a"/>
    <w:link w:val="a8"/>
    <w:uiPriority w:val="99"/>
    <w:rsid w:val="00C13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eastAsia="zh-CN"/>
    </w:rPr>
  </w:style>
  <w:style w:type="character" w:styleId="a9">
    <w:name w:val="Strong"/>
    <w:uiPriority w:val="99"/>
    <w:qFormat/>
    <w:rsid w:val="005D4A56"/>
    <w:rPr>
      <w:b/>
      <w:bCs/>
    </w:rPr>
  </w:style>
  <w:style w:type="paragraph" w:styleId="2">
    <w:name w:val="Body Text Indent 2"/>
    <w:basedOn w:val="a"/>
    <w:link w:val="20"/>
    <w:uiPriority w:val="99"/>
    <w:rsid w:val="00253106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Anna</Company>
  <LinksUpToDate>false</LinksUpToDate>
  <CharactersWithSpaces>33823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Shitina A. S.</dc:creator>
  <cp:keywords/>
  <dc:description/>
  <cp:lastModifiedBy>admin</cp:lastModifiedBy>
  <cp:revision>2</cp:revision>
  <dcterms:created xsi:type="dcterms:W3CDTF">2014-04-25T19:57:00Z</dcterms:created>
  <dcterms:modified xsi:type="dcterms:W3CDTF">2014-04-25T19:57:00Z</dcterms:modified>
</cp:coreProperties>
</file>