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E9F" w:rsidRPr="009516AA" w:rsidRDefault="009F1E9F" w:rsidP="00B3763D">
      <w:pPr>
        <w:spacing w:line="360" w:lineRule="auto"/>
        <w:ind w:firstLine="709"/>
        <w:jc w:val="center"/>
        <w:rPr>
          <w:b/>
          <w:sz w:val="28"/>
        </w:rPr>
      </w:pPr>
      <w:r w:rsidRPr="009516AA">
        <w:rPr>
          <w:b/>
          <w:sz w:val="28"/>
        </w:rPr>
        <w:t>Содержание</w:t>
      </w:r>
    </w:p>
    <w:p w:rsidR="00AE3DA8" w:rsidRPr="009516AA" w:rsidRDefault="00AE3DA8" w:rsidP="00B3763D">
      <w:pPr>
        <w:spacing w:line="360" w:lineRule="auto"/>
        <w:jc w:val="both"/>
        <w:rPr>
          <w:sz w:val="28"/>
        </w:rPr>
      </w:pPr>
    </w:p>
    <w:p w:rsidR="009F1E9F" w:rsidRPr="009516AA" w:rsidRDefault="00AE3DA8" w:rsidP="00B3763D">
      <w:pPr>
        <w:spacing w:line="360" w:lineRule="auto"/>
        <w:jc w:val="both"/>
        <w:rPr>
          <w:sz w:val="28"/>
        </w:rPr>
      </w:pPr>
      <w:r w:rsidRPr="009516AA">
        <w:rPr>
          <w:sz w:val="28"/>
        </w:rPr>
        <w:t xml:space="preserve">1. </w:t>
      </w:r>
      <w:r w:rsidR="009F1E9F" w:rsidRPr="009516AA">
        <w:rPr>
          <w:sz w:val="28"/>
        </w:rPr>
        <w:t>Государственный контроль за деятельностью страховых организаций</w:t>
      </w:r>
    </w:p>
    <w:p w:rsidR="009F1E9F" w:rsidRPr="009516AA" w:rsidRDefault="00AE3DA8" w:rsidP="00B3763D">
      <w:pPr>
        <w:spacing w:line="360" w:lineRule="auto"/>
        <w:jc w:val="both"/>
        <w:rPr>
          <w:sz w:val="28"/>
        </w:rPr>
      </w:pPr>
      <w:r w:rsidRPr="009516AA">
        <w:rPr>
          <w:sz w:val="28"/>
        </w:rPr>
        <w:t xml:space="preserve">2. </w:t>
      </w:r>
      <w:r w:rsidR="009F1E9F" w:rsidRPr="009516AA">
        <w:rPr>
          <w:sz w:val="28"/>
        </w:rPr>
        <w:t>Тест</w:t>
      </w:r>
    </w:p>
    <w:p w:rsidR="00AE3DA8" w:rsidRPr="009516AA" w:rsidRDefault="00AE3DA8" w:rsidP="00B3763D">
      <w:pPr>
        <w:spacing w:line="360" w:lineRule="auto"/>
        <w:jc w:val="both"/>
        <w:rPr>
          <w:sz w:val="28"/>
        </w:rPr>
      </w:pPr>
      <w:r w:rsidRPr="009516AA">
        <w:rPr>
          <w:sz w:val="28"/>
        </w:rPr>
        <w:t xml:space="preserve">3. </w:t>
      </w:r>
      <w:r w:rsidR="009F1E9F" w:rsidRPr="009516AA">
        <w:rPr>
          <w:sz w:val="28"/>
        </w:rPr>
        <w:t>Задача</w:t>
      </w:r>
    </w:p>
    <w:p w:rsidR="009516AA" w:rsidRDefault="00AE3DA8" w:rsidP="00B3763D">
      <w:pPr>
        <w:spacing w:line="360" w:lineRule="auto"/>
        <w:jc w:val="both"/>
        <w:rPr>
          <w:sz w:val="28"/>
        </w:rPr>
      </w:pPr>
      <w:r w:rsidRPr="009516AA">
        <w:rPr>
          <w:sz w:val="28"/>
        </w:rPr>
        <w:t>Список литературы</w:t>
      </w:r>
    </w:p>
    <w:p w:rsidR="009516AA" w:rsidRDefault="009516AA" w:rsidP="009516AA">
      <w:pPr>
        <w:spacing w:line="360" w:lineRule="auto"/>
        <w:ind w:firstLine="709"/>
        <w:jc w:val="both"/>
        <w:rPr>
          <w:sz w:val="28"/>
        </w:rPr>
      </w:pPr>
    </w:p>
    <w:p w:rsidR="009F1E9F" w:rsidRPr="009516AA" w:rsidRDefault="009516AA" w:rsidP="00B3763D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A85D59" w:rsidRPr="009516AA">
        <w:rPr>
          <w:b/>
          <w:sz w:val="28"/>
        </w:rPr>
        <w:lastRenderedPageBreak/>
        <w:t>1</w:t>
      </w:r>
      <w:r w:rsidRPr="009516AA">
        <w:rPr>
          <w:b/>
          <w:sz w:val="28"/>
        </w:rPr>
        <w:t xml:space="preserve"> </w:t>
      </w:r>
      <w:r w:rsidR="009F1E9F" w:rsidRPr="009516AA">
        <w:rPr>
          <w:b/>
          <w:sz w:val="28"/>
        </w:rPr>
        <w:t xml:space="preserve">Государственный контроль </w:t>
      </w:r>
      <w:r w:rsidR="00EA69FD" w:rsidRPr="009516AA">
        <w:rPr>
          <w:b/>
          <w:sz w:val="28"/>
        </w:rPr>
        <w:t>за деятельностью страховых орга</w:t>
      </w:r>
      <w:r w:rsidR="009F1E9F" w:rsidRPr="009516AA">
        <w:rPr>
          <w:b/>
          <w:sz w:val="28"/>
        </w:rPr>
        <w:t>низаций</w:t>
      </w:r>
    </w:p>
    <w:p w:rsidR="00AE3DA8" w:rsidRPr="009516AA" w:rsidRDefault="00AE3DA8" w:rsidP="00B3763D">
      <w:pPr>
        <w:spacing w:line="360" w:lineRule="auto"/>
        <w:ind w:firstLine="709"/>
        <w:jc w:val="center"/>
        <w:rPr>
          <w:sz w:val="28"/>
        </w:rPr>
      </w:pPr>
    </w:p>
    <w:p w:rsidR="00C66112" w:rsidRPr="009516AA" w:rsidRDefault="00150E63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Как ни в какой другой отрасли предпринимательской деятельности в страховой деятельности велика роль государственного воздействия. Государство само осуществляет страхование и ведет государственный надзор в области страхования. Такое внимание к этому виду предпри</w:t>
      </w:r>
      <w:r w:rsidRPr="009516AA">
        <w:rPr>
          <w:sz w:val="28"/>
        </w:rPr>
        <w:softHyphen/>
        <w:t>нимательства связано с социальной значимостью функции страхова</w:t>
      </w:r>
      <w:r w:rsidRPr="009516AA">
        <w:rPr>
          <w:sz w:val="28"/>
        </w:rPr>
        <w:softHyphen/>
        <w:t xml:space="preserve">ния, </w:t>
      </w:r>
      <w:r w:rsidR="009F1E9F" w:rsidRPr="009516AA">
        <w:rPr>
          <w:sz w:val="28"/>
        </w:rPr>
        <w:t>т.к.</w:t>
      </w:r>
      <w:r w:rsidRPr="009516AA">
        <w:rPr>
          <w:sz w:val="28"/>
        </w:rPr>
        <w:t xml:space="preserve"> страховой случай означает для страхователя катастрофу, что в свою очередь приводит к страховому случаю в экономике страны, к разрыву в цепочке производства. </w:t>
      </w:r>
    </w:p>
    <w:p w:rsidR="00C66112" w:rsidRPr="009516AA" w:rsidRDefault="00C66112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Государственное регулирование страховой деятельности – воздействие государства на участников страховых отношений по нескольким направлениям:</w:t>
      </w:r>
    </w:p>
    <w:p w:rsidR="00C66112" w:rsidRPr="009516AA" w:rsidRDefault="00C66112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законодательное обеспечение деятельности страховых компаний;</w:t>
      </w:r>
    </w:p>
    <w:p w:rsidR="00C66112" w:rsidRPr="009516AA" w:rsidRDefault="00C66112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установление в интересах общества и отдельных категорий граждан обязательного страхования;</w:t>
      </w:r>
    </w:p>
    <w:p w:rsidR="00C66112" w:rsidRPr="009516AA" w:rsidRDefault="00C66112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проведение специальной налоговой политики;</w:t>
      </w:r>
    </w:p>
    <w:p w:rsidR="00C66112" w:rsidRPr="009516AA" w:rsidRDefault="00C66112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государственный надзор за страховой деятельностью;</w:t>
      </w:r>
    </w:p>
    <w:p w:rsidR="00C66112" w:rsidRPr="009516AA" w:rsidRDefault="00C66112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защита добросовестной конкуренции на страховом рынке, предупреждение и пресечение монополизма.</w:t>
      </w:r>
    </w:p>
    <w:p w:rsidR="00C66112" w:rsidRPr="009516AA" w:rsidRDefault="00C66112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Выполнение регулирующей функции, как правило, возлагается на специальный орган – государственный страховой надзор. Цель и полномочия  страхового надзора установлены в законе РФ «Об организации страхового дела», а также в постановлениях Правительства РФ от 8.04.2004 г. № 203 «Вопросы Федеральной службы страхового надзора», от 30.06.2004 г. № 330 «Об утверждении Положения о Федеральной службе страхового надзора». Они состоят в обеспечении соблюдения требований действующего законодательства о страховании, эффективного развития страховых услуг, защиты прав и интересов страхователей, страховщиков и иных заинтересованных лиц и государства.</w:t>
      </w:r>
    </w:p>
    <w:p w:rsidR="00150E63" w:rsidRPr="009516AA" w:rsidRDefault="00150E63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Государственное воздействие на страховую деятельность осуще</w:t>
      </w:r>
      <w:r w:rsidRPr="009516AA">
        <w:rPr>
          <w:sz w:val="28"/>
        </w:rPr>
        <w:softHyphen/>
        <w:t>ствляется через представляемую отчетность о деятельности стра</w:t>
      </w:r>
      <w:r w:rsidRPr="009516AA">
        <w:rPr>
          <w:sz w:val="28"/>
        </w:rPr>
        <w:softHyphen/>
        <w:t>ховых организаций, проверку их деятельности и нормативное регу</w:t>
      </w:r>
      <w:r w:rsidRPr="009516AA">
        <w:rPr>
          <w:sz w:val="28"/>
        </w:rPr>
        <w:softHyphen/>
        <w:t>лирование страховой деятельности (рис.</w:t>
      </w:r>
      <w:r w:rsidR="00516238" w:rsidRPr="009516AA">
        <w:rPr>
          <w:sz w:val="28"/>
        </w:rPr>
        <w:t>1</w:t>
      </w:r>
      <w:r w:rsidRPr="009516AA">
        <w:rPr>
          <w:sz w:val="28"/>
        </w:rPr>
        <w:t>).</w:t>
      </w:r>
    </w:p>
    <w:p w:rsidR="00150E63" w:rsidRPr="009516AA" w:rsidRDefault="00A004D1" w:rsidP="009516AA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8.65pt;width:234pt;height:36pt;z-index:251654144;mso-position-horizontal:center">
            <v:textbox style="mso-next-textbox:#_x0000_s1026">
              <w:txbxContent>
                <w:p w:rsidR="00150E63" w:rsidRPr="009516AA" w:rsidRDefault="00150E63" w:rsidP="00150E63">
                  <w:pPr>
                    <w:jc w:val="center"/>
                  </w:pPr>
                  <w:r w:rsidRPr="009516AA">
                    <w:t>ГОСУДАРСТВЕННОЕ РЕГУЛИРОВАНИЕ СТРАХОВОГО РЫНКА</w:t>
                  </w:r>
                </w:p>
              </w:txbxContent>
            </v:textbox>
          </v:shape>
        </w:pict>
      </w:r>
    </w:p>
    <w:p w:rsidR="00150E63" w:rsidRDefault="00150E63" w:rsidP="009516AA">
      <w:pPr>
        <w:spacing w:line="360" w:lineRule="auto"/>
        <w:ind w:firstLine="709"/>
        <w:jc w:val="both"/>
        <w:rPr>
          <w:sz w:val="28"/>
        </w:rPr>
      </w:pPr>
    </w:p>
    <w:p w:rsidR="00150E63" w:rsidRPr="009516AA" w:rsidRDefault="00A004D1" w:rsidP="009516AA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27" style="position:absolute;left:0;text-align:left;z-index:251659264" from="333pt,.8pt" to="333pt,27.8pt">
            <v:stroke endarrow="classic" endarrowwidth="narrow" endarrowlength="long"/>
          </v:line>
        </w:pict>
      </w:r>
      <w:r>
        <w:rPr>
          <w:noProof/>
        </w:rPr>
        <w:pict>
          <v:line id="_x0000_s1028" style="position:absolute;left:0;text-align:left;z-index:251657216" from="135pt,.8pt" to="135pt,27.8pt">
            <v:stroke endarrow="classic" endarrowwidth="narrow" endarrowlength="long"/>
          </v:line>
        </w:pict>
      </w:r>
    </w:p>
    <w:p w:rsidR="00150E63" w:rsidRPr="009516AA" w:rsidRDefault="00A004D1" w:rsidP="009516AA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29" type="#_x0000_t202" style="position:absolute;left:0;text-align:left;margin-left:306pt;margin-top:12pt;width:108pt;height:36pt;z-index:251656192">
            <v:textbox style="mso-next-textbox:#_x0000_s1029">
              <w:txbxContent>
                <w:p w:rsidR="00150E63" w:rsidRPr="009516AA" w:rsidRDefault="00150E63" w:rsidP="00150E63">
                  <w:pPr>
                    <w:pStyle w:val="a5"/>
                    <w:jc w:val="center"/>
                    <w:rPr>
                      <w:sz w:val="20"/>
                      <w:szCs w:val="20"/>
                    </w:rPr>
                  </w:pPr>
                  <w:r w:rsidRPr="009516AA">
                    <w:rPr>
                      <w:sz w:val="20"/>
                      <w:szCs w:val="20"/>
                    </w:rPr>
                    <w:t>Страховой  надзор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63pt;margin-top:12pt;width:99pt;height:36pt;z-index:251655168">
            <v:textbox style="mso-next-textbox:#_x0000_s1030">
              <w:txbxContent>
                <w:p w:rsidR="00150E63" w:rsidRPr="009516AA" w:rsidRDefault="00150E63" w:rsidP="00150E63">
                  <w:pPr>
                    <w:pStyle w:val="a5"/>
                    <w:jc w:val="center"/>
                    <w:rPr>
                      <w:sz w:val="20"/>
                      <w:szCs w:val="20"/>
                    </w:rPr>
                  </w:pPr>
                  <w:r w:rsidRPr="009516AA">
                    <w:rPr>
                      <w:sz w:val="20"/>
                      <w:szCs w:val="20"/>
                    </w:rPr>
                    <w:t>Законодательное регулирование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1" style="position:absolute;left:0;text-align:left;z-index:251658240" from="135pt,-14.35pt" to="135pt,12.65pt">
            <v:stroke endarrow="classic" endarrowwidth="narrow" endarrowlength="long"/>
          </v:line>
        </w:pict>
      </w:r>
    </w:p>
    <w:p w:rsidR="00150E63" w:rsidRPr="009516AA" w:rsidRDefault="00150E63" w:rsidP="009516AA">
      <w:pPr>
        <w:spacing w:line="360" w:lineRule="auto"/>
        <w:ind w:firstLine="709"/>
        <w:jc w:val="both"/>
        <w:rPr>
          <w:sz w:val="28"/>
        </w:rPr>
      </w:pPr>
    </w:p>
    <w:p w:rsidR="00150E63" w:rsidRPr="009516AA" w:rsidRDefault="00A004D1" w:rsidP="009516AA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32" style="position:absolute;left:0;text-align:left;z-index:251661312" from="5in,-.3pt" to="5in,35.7pt">
            <v:stroke endarrow="classic" endarrowwidth="narrow" endarrowlength="long"/>
          </v:line>
        </w:pict>
      </w:r>
      <w:r>
        <w:rPr>
          <w:noProof/>
        </w:rPr>
        <w:pict>
          <v:line id="_x0000_s1033" style="position:absolute;left:0;text-align:left;z-index:251660288" from="116.85pt,-.3pt" to="116.85pt,35.7pt">
            <v:stroke endarrow="classic" endarrowwidth="narrow" endarrowlength="long"/>
          </v:line>
        </w:pi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1080"/>
        <w:gridCol w:w="4320"/>
      </w:tblGrid>
      <w:tr w:rsidR="00150E63" w:rsidRPr="009516AA">
        <w:trPr>
          <w:cantSplit/>
        </w:trPr>
        <w:tc>
          <w:tcPr>
            <w:tcW w:w="3960" w:type="dxa"/>
          </w:tcPr>
          <w:p w:rsidR="00150E63" w:rsidRPr="009516AA" w:rsidRDefault="00150E63" w:rsidP="009516AA">
            <w:pPr>
              <w:spacing w:line="360" w:lineRule="auto"/>
              <w:ind w:firstLine="709"/>
              <w:jc w:val="both"/>
            </w:pPr>
            <w:r w:rsidRPr="009516AA">
              <w:t>Государственное страхование</w:t>
            </w:r>
          </w:p>
        </w:tc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 w:rsidR="00150E63" w:rsidRPr="009516AA" w:rsidRDefault="00150E63" w:rsidP="009516AA">
            <w:pPr>
              <w:spacing w:line="360" w:lineRule="auto"/>
              <w:ind w:firstLine="709"/>
              <w:jc w:val="both"/>
            </w:pPr>
          </w:p>
        </w:tc>
        <w:tc>
          <w:tcPr>
            <w:tcW w:w="4320" w:type="dxa"/>
          </w:tcPr>
          <w:p w:rsidR="00150E63" w:rsidRPr="009516AA" w:rsidRDefault="00150E63" w:rsidP="009516AA">
            <w:pPr>
              <w:spacing w:line="360" w:lineRule="auto"/>
              <w:ind w:firstLine="709"/>
              <w:jc w:val="both"/>
            </w:pPr>
            <w:r w:rsidRPr="009516AA">
              <w:t>Лицензирование</w:t>
            </w:r>
          </w:p>
        </w:tc>
      </w:tr>
      <w:tr w:rsidR="00150E63" w:rsidRPr="009516AA">
        <w:trPr>
          <w:cantSplit/>
        </w:trPr>
        <w:tc>
          <w:tcPr>
            <w:tcW w:w="3960" w:type="dxa"/>
          </w:tcPr>
          <w:p w:rsidR="00150E63" w:rsidRPr="009516AA" w:rsidRDefault="00150E63" w:rsidP="009516AA">
            <w:pPr>
              <w:spacing w:line="360" w:lineRule="auto"/>
              <w:ind w:firstLine="709"/>
              <w:jc w:val="both"/>
            </w:pPr>
            <w:r w:rsidRPr="009516AA">
              <w:t>Обязательное страхование</w:t>
            </w:r>
          </w:p>
        </w:tc>
        <w:tc>
          <w:tcPr>
            <w:tcW w:w="1080" w:type="dxa"/>
            <w:vMerge/>
            <w:tcBorders>
              <w:bottom w:val="nil"/>
            </w:tcBorders>
          </w:tcPr>
          <w:p w:rsidR="00150E63" w:rsidRPr="009516AA" w:rsidRDefault="00150E63" w:rsidP="009516AA">
            <w:pPr>
              <w:spacing w:line="360" w:lineRule="auto"/>
              <w:ind w:firstLine="709"/>
              <w:jc w:val="both"/>
            </w:pPr>
          </w:p>
        </w:tc>
        <w:tc>
          <w:tcPr>
            <w:tcW w:w="4320" w:type="dxa"/>
          </w:tcPr>
          <w:p w:rsidR="00150E63" w:rsidRPr="009516AA" w:rsidRDefault="00150E63" w:rsidP="009516AA">
            <w:pPr>
              <w:spacing w:line="360" w:lineRule="auto"/>
              <w:ind w:firstLine="709"/>
              <w:jc w:val="both"/>
            </w:pPr>
            <w:r w:rsidRPr="009516AA">
              <w:t>Соблюдение страхового законодательства</w:t>
            </w:r>
          </w:p>
        </w:tc>
      </w:tr>
      <w:tr w:rsidR="00150E63" w:rsidRPr="009516AA">
        <w:trPr>
          <w:cantSplit/>
        </w:trPr>
        <w:tc>
          <w:tcPr>
            <w:tcW w:w="3960" w:type="dxa"/>
          </w:tcPr>
          <w:p w:rsidR="00150E63" w:rsidRPr="009516AA" w:rsidRDefault="00150E63" w:rsidP="009516AA">
            <w:pPr>
              <w:spacing w:line="360" w:lineRule="auto"/>
              <w:ind w:firstLine="709"/>
              <w:jc w:val="both"/>
            </w:pPr>
            <w:r w:rsidRPr="009516AA">
              <w:t>Антимонопольное регулирование</w:t>
            </w:r>
          </w:p>
        </w:tc>
        <w:tc>
          <w:tcPr>
            <w:tcW w:w="1080" w:type="dxa"/>
            <w:vMerge/>
            <w:tcBorders>
              <w:bottom w:val="nil"/>
            </w:tcBorders>
          </w:tcPr>
          <w:p w:rsidR="00150E63" w:rsidRPr="009516AA" w:rsidRDefault="00150E63" w:rsidP="009516AA">
            <w:pPr>
              <w:spacing w:line="360" w:lineRule="auto"/>
              <w:ind w:firstLine="709"/>
              <w:jc w:val="both"/>
            </w:pPr>
          </w:p>
        </w:tc>
        <w:tc>
          <w:tcPr>
            <w:tcW w:w="4320" w:type="dxa"/>
          </w:tcPr>
          <w:p w:rsidR="00150E63" w:rsidRPr="009516AA" w:rsidRDefault="00150E63" w:rsidP="009516AA">
            <w:pPr>
              <w:spacing w:line="360" w:lineRule="auto"/>
              <w:ind w:firstLine="709"/>
              <w:jc w:val="both"/>
            </w:pPr>
            <w:r w:rsidRPr="009516AA">
              <w:t>Тарифы</w:t>
            </w:r>
          </w:p>
        </w:tc>
      </w:tr>
      <w:tr w:rsidR="00150E63" w:rsidRPr="009516AA">
        <w:trPr>
          <w:cantSplit/>
        </w:trPr>
        <w:tc>
          <w:tcPr>
            <w:tcW w:w="3960" w:type="dxa"/>
          </w:tcPr>
          <w:p w:rsidR="00150E63" w:rsidRPr="009516AA" w:rsidRDefault="00150E63" w:rsidP="009516AA">
            <w:pPr>
              <w:spacing w:line="360" w:lineRule="auto"/>
              <w:ind w:firstLine="709"/>
              <w:jc w:val="both"/>
            </w:pPr>
            <w:r w:rsidRPr="009516AA">
              <w:t>Уставный капитал</w:t>
            </w:r>
          </w:p>
        </w:tc>
        <w:tc>
          <w:tcPr>
            <w:tcW w:w="1080" w:type="dxa"/>
            <w:vMerge/>
            <w:tcBorders>
              <w:bottom w:val="nil"/>
            </w:tcBorders>
          </w:tcPr>
          <w:p w:rsidR="00150E63" w:rsidRPr="009516AA" w:rsidRDefault="00150E63" w:rsidP="009516AA">
            <w:pPr>
              <w:spacing w:line="360" w:lineRule="auto"/>
              <w:ind w:firstLine="709"/>
              <w:jc w:val="both"/>
            </w:pPr>
          </w:p>
        </w:tc>
        <w:tc>
          <w:tcPr>
            <w:tcW w:w="4320" w:type="dxa"/>
          </w:tcPr>
          <w:p w:rsidR="00150E63" w:rsidRPr="009516AA" w:rsidRDefault="00150E63" w:rsidP="009516AA">
            <w:pPr>
              <w:spacing w:line="360" w:lineRule="auto"/>
              <w:ind w:firstLine="709"/>
              <w:jc w:val="both"/>
            </w:pPr>
            <w:r w:rsidRPr="009516AA">
              <w:t>Перестрахование</w:t>
            </w:r>
          </w:p>
        </w:tc>
      </w:tr>
      <w:tr w:rsidR="00150E63" w:rsidRPr="009516AA">
        <w:trPr>
          <w:cantSplit/>
          <w:trHeight w:val="347"/>
        </w:trPr>
        <w:tc>
          <w:tcPr>
            <w:tcW w:w="3960" w:type="dxa"/>
          </w:tcPr>
          <w:p w:rsidR="00150E63" w:rsidRPr="009516AA" w:rsidRDefault="00150E63" w:rsidP="009516AA">
            <w:pPr>
              <w:spacing w:line="360" w:lineRule="auto"/>
              <w:ind w:firstLine="709"/>
              <w:jc w:val="both"/>
            </w:pPr>
            <w:r w:rsidRPr="009516AA">
              <w:t>Налогообложение</w:t>
            </w:r>
          </w:p>
        </w:tc>
        <w:tc>
          <w:tcPr>
            <w:tcW w:w="1080" w:type="dxa"/>
            <w:vMerge/>
            <w:tcBorders>
              <w:bottom w:val="nil"/>
            </w:tcBorders>
          </w:tcPr>
          <w:p w:rsidR="00150E63" w:rsidRPr="009516AA" w:rsidRDefault="00150E63" w:rsidP="009516AA">
            <w:pPr>
              <w:spacing w:line="360" w:lineRule="auto"/>
              <w:ind w:firstLine="709"/>
              <w:jc w:val="both"/>
            </w:pPr>
          </w:p>
        </w:tc>
        <w:tc>
          <w:tcPr>
            <w:tcW w:w="4320" w:type="dxa"/>
          </w:tcPr>
          <w:p w:rsidR="00150E63" w:rsidRPr="009516AA" w:rsidRDefault="00150E63" w:rsidP="009516AA">
            <w:pPr>
              <w:spacing w:line="360" w:lineRule="auto"/>
              <w:ind w:firstLine="709"/>
              <w:jc w:val="both"/>
            </w:pPr>
            <w:r w:rsidRPr="009516AA">
              <w:t>Формированием размещение резервов</w:t>
            </w:r>
          </w:p>
        </w:tc>
      </w:tr>
      <w:tr w:rsidR="00150E63" w:rsidRPr="009516AA" w:rsidTr="009516AA">
        <w:trPr>
          <w:cantSplit/>
          <w:trHeight w:val="523"/>
        </w:trPr>
        <w:tc>
          <w:tcPr>
            <w:tcW w:w="3960" w:type="dxa"/>
          </w:tcPr>
          <w:p w:rsidR="00150E63" w:rsidRPr="009516AA" w:rsidRDefault="00150E63" w:rsidP="009516AA">
            <w:pPr>
              <w:spacing w:line="360" w:lineRule="auto"/>
              <w:ind w:firstLine="709"/>
              <w:jc w:val="both"/>
            </w:pPr>
            <w:r w:rsidRPr="009516AA">
              <w:t>Аудит</w:t>
            </w:r>
          </w:p>
        </w:tc>
        <w:tc>
          <w:tcPr>
            <w:tcW w:w="1080" w:type="dxa"/>
            <w:vMerge/>
            <w:tcBorders>
              <w:bottom w:val="nil"/>
            </w:tcBorders>
          </w:tcPr>
          <w:p w:rsidR="00150E63" w:rsidRPr="009516AA" w:rsidRDefault="00150E63" w:rsidP="009516AA">
            <w:pPr>
              <w:spacing w:line="360" w:lineRule="auto"/>
              <w:ind w:firstLine="709"/>
              <w:jc w:val="both"/>
            </w:pPr>
          </w:p>
        </w:tc>
        <w:tc>
          <w:tcPr>
            <w:tcW w:w="4320" w:type="dxa"/>
          </w:tcPr>
          <w:p w:rsidR="00150E63" w:rsidRPr="009516AA" w:rsidRDefault="00150E63" w:rsidP="009516AA">
            <w:pPr>
              <w:spacing w:line="360" w:lineRule="auto"/>
              <w:ind w:firstLine="709"/>
              <w:jc w:val="both"/>
            </w:pPr>
            <w:r w:rsidRPr="009516AA">
              <w:t>Платежеспособность</w:t>
            </w:r>
          </w:p>
        </w:tc>
      </w:tr>
      <w:tr w:rsidR="00150E63" w:rsidRPr="009516AA">
        <w:trPr>
          <w:cantSplit/>
        </w:trPr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:rsidR="00150E63" w:rsidRPr="009516AA" w:rsidRDefault="00150E63" w:rsidP="009516AA">
            <w:pPr>
              <w:spacing w:line="360" w:lineRule="auto"/>
              <w:ind w:firstLine="709"/>
              <w:jc w:val="both"/>
            </w:pPr>
          </w:p>
        </w:tc>
        <w:tc>
          <w:tcPr>
            <w:tcW w:w="1080" w:type="dxa"/>
            <w:vMerge/>
            <w:tcBorders>
              <w:left w:val="nil"/>
              <w:bottom w:val="nil"/>
            </w:tcBorders>
          </w:tcPr>
          <w:p w:rsidR="00150E63" w:rsidRPr="009516AA" w:rsidRDefault="00150E63" w:rsidP="009516AA">
            <w:pPr>
              <w:spacing w:line="360" w:lineRule="auto"/>
              <w:ind w:firstLine="709"/>
              <w:jc w:val="both"/>
            </w:pPr>
          </w:p>
        </w:tc>
        <w:tc>
          <w:tcPr>
            <w:tcW w:w="4320" w:type="dxa"/>
          </w:tcPr>
          <w:p w:rsidR="00150E63" w:rsidRPr="009516AA" w:rsidRDefault="00150E63" w:rsidP="009516AA">
            <w:pPr>
              <w:spacing w:line="360" w:lineRule="auto"/>
              <w:ind w:firstLine="709"/>
              <w:jc w:val="both"/>
            </w:pPr>
            <w:r w:rsidRPr="009516AA">
              <w:t>Обеспечение гласности</w:t>
            </w:r>
          </w:p>
        </w:tc>
      </w:tr>
    </w:tbl>
    <w:p w:rsidR="00150E63" w:rsidRPr="009516AA" w:rsidRDefault="00150E63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Рис. 2</w:t>
      </w:r>
      <w:r w:rsidR="00516238" w:rsidRPr="009516AA">
        <w:rPr>
          <w:sz w:val="28"/>
        </w:rPr>
        <w:t>.</w:t>
      </w:r>
      <w:r w:rsidRPr="009516AA">
        <w:rPr>
          <w:sz w:val="28"/>
        </w:rPr>
        <w:t xml:space="preserve">  Государственное регулирование страхового рынка</w:t>
      </w:r>
      <w:r w:rsidR="00516238" w:rsidRPr="009516AA">
        <w:rPr>
          <w:sz w:val="28"/>
        </w:rPr>
        <w:t>.</w:t>
      </w:r>
    </w:p>
    <w:p w:rsidR="00516238" w:rsidRPr="009516AA" w:rsidRDefault="00516238" w:rsidP="009516AA">
      <w:pPr>
        <w:spacing w:line="360" w:lineRule="auto"/>
        <w:ind w:firstLine="709"/>
        <w:jc w:val="both"/>
        <w:rPr>
          <w:sz w:val="28"/>
        </w:rPr>
      </w:pP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Современная система страхового надзора опирается на Федеральную службу страхового надзора Министерства финансов РФ, которая помимо лицензирования страховщиков и последующего контроля за их деятельностью, готовит предложения по изменению и дополнению страхового законодательства, а также законов и законодательных актов, оказывающих влияние на целостность страхового рынка и его дальнейшее развитие.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Юридические основания осуществления надзора за страховой деятельностью и основной перечень контрольных функций, осуществляемых надзором, установлены в ст. 30, 31, 33 Закона РФ «Об организации страхового дела в Российской Федерации».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К основным функциям органа страхового надзора относят: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лицензирование деятельности субъектов страхового дела, аттестация страховых актуариев и ведение единого государственного реестра субъектов страхового дела, реестра объединений субъектов страхового дела;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контроль за соблюдением страхового законодательства, в том числе путем проведения на местах проверок деятельности субъектов страхового дела, и достоверности представляемой ими отчетности, а также за обеспечением страховщиками их финансовой устойчивости и платежеспособности;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выдача в течение 30 дней в предусмотренных Федеральным законом «Об организации страхового дела в Российской Федерации» случаях разрешений на увлечение размеров уставных капиталов страховых организаций за счет средств иностранных инвесторов, на совершение с участием иностранных инвесторов сделок по отчуждению акций страховых организаций, на открытие представительств иностранных страховых, перестраховочных, брокерских и иных организаций, осуществляющих деятельность в сфере страхового дела, а также на открытие филиалов страховщиков с иностранными инвестициями;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разработка и утверждение нормативных и методических документов по вопросам деятельности субъектов страхового дела;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обеспечение в установленном порядке реализации единой государственной политики в сфере страхового дела.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С точки зрения результативности осуществления надзора необходимо соблюдение следующих принципов: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стабильность системы органов;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 xml:space="preserve">стабильность, прозрачность и ясность законодательства, обеспечивающего осуществление надзорных функций; 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соответствие функций, структуры и методов надзора задачам, установленным в законодательстве;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обеспечение эффективного взаимодействия с другими органами исполнительной и законодательной власти;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неотвратимость и обязательность применения предусмотренных законодательством санкций.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В отечественной практике можно выделить три формы осуществления государственного надзора за деятельностью страховых организаций: предварительный (лицензионный), текущий (контрольный), последующий (статистический).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Лицензионная форма надзора регулируется процедурой принятия решения о выдаче лицензии на право осуществления страховой деятельности. Полученная страховщиком лицензия дает право на проведение тех видов страхования, которые указаны в ней с учетом правил страхования, зафиксированных в приложении к лицензии. При необходимости расширения перечня предоставляемых страховых услуг (видов страхования) страховщик вновь проходит процедуру лицензирования и наряду с этим подвергается контролю со стороны надзорного органа за соблюдением нормативного соотношения между активами и обязательствами.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Предметом контрольной формы надзора является ведение страховщиками финансовых операций, связанных с формированием страховых резервов, размещением активов, обеспечением наличия свободных активов в размере установленных нормативов, а также соответствие деятельности выданной лицензии.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Статистическая форма базируется на финансовой отчетности, предоставляемой страховщиками в органы страхового надзора. Состав и формы бухгалтерской отчетности, принципы бухгалтерского учета и план счетов утверждены соответствующими нормативными документами. Согласно российскому законодательству страховые компании обязаны публиковать в средствах массовой информации годовую отчетность о своей деятельности по итогам отчетного года после подтверждения достоверности ее содержания независимыми аудиторами.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 xml:space="preserve">Российское законодательство предусматривает двухступенчатую процедуру «появления» страховой организации. Нормами гражданского законодательства регулируется процедура учреждения страховой организации, а нормами административного права – получение лицензии на право осуществления страховой деятельности. 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 xml:space="preserve">Лицензирование страховой деятельности на территории РФ регламентируется Федеральным законом от 8 августа </w:t>
      </w:r>
      <w:smartTag w:uri="urn:schemas-microsoft-com:office:smarttags" w:element="metricconverter">
        <w:smartTagPr>
          <w:attr w:name="ProductID" w:val="2001 г"/>
        </w:smartTagPr>
        <w:r w:rsidRPr="009516AA">
          <w:rPr>
            <w:sz w:val="28"/>
          </w:rPr>
          <w:t>2001 г</w:t>
        </w:r>
      </w:smartTag>
      <w:r w:rsidRPr="009516AA">
        <w:rPr>
          <w:sz w:val="28"/>
        </w:rPr>
        <w:t>. № 128-ФЗ «О лицензировании отдельных видов деятельности». Лицензирование осуществляется органами страхового надзора.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Основные условия получения лицензии на право осуществления деятельности в сфере страхового дела предусматривают: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регистрацию соискателя на территории РФ;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наличие уставного капитала, оплаченного в соответствии с действующим законодательством;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выполнение определенных нормативных соотношений между собственными средствами и размерами страховой премии, планируемыми по данному виду страхования на первый год деятельности;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выполнение ограничения по показателю максимальной ответственности по отдельному риску.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В соответствии с директивами Европейского Союза при лицензировании страховой деятельности действуют различные регламентации  и состав документов для осуществления страхования жизни и иных страхований. Более того, установлен запрет на осуществление одним юридическим лицом этих отраслей страхования одновременно. Такой запрет связан с необходимостью различного регулирования формирования страховых резервов и размещения активов, их покрывающих. В Российской Федерации, в отличие от большинства стран, сохраняется возможность проведения одним страховщиком, как страхования жизни, так и других видов страхования.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 xml:space="preserve">За последние годы сформировался достаточно обширный пакет нормативных документов Росстрахнадзора в виде инструкций, положений, указаний и разъяснений, основанных на действующем законодательстве и имеющих обязательный характер для страховщиков. Постоянно осуществляется работа по актуализации издаваемых директив, с тем, чтобы система регулирования соответствовала складывающимся тенденциям в развитии страхового рынка. 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</w:p>
    <w:p w:rsidR="00A85D59" w:rsidRPr="009516AA" w:rsidRDefault="00B3763D" w:rsidP="009516AA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 </w:t>
      </w:r>
      <w:r w:rsidR="00A85D59" w:rsidRPr="009516AA">
        <w:rPr>
          <w:b/>
          <w:sz w:val="28"/>
        </w:rPr>
        <w:t xml:space="preserve"> Тест</w:t>
      </w:r>
    </w:p>
    <w:p w:rsidR="009516AA" w:rsidRPr="009516AA" w:rsidRDefault="009516AA" w:rsidP="009516AA">
      <w:pPr>
        <w:spacing w:line="360" w:lineRule="auto"/>
        <w:ind w:firstLine="709"/>
        <w:jc w:val="both"/>
        <w:rPr>
          <w:sz w:val="28"/>
        </w:rPr>
      </w:pP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1. Страховая деятельность — это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А. Деятельность по защите имущественных интересов юридичес</w:t>
      </w:r>
      <w:r w:rsidRPr="009516AA">
        <w:rPr>
          <w:sz w:val="28"/>
        </w:rPr>
        <w:softHyphen/>
        <w:t>ких и физических лиц и государства.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Б. Деятельность по защите интересов государства.</w:t>
      </w:r>
    </w:p>
    <w:p w:rsidR="001B173A" w:rsidRPr="009516AA" w:rsidRDefault="001B173A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Ответ:</w:t>
      </w:r>
      <w:r w:rsidR="0012287E" w:rsidRPr="009516AA">
        <w:rPr>
          <w:sz w:val="28"/>
        </w:rPr>
        <w:t xml:space="preserve">   А.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2. Назовите отрасли страхования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А. Страхование от несчастного случая.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Б. Личное страхование.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В. Страхование космических рисков.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Д. Имущественное страхование.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Е. Страхование на случай смерти.</w:t>
      </w:r>
    </w:p>
    <w:p w:rsidR="001B173A" w:rsidRPr="009516AA" w:rsidRDefault="001B173A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Ответ:</w:t>
      </w:r>
      <w:r w:rsidR="0012287E" w:rsidRPr="009516AA">
        <w:rPr>
          <w:sz w:val="28"/>
        </w:rPr>
        <w:t xml:space="preserve">   Б; Д.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3. Страхователь — это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А. Лицо, имеющее имущественный интерес и уплачивающее стра</w:t>
      </w:r>
      <w:r w:rsidRPr="009516AA">
        <w:rPr>
          <w:sz w:val="28"/>
        </w:rPr>
        <w:softHyphen/>
        <w:t>ховые взносы.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Б. Лицо, обеспечивающее защиту имущественных интересов и вып</w:t>
      </w:r>
      <w:r w:rsidRPr="009516AA">
        <w:rPr>
          <w:sz w:val="28"/>
        </w:rPr>
        <w:softHyphen/>
        <w:t>лачивающее страховое возмещение.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В. Лицо, указанное в завещании.</w:t>
      </w:r>
    </w:p>
    <w:p w:rsidR="001B173A" w:rsidRPr="009516AA" w:rsidRDefault="001B173A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Ответ:</w:t>
      </w:r>
      <w:r w:rsidR="0012287E" w:rsidRPr="009516AA">
        <w:rPr>
          <w:sz w:val="28"/>
        </w:rPr>
        <w:t xml:space="preserve">   А.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4</w:t>
      </w:r>
      <w:r w:rsidR="001B173A" w:rsidRPr="009516AA">
        <w:rPr>
          <w:sz w:val="28"/>
        </w:rPr>
        <w:t>.</w:t>
      </w:r>
      <w:r w:rsidRPr="009516AA">
        <w:rPr>
          <w:sz w:val="28"/>
        </w:rPr>
        <w:t xml:space="preserve"> Страховые резервы страховщиков могут быть размещены в: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А. Ценные бумаги, выпущенные другим страховщиком.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Б. Банковские вклады.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 xml:space="preserve">В. Государственные ценные бумаги. </w:t>
      </w:r>
    </w:p>
    <w:p w:rsidR="001B173A" w:rsidRPr="009516AA" w:rsidRDefault="001B173A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Ответ:</w:t>
      </w:r>
      <w:r w:rsidR="00C62587" w:rsidRPr="009516AA">
        <w:rPr>
          <w:sz w:val="28"/>
        </w:rPr>
        <w:t xml:space="preserve">   Б; В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5. Какие виды страхования относятся к личному страхованию?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А. Страхование грузов.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Б. Страхование жизни.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В. Страхование имущества физических лиц.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Г. Страхование от несчастных случаев.</w:t>
      </w:r>
    </w:p>
    <w:p w:rsidR="001B173A" w:rsidRPr="009516AA" w:rsidRDefault="001B173A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Ответ:</w:t>
      </w:r>
      <w:r w:rsidR="0012287E" w:rsidRPr="009516AA">
        <w:rPr>
          <w:sz w:val="28"/>
        </w:rPr>
        <w:t xml:space="preserve">   Б; Г.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6. Получат ли наследники страхователя страховое возмещение, если договор страхования заключен в пользу выгодоприобретателя, не являющегося наследником?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А. Да.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Б. Нет.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В. Да, как наследники по закону.</w:t>
      </w: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Г. Да, в равных долях с выгодоприобретателем.</w:t>
      </w:r>
    </w:p>
    <w:p w:rsidR="001B173A" w:rsidRPr="009516AA" w:rsidRDefault="001B173A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Ответ:</w:t>
      </w:r>
      <w:r w:rsidR="00C62587" w:rsidRPr="009516AA">
        <w:rPr>
          <w:sz w:val="28"/>
        </w:rPr>
        <w:t xml:space="preserve">   Б.</w:t>
      </w:r>
    </w:p>
    <w:p w:rsidR="001B173A" w:rsidRPr="009516AA" w:rsidRDefault="001B173A" w:rsidP="009516AA">
      <w:pPr>
        <w:spacing w:line="360" w:lineRule="auto"/>
        <w:ind w:firstLine="709"/>
        <w:jc w:val="both"/>
        <w:rPr>
          <w:sz w:val="28"/>
        </w:rPr>
      </w:pPr>
    </w:p>
    <w:p w:rsidR="00AE3DA8" w:rsidRPr="009516AA" w:rsidRDefault="009516AA" w:rsidP="009516AA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3 </w:t>
      </w:r>
      <w:r w:rsidR="00AE3DA8" w:rsidRPr="009516AA">
        <w:rPr>
          <w:b/>
          <w:sz w:val="28"/>
        </w:rPr>
        <w:t>Задача</w:t>
      </w:r>
    </w:p>
    <w:p w:rsidR="009516AA" w:rsidRPr="009516AA" w:rsidRDefault="009516AA" w:rsidP="009516AA">
      <w:pPr>
        <w:spacing w:line="360" w:lineRule="auto"/>
        <w:ind w:firstLine="709"/>
        <w:jc w:val="both"/>
        <w:rPr>
          <w:sz w:val="28"/>
        </w:rPr>
      </w:pPr>
    </w:p>
    <w:p w:rsidR="00AE3DA8" w:rsidRPr="009516AA" w:rsidRDefault="00AE3DA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 xml:space="preserve">Сельскохозяйственное предприятие заключило договор страхования урожая трав, страховая сумма составляет 100% стоимости урожая. Площадь посевов – </w:t>
      </w:r>
      <w:smartTag w:uri="urn:schemas-microsoft-com:office:smarttags" w:element="metricconverter">
        <w:smartTagPr>
          <w:attr w:name="ProductID" w:val="100 га"/>
        </w:smartTagPr>
        <w:r w:rsidRPr="009516AA">
          <w:rPr>
            <w:sz w:val="28"/>
          </w:rPr>
          <w:t>100 га</w:t>
        </w:r>
      </w:smartTag>
      <w:r w:rsidRPr="009516AA">
        <w:rPr>
          <w:sz w:val="28"/>
        </w:rPr>
        <w:t xml:space="preserve"> сена и </w:t>
      </w:r>
      <w:smartTag w:uri="urn:schemas-microsoft-com:office:smarttags" w:element="metricconverter">
        <w:smartTagPr>
          <w:attr w:name="ProductID" w:val="20 га"/>
        </w:smartTagPr>
        <w:r w:rsidRPr="009516AA">
          <w:rPr>
            <w:sz w:val="28"/>
          </w:rPr>
          <w:t>20 га</w:t>
        </w:r>
      </w:smartTag>
      <w:r w:rsidRPr="009516AA">
        <w:rPr>
          <w:sz w:val="28"/>
        </w:rPr>
        <w:t xml:space="preserve"> семян клевера. Средняя урожайность за последние 5 лет – сена 24 ц/га, семян клевера – 1,7 ц/га. В результате неблагоприятных погодных условий урожайность составила: сена 18 ц/га, семян клевера – 1,0 ц/га. Определить размер страхового возмещения, если стоимость 1ц сена – 55 руб, 1ц семян клевера – 4200 руб.</w:t>
      </w:r>
    </w:p>
    <w:p w:rsidR="00AE3DA8" w:rsidRPr="009516AA" w:rsidRDefault="00AF7E7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Дано:</w:t>
      </w:r>
    </w:p>
    <w:p w:rsidR="00AF7E78" w:rsidRPr="009516AA" w:rsidRDefault="00AF7E7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Страх. Сумма = 100% ст-ти урожая</w:t>
      </w:r>
    </w:p>
    <w:p w:rsidR="00AF7E78" w:rsidRPr="009516AA" w:rsidRDefault="005231D3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ПП</w:t>
      </w:r>
      <w:r w:rsidR="00AF7E78" w:rsidRPr="009516AA">
        <w:rPr>
          <w:sz w:val="28"/>
        </w:rPr>
        <w:t xml:space="preserve">1 = </w:t>
      </w:r>
      <w:smartTag w:uri="urn:schemas-microsoft-com:office:smarttags" w:element="metricconverter">
        <w:smartTagPr>
          <w:attr w:name="ProductID" w:val="100 га"/>
        </w:smartTagPr>
        <w:r w:rsidR="00AF7E78" w:rsidRPr="009516AA">
          <w:rPr>
            <w:sz w:val="28"/>
          </w:rPr>
          <w:t>100 га</w:t>
        </w:r>
      </w:smartTag>
      <w:r w:rsidR="00AF7E78" w:rsidRPr="009516AA">
        <w:rPr>
          <w:sz w:val="28"/>
        </w:rPr>
        <w:t xml:space="preserve"> сена</w:t>
      </w:r>
    </w:p>
    <w:p w:rsidR="008939E9" w:rsidRPr="009516AA" w:rsidRDefault="005231D3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ПП</w:t>
      </w:r>
      <w:r w:rsidR="00AF7E78" w:rsidRPr="009516AA">
        <w:rPr>
          <w:sz w:val="28"/>
        </w:rPr>
        <w:t xml:space="preserve">2 = </w:t>
      </w:r>
      <w:smartTag w:uri="urn:schemas-microsoft-com:office:smarttags" w:element="metricconverter">
        <w:smartTagPr>
          <w:attr w:name="ProductID" w:val="20 га"/>
        </w:smartTagPr>
        <w:r w:rsidR="00AF7E78" w:rsidRPr="009516AA">
          <w:rPr>
            <w:sz w:val="28"/>
          </w:rPr>
          <w:t>20 га</w:t>
        </w:r>
      </w:smartTag>
      <w:r w:rsidR="00AF7E78" w:rsidRPr="009516AA">
        <w:rPr>
          <w:sz w:val="28"/>
        </w:rPr>
        <w:t xml:space="preserve"> семян клевера</w:t>
      </w:r>
    </w:p>
    <w:p w:rsidR="001B173A" w:rsidRPr="009516AA" w:rsidRDefault="005231D3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СУ</w:t>
      </w:r>
      <w:r w:rsidR="00AF7E78" w:rsidRPr="009516AA">
        <w:rPr>
          <w:sz w:val="28"/>
        </w:rPr>
        <w:t>1 = 24 ц/га сена</w:t>
      </w:r>
    </w:p>
    <w:p w:rsidR="00AF7E78" w:rsidRPr="009516AA" w:rsidRDefault="005231D3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СУ</w:t>
      </w:r>
      <w:r w:rsidR="00AF7E78" w:rsidRPr="009516AA">
        <w:rPr>
          <w:sz w:val="28"/>
        </w:rPr>
        <w:t>2 = 1,7 ц/га семян клевера</w:t>
      </w:r>
    </w:p>
    <w:p w:rsidR="001B173A" w:rsidRPr="009516AA" w:rsidRDefault="005231D3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У</w:t>
      </w:r>
      <w:r w:rsidR="00AF7E78" w:rsidRPr="009516AA">
        <w:rPr>
          <w:sz w:val="28"/>
        </w:rPr>
        <w:t>1 = 18 ц/га сена</w:t>
      </w:r>
    </w:p>
    <w:p w:rsidR="00AF7E78" w:rsidRPr="009516AA" w:rsidRDefault="005231D3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У</w:t>
      </w:r>
      <w:r w:rsidR="00AF7E78" w:rsidRPr="009516AA">
        <w:rPr>
          <w:sz w:val="28"/>
        </w:rPr>
        <w:t>2 = 1,0 ц/га семян клевера</w:t>
      </w:r>
    </w:p>
    <w:p w:rsidR="00AF7E78" w:rsidRPr="009516AA" w:rsidRDefault="005231D3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РЦ1</w:t>
      </w:r>
      <w:r w:rsidR="00AF7E78" w:rsidRPr="009516AA">
        <w:rPr>
          <w:sz w:val="28"/>
        </w:rPr>
        <w:t xml:space="preserve"> =  55 руб.</w:t>
      </w:r>
    </w:p>
    <w:p w:rsidR="005231D3" w:rsidRPr="009516AA" w:rsidRDefault="005231D3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РЦ2</w:t>
      </w:r>
      <w:r w:rsidR="00AF7E78" w:rsidRPr="009516AA">
        <w:rPr>
          <w:sz w:val="28"/>
        </w:rPr>
        <w:t xml:space="preserve"> = 4 200 руб.</w:t>
      </w:r>
    </w:p>
    <w:p w:rsidR="00AF7E78" w:rsidRPr="009516AA" w:rsidRDefault="00AF7E78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Найти:</w:t>
      </w:r>
    </w:p>
    <w:p w:rsidR="005231D3" w:rsidRPr="009516AA" w:rsidRDefault="005231D3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 xml:space="preserve">Страх. возмещение - ? </w:t>
      </w:r>
    </w:p>
    <w:p w:rsidR="001B173A" w:rsidRPr="009516AA" w:rsidRDefault="005231D3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Решение:</w:t>
      </w:r>
    </w:p>
    <w:p w:rsidR="005231D3" w:rsidRPr="009516AA" w:rsidRDefault="00335B37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 xml:space="preserve">1) </w:t>
      </w:r>
      <w:r w:rsidR="005231D3" w:rsidRPr="009516AA">
        <w:rPr>
          <w:sz w:val="28"/>
        </w:rPr>
        <w:t>Страх. возмещение1 = (СУ1 – У</w:t>
      </w:r>
      <w:r w:rsidRPr="009516AA">
        <w:rPr>
          <w:sz w:val="28"/>
        </w:rPr>
        <w:t>1</w:t>
      </w:r>
      <w:r w:rsidR="005231D3" w:rsidRPr="009516AA">
        <w:rPr>
          <w:sz w:val="28"/>
        </w:rPr>
        <w:t xml:space="preserve">) </w:t>
      </w:r>
      <w:r w:rsidRPr="009516AA">
        <w:rPr>
          <w:sz w:val="28"/>
        </w:rPr>
        <w:t>* ПП1 * РЦ1</w:t>
      </w:r>
    </w:p>
    <w:p w:rsidR="005231D3" w:rsidRPr="009516AA" w:rsidRDefault="00335B37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 xml:space="preserve">Страх. возмещение1 = (24 ц/га – 18 ц/га) * </w:t>
      </w:r>
      <w:smartTag w:uri="urn:schemas-microsoft-com:office:smarttags" w:element="metricconverter">
        <w:smartTagPr>
          <w:attr w:name="ProductID" w:val="100 га"/>
        </w:smartTagPr>
        <w:r w:rsidRPr="009516AA">
          <w:rPr>
            <w:sz w:val="28"/>
          </w:rPr>
          <w:t>100 га</w:t>
        </w:r>
      </w:smartTag>
      <w:r w:rsidRPr="009516AA">
        <w:rPr>
          <w:sz w:val="28"/>
        </w:rPr>
        <w:t xml:space="preserve"> * 55 руб. = 33 000 руб.</w:t>
      </w:r>
    </w:p>
    <w:p w:rsidR="00335B37" w:rsidRPr="009516AA" w:rsidRDefault="00335B37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2) Страх. возмещение2 = (СУ2 – У2) * ПП2 * РЦ2</w:t>
      </w:r>
    </w:p>
    <w:p w:rsidR="00335B37" w:rsidRPr="009516AA" w:rsidRDefault="00335B37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 xml:space="preserve">Страх. возмещение2 = (1,7 ц/га – 1,0 ц/га) * </w:t>
      </w:r>
      <w:smartTag w:uri="urn:schemas-microsoft-com:office:smarttags" w:element="metricconverter">
        <w:smartTagPr>
          <w:attr w:name="ProductID" w:val="20 га"/>
        </w:smartTagPr>
        <w:r w:rsidRPr="009516AA">
          <w:rPr>
            <w:sz w:val="28"/>
          </w:rPr>
          <w:t>20 га</w:t>
        </w:r>
      </w:smartTag>
      <w:r w:rsidRPr="009516AA">
        <w:rPr>
          <w:sz w:val="28"/>
        </w:rPr>
        <w:t xml:space="preserve"> * 4 200 руб. = 58 800 руб.</w:t>
      </w:r>
    </w:p>
    <w:p w:rsidR="00335B37" w:rsidRPr="009516AA" w:rsidRDefault="00335B37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 xml:space="preserve">3) Страх. возмещение  = Страх. возмещение1  + Страх. возмещение2 </w:t>
      </w:r>
    </w:p>
    <w:p w:rsidR="000B5995" w:rsidRPr="009516AA" w:rsidRDefault="00335B37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Страх. возмещение  = 33 000 руб. + 58 800 руб. =</w:t>
      </w:r>
      <w:r w:rsidR="000B5995" w:rsidRPr="009516AA">
        <w:rPr>
          <w:sz w:val="28"/>
        </w:rPr>
        <w:t xml:space="preserve"> 91 800 руб.</w:t>
      </w:r>
    </w:p>
    <w:p w:rsidR="001B173A" w:rsidRPr="009516AA" w:rsidRDefault="000B5995" w:rsidP="009516AA">
      <w:pPr>
        <w:spacing w:line="360" w:lineRule="auto"/>
        <w:ind w:firstLine="709"/>
        <w:jc w:val="both"/>
        <w:rPr>
          <w:sz w:val="28"/>
        </w:rPr>
      </w:pPr>
      <w:r w:rsidRPr="009516AA">
        <w:rPr>
          <w:sz w:val="28"/>
        </w:rPr>
        <w:t>Ответ: Страховое возмещение составит 91 800 рублей.</w:t>
      </w:r>
    </w:p>
    <w:p w:rsidR="001B173A" w:rsidRPr="009516AA" w:rsidRDefault="009516AA" w:rsidP="009516AA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1B173A" w:rsidRPr="009516AA">
        <w:rPr>
          <w:b/>
          <w:sz w:val="28"/>
        </w:rPr>
        <w:t>Список литературы</w:t>
      </w:r>
    </w:p>
    <w:p w:rsidR="009516AA" w:rsidRPr="009516AA" w:rsidRDefault="009516AA" w:rsidP="009516AA">
      <w:pPr>
        <w:spacing w:line="360" w:lineRule="auto"/>
        <w:ind w:firstLine="709"/>
        <w:jc w:val="both"/>
        <w:rPr>
          <w:sz w:val="28"/>
        </w:rPr>
      </w:pPr>
    </w:p>
    <w:p w:rsidR="008B052F" w:rsidRPr="009516AA" w:rsidRDefault="008B052F" w:rsidP="009516AA">
      <w:pPr>
        <w:spacing w:line="360" w:lineRule="auto"/>
        <w:jc w:val="both"/>
        <w:rPr>
          <w:sz w:val="28"/>
        </w:rPr>
      </w:pPr>
      <w:r w:rsidRPr="009516AA">
        <w:rPr>
          <w:sz w:val="28"/>
        </w:rPr>
        <w:t>Архипов А. П., Гомеля В. Б., Туленты Д. С. Страхование. Современный курс – М.: Финансы и статистика, 2007.</w:t>
      </w:r>
    </w:p>
    <w:p w:rsidR="008B052F" w:rsidRPr="009516AA" w:rsidRDefault="008B052F" w:rsidP="009516AA">
      <w:pPr>
        <w:spacing w:line="360" w:lineRule="auto"/>
        <w:jc w:val="both"/>
        <w:rPr>
          <w:sz w:val="28"/>
        </w:rPr>
      </w:pPr>
      <w:r w:rsidRPr="009516AA">
        <w:rPr>
          <w:sz w:val="28"/>
        </w:rPr>
        <w:t>Шахов В.В. Страхование. Учебник – М.: Юнити, 2003.</w:t>
      </w:r>
    </w:p>
    <w:p w:rsidR="008B052F" w:rsidRPr="009516AA" w:rsidRDefault="008B052F" w:rsidP="009516AA">
      <w:pPr>
        <w:spacing w:line="360" w:lineRule="auto"/>
        <w:jc w:val="both"/>
        <w:rPr>
          <w:sz w:val="28"/>
        </w:rPr>
      </w:pPr>
      <w:r w:rsidRPr="009516AA">
        <w:rPr>
          <w:sz w:val="28"/>
        </w:rPr>
        <w:t>Грищенко Н. Б. Основы страховой деятельности – М.: Финансы и статистика, 2008.</w:t>
      </w:r>
    </w:p>
    <w:p w:rsidR="008B052F" w:rsidRPr="009516AA" w:rsidRDefault="008B052F" w:rsidP="009516AA">
      <w:pPr>
        <w:spacing w:line="360" w:lineRule="auto"/>
        <w:jc w:val="both"/>
        <w:rPr>
          <w:sz w:val="28"/>
        </w:rPr>
      </w:pPr>
      <w:r w:rsidRPr="009516AA">
        <w:rPr>
          <w:sz w:val="28"/>
        </w:rPr>
        <w:t>Кабанцева Н. Г. Страховое дело – М.: Форум, 2008.</w:t>
      </w:r>
    </w:p>
    <w:p w:rsidR="008B052F" w:rsidRPr="009516AA" w:rsidRDefault="008B052F" w:rsidP="009516AA">
      <w:pPr>
        <w:spacing w:line="360" w:lineRule="auto"/>
        <w:jc w:val="both"/>
        <w:rPr>
          <w:sz w:val="28"/>
        </w:rPr>
      </w:pPr>
      <w:r w:rsidRPr="009516AA">
        <w:rPr>
          <w:sz w:val="28"/>
        </w:rPr>
        <w:t>Федорова Т. А. Страхование – М.: Экономистъ, 2004.</w:t>
      </w:r>
      <w:bookmarkStart w:id="0" w:name="_GoBack"/>
      <w:bookmarkEnd w:id="0"/>
    </w:p>
    <w:sectPr w:rsidR="008B052F" w:rsidRPr="009516AA" w:rsidSect="009516AA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565" w:rsidRDefault="00366565" w:rsidP="00EA69FD">
      <w:r>
        <w:separator/>
      </w:r>
    </w:p>
  </w:endnote>
  <w:endnote w:type="continuationSeparator" w:id="0">
    <w:p w:rsidR="00366565" w:rsidRDefault="00366565" w:rsidP="00EA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565" w:rsidRDefault="00366565" w:rsidP="00EA69FD">
      <w:r>
        <w:separator/>
      </w:r>
    </w:p>
  </w:footnote>
  <w:footnote w:type="continuationSeparator" w:id="0">
    <w:p w:rsidR="00366565" w:rsidRDefault="00366565" w:rsidP="00EA6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1A60C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D1C0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3E06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666C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8ECAA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4AA3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A60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A64C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1C4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FD07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  <w:color w:val="auto"/>
      </w:rPr>
    </w:lvl>
  </w:abstractNum>
  <w:abstractNum w:abstractNumId="1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  <w:color w:val="auto"/>
      </w:rPr>
    </w:lvl>
  </w:abstractNum>
  <w:abstractNum w:abstractNumId="12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  <w:color w:val="auto"/>
      </w:rPr>
    </w:lvl>
  </w:abstractNum>
  <w:abstractNum w:abstractNumId="13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8"/>
    <w:multiLevelType w:val="single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  <w:color w:val="auto"/>
      </w:rPr>
    </w:lvl>
  </w:abstractNum>
  <w:abstractNum w:abstractNumId="15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/>
        <w:color w:val="auto"/>
      </w:rPr>
    </w:lvl>
  </w:abstractNum>
  <w:abstractNum w:abstractNumId="16">
    <w:nsid w:val="0B810757"/>
    <w:multiLevelType w:val="hybridMultilevel"/>
    <w:tmpl w:val="995E56DC"/>
    <w:lvl w:ilvl="0" w:tplc="0419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7">
    <w:nsid w:val="213C3663"/>
    <w:multiLevelType w:val="hybridMultilevel"/>
    <w:tmpl w:val="EBCC94B0"/>
    <w:lvl w:ilvl="0" w:tplc="E88E3B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ABD6D91"/>
    <w:multiLevelType w:val="hybridMultilevel"/>
    <w:tmpl w:val="F61060E2"/>
    <w:lvl w:ilvl="0" w:tplc="2CC274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966387"/>
    <w:multiLevelType w:val="hybridMultilevel"/>
    <w:tmpl w:val="AAFE43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0503141"/>
    <w:multiLevelType w:val="hybridMultilevel"/>
    <w:tmpl w:val="6382101E"/>
    <w:lvl w:ilvl="0" w:tplc="F418E75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720D2D39"/>
    <w:multiLevelType w:val="hybridMultilevel"/>
    <w:tmpl w:val="9C88858C"/>
    <w:lvl w:ilvl="0" w:tplc="DE18D51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4"/>
  </w:num>
  <w:num w:numId="5">
    <w:abstractNumId w:val="15"/>
  </w:num>
  <w:num w:numId="6">
    <w:abstractNumId w:val="19"/>
  </w:num>
  <w:num w:numId="7">
    <w:abstractNumId w:val="16"/>
  </w:num>
  <w:num w:numId="8">
    <w:abstractNumId w:val="21"/>
  </w:num>
  <w:num w:numId="9">
    <w:abstractNumId w:val="20"/>
  </w:num>
  <w:num w:numId="10">
    <w:abstractNumId w:val="13"/>
  </w:num>
  <w:num w:numId="11">
    <w:abstractNumId w:val="17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E63"/>
    <w:rsid w:val="00027E81"/>
    <w:rsid w:val="000B5995"/>
    <w:rsid w:val="0012287E"/>
    <w:rsid w:val="00131A0D"/>
    <w:rsid w:val="00150E63"/>
    <w:rsid w:val="00152FE6"/>
    <w:rsid w:val="001B173A"/>
    <w:rsid w:val="002E5F68"/>
    <w:rsid w:val="00335B37"/>
    <w:rsid w:val="00366565"/>
    <w:rsid w:val="00377F09"/>
    <w:rsid w:val="00471878"/>
    <w:rsid w:val="00516238"/>
    <w:rsid w:val="005231D3"/>
    <w:rsid w:val="0070621E"/>
    <w:rsid w:val="007336DD"/>
    <w:rsid w:val="0078650B"/>
    <w:rsid w:val="007E4D55"/>
    <w:rsid w:val="00850A26"/>
    <w:rsid w:val="008939E9"/>
    <w:rsid w:val="008A1242"/>
    <w:rsid w:val="008B052F"/>
    <w:rsid w:val="00945B42"/>
    <w:rsid w:val="009516AA"/>
    <w:rsid w:val="009F1E9F"/>
    <w:rsid w:val="00A004D1"/>
    <w:rsid w:val="00A85D59"/>
    <w:rsid w:val="00AB7521"/>
    <w:rsid w:val="00AE3DA8"/>
    <w:rsid w:val="00AF7E78"/>
    <w:rsid w:val="00B3763D"/>
    <w:rsid w:val="00BE3BC4"/>
    <w:rsid w:val="00C5231A"/>
    <w:rsid w:val="00C62587"/>
    <w:rsid w:val="00C66112"/>
    <w:rsid w:val="00CB02F9"/>
    <w:rsid w:val="00D71131"/>
    <w:rsid w:val="00D752F9"/>
    <w:rsid w:val="00DC4044"/>
    <w:rsid w:val="00E73C80"/>
    <w:rsid w:val="00EA69FD"/>
    <w:rsid w:val="00ED3CAE"/>
    <w:rsid w:val="00EF12D1"/>
    <w:rsid w:val="00F5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9A837800-4BAD-40ED-8B0F-263CE757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E63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50E63"/>
    <w:pPr>
      <w:keepNext/>
      <w:spacing w:before="240" w:after="60" w:line="360" w:lineRule="auto"/>
      <w:ind w:firstLine="851"/>
      <w:outlineLvl w:val="0"/>
    </w:pPr>
    <w:rPr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0E63"/>
    <w:rPr>
      <w:rFonts w:ascii="Times New Roman" w:hAnsi="Times New Roman" w:cs="Times New Roman"/>
      <w:caps/>
      <w:kern w:val="32"/>
      <w:sz w:val="32"/>
      <w:szCs w:val="32"/>
      <w:lang w:val="x-none" w:eastAsia="ru-RU"/>
    </w:rPr>
  </w:style>
  <w:style w:type="paragraph" w:styleId="a3">
    <w:name w:val="header"/>
    <w:basedOn w:val="a"/>
    <w:link w:val="a4"/>
    <w:uiPriority w:val="99"/>
    <w:semiHidden/>
    <w:rsid w:val="00EA69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EA69FD"/>
    <w:rPr>
      <w:rFonts w:ascii="Times New Roman" w:hAnsi="Times New Roman" w:cs="Times New Roman"/>
    </w:rPr>
  </w:style>
  <w:style w:type="paragraph" w:styleId="a5">
    <w:name w:val="Body Text"/>
    <w:basedOn w:val="a"/>
    <w:link w:val="a6"/>
    <w:uiPriority w:val="99"/>
    <w:rsid w:val="00150E63"/>
    <w:pPr>
      <w:jc w:val="both"/>
    </w:pPr>
    <w:rPr>
      <w:sz w:val="28"/>
      <w:szCs w:val="28"/>
      <w:lang w:eastAsia="ar-SA"/>
    </w:rPr>
  </w:style>
  <w:style w:type="character" w:customStyle="1" w:styleId="a6">
    <w:name w:val="Основной текст Знак"/>
    <w:link w:val="a5"/>
    <w:uiPriority w:val="99"/>
    <w:locked/>
    <w:rsid w:val="00150E63"/>
    <w:rPr>
      <w:rFonts w:ascii="Times New Roman" w:hAnsi="Times New Roman" w:cs="Times New Roman"/>
      <w:sz w:val="28"/>
      <w:szCs w:val="28"/>
      <w:lang w:val="x-none" w:eastAsia="ar-SA" w:bidi="ar-SA"/>
    </w:rPr>
  </w:style>
  <w:style w:type="paragraph" w:customStyle="1" w:styleId="21">
    <w:name w:val="Основной текст с отступом 21"/>
    <w:basedOn w:val="a"/>
    <w:uiPriority w:val="99"/>
    <w:rsid w:val="00150E63"/>
    <w:pPr>
      <w:spacing w:after="120" w:line="480" w:lineRule="auto"/>
      <w:ind w:left="283"/>
    </w:pPr>
    <w:rPr>
      <w:sz w:val="28"/>
      <w:szCs w:val="28"/>
      <w:lang w:eastAsia="ar-SA"/>
    </w:rPr>
  </w:style>
  <w:style w:type="paragraph" w:styleId="3">
    <w:name w:val="Body Text Indent 3"/>
    <w:basedOn w:val="a"/>
    <w:link w:val="30"/>
    <w:uiPriority w:val="99"/>
    <w:semiHidden/>
    <w:rsid w:val="00150E6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150E63"/>
    <w:rPr>
      <w:rFonts w:ascii="Times New Roman" w:hAnsi="Times New Roman" w:cs="Times New Roman"/>
      <w:sz w:val="16"/>
      <w:szCs w:val="16"/>
      <w:lang w:val="x-none" w:eastAsia="ru-RU"/>
    </w:rPr>
  </w:style>
  <w:style w:type="paragraph" w:styleId="a7">
    <w:name w:val="footer"/>
    <w:basedOn w:val="a"/>
    <w:link w:val="a8"/>
    <w:uiPriority w:val="99"/>
    <w:rsid w:val="00EA69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A69F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Банк рефератов - Vzfeiinfo.Ru</vt:lpstr>
    </vt:vector>
  </TitlesOfParts>
  <Company>Microsoft</Company>
  <LinksUpToDate>false</LinksUpToDate>
  <CharactersWithSpaces>11268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 рефератов - Vzfeiinfo.Ru</dc:title>
  <dc:subject/>
  <dc:creator>Admin</dc:creator>
  <cp:keywords>13156</cp:keywords>
  <dc:description/>
  <cp:lastModifiedBy>admin</cp:lastModifiedBy>
  <cp:revision>2</cp:revision>
  <dcterms:created xsi:type="dcterms:W3CDTF">2014-03-13T21:59:00Z</dcterms:created>
  <dcterms:modified xsi:type="dcterms:W3CDTF">2014-03-13T21:59:00Z</dcterms:modified>
</cp:coreProperties>
</file>