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83" w:rsidRPr="00544986" w:rsidRDefault="004A3283" w:rsidP="00617F10">
      <w:pPr>
        <w:pStyle w:val="aa"/>
        <w:jc w:val="both"/>
      </w:pPr>
      <w:r w:rsidRPr="00544986">
        <w:t>СОДЕРЖАНИЕ</w:t>
      </w:r>
    </w:p>
    <w:p w:rsidR="004A3283" w:rsidRPr="00544986" w:rsidRDefault="004A3283" w:rsidP="00617F10">
      <w:pPr>
        <w:pStyle w:val="aa"/>
        <w:jc w:val="both"/>
      </w:pPr>
    </w:p>
    <w:p w:rsidR="004A3283" w:rsidRPr="00544986" w:rsidRDefault="004A3283" w:rsidP="00617F10">
      <w:pPr>
        <w:pStyle w:val="aa"/>
        <w:ind w:firstLine="0"/>
      </w:pPr>
      <w:r w:rsidRPr="00544986">
        <w:t>Задача I……………………</w:t>
      </w:r>
      <w:r w:rsidR="00617F10">
        <w:t>..........</w:t>
      </w:r>
      <w:r w:rsidRPr="00544986">
        <w:t>………………………………………………...</w:t>
      </w:r>
      <w:r w:rsidR="00617F10">
        <w:t>2</w:t>
      </w:r>
    </w:p>
    <w:p w:rsidR="004A3283" w:rsidRPr="00544986" w:rsidRDefault="004A3283" w:rsidP="00617F10">
      <w:pPr>
        <w:pStyle w:val="aa"/>
        <w:ind w:firstLine="0"/>
      </w:pPr>
      <w:r w:rsidRPr="00544986">
        <w:t>Задача II</w:t>
      </w:r>
      <w:r w:rsidR="00BD65D4" w:rsidRPr="00544986">
        <w:t>…………………………</w:t>
      </w:r>
      <w:r w:rsidR="00617F10">
        <w:t>..........</w:t>
      </w:r>
      <w:r w:rsidR="00BD65D4" w:rsidRPr="00544986">
        <w:t>………………………………………......</w:t>
      </w:r>
      <w:r w:rsidR="00617F10">
        <w:t>5</w:t>
      </w:r>
    </w:p>
    <w:p w:rsidR="004A3283" w:rsidRPr="00544986" w:rsidRDefault="004A3283" w:rsidP="00617F10">
      <w:pPr>
        <w:pStyle w:val="aa"/>
        <w:ind w:firstLine="0"/>
      </w:pPr>
      <w:r w:rsidRPr="00544986">
        <w:t>Задача III</w:t>
      </w:r>
      <w:r w:rsidR="00BD65D4" w:rsidRPr="00544986">
        <w:t>………………………………</w:t>
      </w:r>
      <w:r w:rsidR="00617F10">
        <w:t>..........</w:t>
      </w:r>
      <w:r w:rsidR="00BD65D4" w:rsidRPr="00544986">
        <w:t>…………………………………...1</w:t>
      </w:r>
      <w:r w:rsidR="00617F10">
        <w:t>1</w:t>
      </w:r>
    </w:p>
    <w:p w:rsidR="004A3283" w:rsidRPr="00544986" w:rsidRDefault="004A3283" w:rsidP="00617F10">
      <w:pPr>
        <w:pStyle w:val="aa"/>
        <w:ind w:firstLine="0"/>
      </w:pPr>
      <w:r w:rsidRPr="00544986">
        <w:t>Список используе</w:t>
      </w:r>
      <w:r w:rsidR="00895A5F" w:rsidRPr="00544986">
        <w:t>мой литературы…………</w:t>
      </w:r>
      <w:r w:rsidR="00617F10">
        <w:t>..........</w:t>
      </w:r>
      <w:r w:rsidR="00895A5F" w:rsidRPr="00544986">
        <w:t>…………………………….1</w:t>
      </w:r>
      <w:r w:rsidR="00617F10">
        <w:t>6</w:t>
      </w:r>
    </w:p>
    <w:p w:rsidR="004A3283" w:rsidRPr="00544986" w:rsidRDefault="004A3283" w:rsidP="00617F10">
      <w:pPr>
        <w:pStyle w:val="aa"/>
        <w:ind w:firstLine="0"/>
      </w:pPr>
    </w:p>
    <w:p w:rsidR="004A3283" w:rsidRPr="00544986" w:rsidRDefault="00617F10" w:rsidP="00617F10">
      <w:pPr>
        <w:pStyle w:val="aa"/>
        <w:jc w:val="both"/>
      </w:pPr>
      <w:r>
        <w:br w:type="page"/>
      </w:r>
      <w:r w:rsidR="004A3283" w:rsidRPr="00544986">
        <w:t>ЗАДАЧА</w:t>
      </w:r>
      <w:r w:rsidR="00544986">
        <w:t xml:space="preserve"> </w:t>
      </w:r>
      <w:r w:rsidR="004A3283" w:rsidRPr="00544986">
        <w:t>I</w:t>
      </w:r>
    </w:p>
    <w:p w:rsidR="004A3283" w:rsidRPr="00544986" w:rsidRDefault="004A3283" w:rsidP="00617F10">
      <w:pPr>
        <w:pStyle w:val="aa"/>
        <w:jc w:val="both"/>
      </w:pPr>
    </w:p>
    <w:p w:rsidR="004A3283" w:rsidRPr="00544986" w:rsidRDefault="001C3E28" w:rsidP="00617F10">
      <w:pPr>
        <w:pStyle w:val="aa"/>
        <w:jc w:val="both"/>
      </w:pPr>
      <w:r w:rsidRPr="00544986">
        <w:t>При заключении договора строительного подряда между Димитровым и ООО «Монтаж» стороны включили в договор условие о том, что все споры, возникающие</w:t>
      </w:r>
      <w:r w:rsidR="00544986">
        <w:t xml:space="preserve"> </w:t>
      </w:r>
      <w:r w:rsidRPr="00544986">
        <w:t>по этому договору, подлежат рассмотрению в областном суде. Считая, что выполненная работа оплачена Димитровым не полностью, ООО «Монтаж» обратилось в областной суд с иском о взыскании с Димитрова невыплаченных сумм.</w:t>
      </w:r>
    </w:p>
    <w:p w:rsidR="001C3E28" w:rsidRPr="00544986" w:rsidRDefault="001C3E28" w:rsidP="00617F10">
      <w:pPr>
        <w:pStyle w:val="aa"/>
        <w:jc w:val="both"/>
      </w:pPr>
      <w:r w:rsidRPr="00544986">
        <w:t>Должно ли быть принято это заявление судом?</w:t>
      </w:r>
    </w:p>
    <w:p w:rsidR="00A838A7" w:rsidRPr="00544986" w:rsidRDefault="00A838A7" w:rsidP="00617F10">
      <w:pPr>
        <w:pStyle w:val="aa"/>
        <w:jc w:val="both"/>
      </w:pPr>
      <w:r w:rsidRPr="00544986">
        <w:t xml:space="preserve">Решение: </w:t>
      </w:r>
      <w:r w:rsidR="0073252B" w:rsidRPr="00544986">
        <w:t>Нет, заявление не может быть принято судом.</w:t>
      </w:r>
    </w:p>
    <w:p w:rsidR="00544986" w:rsidRDefault="00A838A7" w:rsidP="00617F10">
      <w:pPr>
        <w:pStyle w:val="aa"/>
        <w:jc w:val="both"/>
      </w:pPr>
      <w:r w:rsidRPr="00544986">
        <w:t>При предъявлении искового заявления в суд необходимо учитывать не только подведомственность дела суду, но также и соблюдать правила о подсудности. В отличие от подведомственности подсудность определяет возможность рассмотрения спора в конкретном суде [4, с. 48].</w:t>
      </w:r>
    </w:p>
    <w:p w:rsidR="00A838A7" w:rsidRPr="00544986" w:rsidRDefault="00A838A7" w:rsidP="00617F10">
      <w:pPr>
        <w:pStyle w:val="aa"/>
        <w:jc w:val="both"/>
      </w:pPr>
      <w:r w:rsidRPr="00544986">
        <w:t>Подсудность – это институт (совокупность правовых норм), регулирующий относимость подведомственных судам дел к ведению конкретного суда судебной системы для рассмотрения по первой инстанции</w:t>
      </w:r>
      <w:bookmarkStart w:id="0" w:name="r36"/>
      <w:bookmarkEnd w:id="0"/>
      <w:r w:rsidRPr="00544986">
        <w:t xml:space="preserve"> [8, с. 34].</w:t>
      </w:r>
    </w:p>
    <w:p w:rsidR="00A838A7" w:rsidRPr="00544986" w:rsidRDefault="00A838A7" w:rsidP="00617F10">
      <w:pPr>
        <w:pStyle w:val="aa"/>
        <w:jc w:val="both"/>
      </w:pPr>
      <w:r w:rsidRPr="00544986">
        <w:t>Согласно ч. 2</w:t>
      </w:r>
      <w:r w:rsidR="00544986">
        <w:t xml:space="preserve"> </w:t>
      </w:r>
      <w:r w:rsidRPr="00544986">
        <w:t>ст. 4</w:t>
      </w:r>
      <w:r w:rsidR="00544986">
        <w:t xml:space="preserve"> </w:t>
      </w:r>
      <w:r w:rsidRPr="00544986">
        <w:t>Федерального конституционного закона «О судебной системе Российской Федерации» в Российской Федерации действуют федеральные суды, конституционные (уставные) суды и мировые судьи субъектов РФ, составляющие судебную систему Российской Федерации.</w:t>
      </w:r>
    </w:p>
    <w:p w:rsidR="00A838A7" w:rsidRPr="00544986" w:rsidRDefault="00A838A7" w:rsidP="00617F10">
      <w:pPr>
        <w:pStyle w:val="aa"/>
        <w:jc w:val="both"/>
      </w:pPr>
      <w:r w:rsidRPr="00544986">
        <w:t>Гражданские дела неподведомственны конституционным судам. Среди судов общей юрисдикции выделяются мировые судьи; районные суды; верховные суды республик, краевые и областные суды, суды городов федерального значения, суды автономной области и автономных округов (суды субъекта Федерации); Верховный суд Российской Федерации. В совокупности данные суды составляют четыре звена судебной системы.</w:t>
      </w:r>
    </w:p>
    <w:p w:rsidR="00A838A7" w:rsidRPr="00544986" w:rsidRDefault="00A838A7" w:rsidP="00617F10">
      <w:pPr>
        <w:pStyle w:val="aa"/>
        <w:jc w:val="both"/>
      </w:pPr>
      <w:r w:rsidRPr="00544986">
        <w:t>Распределение компетенции между этими судами определяется территориальной и родовой подсудностью. Родовая подсудность закрепляет компетенцию каждого звена судебной системы в плане рассмотрения и разрешения гражданского дела по первой инстанции.</w:t>
      </w:r>
    </w:p>
    <w:p w:rsidR="00544986" w:rsidRDefault="00A838A7" w:rsidP="00617F10">
      <w:pPr>
        <w:pStyle w:val="aa"/>
        <w:jc w:val="both"/>
      </w:pPr>
      <w:r w:rsidRPr="00544986">
        <w:t>Мировые судьи являются самым молодым звеном в судебной системе. Закон о мировых судьях определяет порядок образования судебных участков, статус мировых судей. Компетенция мировых судей, закрепленная в Законе «О мировых судьях в Российской Федерации» практически без изменений была закреплена впоследствии в ГПК РФ [1].</w:t>
      </w:r>
    </w:p>
    <w:p w:rsidR="00A838A7" w:rsidRPr="00544986" w:rsidRDefault="00A838A7" w:rsidP="00617F10">
      <w:pPr>
        <w:pStyle w:val="aa"/>
        <w:jc w:val="both"/>
      </w:pPr>
      <w:r w:rsidRPr="00544986">
        <w:t>Статья 23 ГПК РФ определяет круг гражданских дел, подсудных мировому судье [1].</w:t>
      </w:r>
    </w:p>
    <w:p w:rsidR="00544986" w:rsidRDefault="00A838A7" w:rsidP="00617F10">
      <w:pPr>
        <w:pStyle w:val="aa"/>
        <w:jc w:val="both"/>
      </w:pPr>
      <w:r w:rsidRPr="00544986">
        <w:t>Верховные суды республик, краевые, областные суды, суды городов федерального значения, суд автономной области и суды автономных округов рассматривают и разрешают в качестве суда первой инстанции гражданские дела, характеризующиеся повышенной значимостью.</w:t>
      </w:r>
    </w:p>
    <w:p w:rsidR="00A838A7" w:rsidRPr="00544986" w:rsidRDefault="00A838A7" w:rsidP="00617F10">
      <w:pPr>
        <w:pStyle w:val="aa"/>
        <w:jc w:val="both"/>
      </w:pPr>
      <w:r w:rsidRPr="00544986">
        <w:t>Статья 26 ГПК РФ [1] включает в компетенцию судов субъектов Федерации:</w:t>
      </w:r>
    </w:p>
    <w:p w:rsidR="00A838A7" w:rsidRPr="00544986" w:rsidRDefault="00A838A7" w:rsidP="00617F10">
      <w:pPr>
        <w:pStyle w:val="aa"/>
        <w:jc w:val="both"/>
      </w:pPr>
      <w:r w:rsidRPr="00544986">
        <w:t>1) связанные с государственной тайной;</w:t>
      </w:r>
    </w:p>
    <w:p w:rsidR="00A838A7" w:rsidRPr="00544986" w:rsidRDefault="00A838A7" w:rsidP="00617F10">
      <w:pPr>
        <w:pStyle w:val="aa"/>
        <w:jc w:val="both"/>
      </w:pPr>
      <w:r w:rsidRPr="00544986">
        <w:t>2) об оспаривании нормативных правовых актов органов государственной власти субъектов Российской Федерации, затрагивающих права, свободы и законные интересы граждан и организаций;</w:t>
      </w:r>
    </w:p>
    <w:p w:rsidR="00A838A7" w:rsidRPr="00544986" w:rsidRDefault="00A838A7" w:rsidP="00617F10">
      <w:pPr>
        <w:pStyle w:val="aa"/>
        <w:jc w:val="both"/>
      </w:pPr>
      <w:r w:rsidRPr="00544986">
        <w:t>3) о приостановлении деятельности или ликвидации регионального отделения либо иного структурного подразделения политической партии, межрегиональных и региональных общественных объединений; о</w:t>
      </w:r>
      <w:r w:rsidR="00544986">
        <w:t xml:space="preserve"> </w:t>
      </w:r>
      <w:r w:rsidRPr="00544986">
        <w:t>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РФ; о</w:t>
      </w:r>
      <w:r w:rsidR="00544986">
        <w:t xml:space="preserve"> </w:t>
      </w:r>
      <w:r w:rsidRPr="00544986">
        <w:t>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РФ; о</w:t>
      </w:r>
      <w:r w:rsidR="00544986">
        <w:t xml:space="preserve"> </w:t>
      </w:r>
      <w:r w:rsidRPr="00544986">
        <w:t>приостановлении или прекращении деятельности средств массовой информации, распространяемых преимущественно на территории одного субъекта РФ;</w:t>
      </w:r>
    </w:p>
    <w:p w:rsidR="00A838A7" w:rsidRPr="00544986" w:rsidRDefault="00A838A7" w:rsidP="00617F10">
      <w:pPr>
        <w:pStyle w:val="aa"/>
        <w:jc w:val="both"/>
      </w:pPr>
      <w:r w:rsidRPr="00544986">
        <w:t>4) об оспаривании решений (уклонения от принятия решений) избирательных комиссий субъектов РФ, окружных избирательных комиссий по выборам в федеральные органы государственной власти, окружных избирательных комиссий по выборам в законодательные (представительные) органы государственной власти субъектов РФ, соответствующих комиссий референдума, за исключением решений, оставляющих в силе решения нижестоящих избирательных комиссий или соответствующих комиссий референдума.</w:t>
      </w:r>
    </w:p>
    <w:p w:rsidR="0073252B" w:rsidRPr="00544986" w:rsidRDefault="00A838A7" w:rsidP="00617F10">
      <w:pPr>
        <w:pStyle w:val="aa"/>
        <w:jc w:val="both"/>
      </w:pPr>
      <w:r w:rsidRPr="00544986">
        <w:t>Законом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544986" w:rsidRDefault="0073252B" w:rsidP="00617F10">
      <w:pPr>
        <w:pStyle w:val="aa"/>
        <w:jc w:val="both"/>
      </w:pPr>
      <w:r w:rsidRPr="00544986">
        <w:t>Установленную законом территориальную подсудность стороны вправе изменить соглашением между собой (ст. 32 ГПК) [1].</w:t>
      </w:r>
    </w:p>
    <w:p w:rsidR="00544986" w:rsidRDefault="0073252B" w:rsidP="00617F10">
      <w:pPr>
        <w:pStyle w:val="aa"/>
        <w:jc w:val="both"/>
      </w:pPr>
      <w:r w:rsidRPr="00544986">
        <w:t>Такая подсудность по конкретному делу именуется договорной (добровольной).</w:t>
      </w:r>
    </w:p>
    <w:p w:rsidR="0073252B" w:rsidRPr="00544986" w:rsidRDefault="0073252B" w:rsidP="00617F10">
      <w:pPr>
        <w:pStyle w:val="aa"/>
        <w:jc w:val="both"/>
      </w:pPr>
      <w:r w:rsidRPr="00544986">
        <w:t>Соглашение о подсудности иначе называется пророгацией или пророгационным договором. Такое изменение подсудности возможно в допустимых законом пределах и только до принятия дела судом к своему производству. Во-первых, договорная подсудность допустима для любых категорий дел, кроме дел, для которых установлена исключительная подсудность (см. ст. 30 ГПК) [1]. Во-вторых, соглашением нельзя изменить или отменить родовую подсудность.</w:t>
      </w:r>
    </w:p>
    <w:p w:rsidR="0073252B" w:rsidRPr="00544986" w:rsidRDefault="0073252B" w:rsidP="00617F10">
      <w:pPr>
        <w:pStyle w:val="aa"/>
        <w:jc w:val="both"/>
      </w:pPr>
      <w:r w:rsidRPr="00544986">
        <w:t>Соглашения сторон об изменении родовой или исключительной подсудности являются недействительными.</w:t>
      </w:r>
    </w:p>
    <w:p w:rsidR="0073252B" w:rsidRPr="00544986" w:rsidRDefault="0073252B" w:rsidP="00617F10">
      <w:pPr>
        <w:pStyle w:val="aa"/>
        <w:jc w:val="both"/>
      </w:pPr>
      <w:r w:rsidRPr="00544986">
        <w:t>По смыслу ст. 32 ГПК стороны вправе изменить общую и альтернативную подсудность.</w:t>
      </w:r>
    </w:p>
    <w:p w:rsidR="00544986" w:rsidRDefault="0073252B" w:rsidP="00617F10">
      <w:pPr>
        <w:pStyle w:val="aa"/>
        <w:jc w:val="both"/>
      </w:pPr>
      <w:r w:rsidRPr="00544986">
        <w:t>ГПК не устанавливает определенной формы для соглашения сторон относительно подсудности.</w:t>
      </w:r>
    </w:p>
    <w:p w:rsidR="0073252B" w:rsidRPr="00544986" w:rsidRDefault="0073252B" w:rsidP="00617F10">
      <w:pPr>
        <w:pStyle w:val="aa"/>
        <w:jc w:val="both"/>
      </w:pPr>
      <w:r w:rsidRPr="00544986">
        <w:t>Договорная подсудность может быть определена сторонами при заключении определенного гражданско-правового договора в отношении тех споров, которые могут возникнуть из данного договора. Допустимо установление такой подсудности самостоятельным соглашением сторон, в отношении, как возникших споров, так и могущих возникнуть в будущем из заключенного договора. Предметом соглашения может быть одно или несколько дел.</w:t>
      </w:r>
    </w:p>
    <w:p w:rsidR="0073252B" w:rsidRPr="00544986" w:rsidRDefault="0073252B" w:rsidP="00617F10">
      <w:pPr>
        <w:pStyle w:val="aa"/>
        <w:jc w:val="both"/>
      </w:pPr>
      <w:r w:rsidRPr="00544986">
        <w:t>Соглашение об изменении подсудности дела, заключенное по правилам ст. 32, обязательно для суда.</w:t>
      </w:r>
    </w:p>
    <w:p w:rsidR="0073252B" w:rsidRPr="00544986" w:rsidRDefault="0073252B" w:rsidP="00617F10">
      <w:pPr>
        <w:pStyle w:val="aa"/>
        <w:jc w:val="both"/>
      </w:pPr>
      <w:r w:rsidRPr="00544986">
        <w:t>После предъявления иска с соблюдением правил подсудности, установленных ст. 28, 29, ч. 1 ст. 31 ГПК, и принятия судом искового заявления к производству (ст. 133 ГПК) заключение сторонами соглашения об изменении подсудности не допускается.</w:t>
      </w:r>
    </w:p>
    <w:p w:rsidR="0073252B" w:rsidRPr="00544986" w:rsidRDefault="0073252B" w:rsidP="00617F10">
      <w:pPr>
        <w:pStyle w:val="aa"/>
        <w:jc w:val="both"/>
      </w:pPr>
      <w:r w:rsidRPr="00544986">
        <w:t>Соглашение о подсудности обязательно для сторон. Поэтому если истец предъявит требование в каком-либо другом суде, не оговоренном в договоре, ответчик вправе заявить возражения о неподсудности. Напротив, ответчик лишен такого права, если даже дело по общему правилу территориальной подсудности подлежит ведению другого суда.</w:t>
      </w:r>
    </w:p>
    <w:p w:rsidR="004A3283" w:rsidRPr="00544986" w:rsidRDefault="004A3283" w:rsidP="00617F10">
      <w:pPr>
        <w:pStyle w:val="aa"/>
        <w:jc w:val="both"/>
      </w:pPr>
    </w:p>
    <w:p w:rsidR="00A838A7" w:rsidRPr="00544986" w:rsidRDefault="00A838A7" w:rsidP="00617F10">
      <w:pPr>
        <w:pStyle w:val="aa"/>
        <w:jc w:val="both"/>
      </w:pPr>
      <w:r w:rsidRPr="00544986">
        <w:t>ЗАДАЧА</w:t>
      </w:r>
      <w:r w:rsidR="00544986">
        <w:t xml:space="preserve"> </w:t>
      </w:r>
      <w:r w:rsidRPr="00544986">
        <w:t>II</w:t>
      </w:r>
    </w:p>
    <w:p w:rsidR="00A838A7" w:rsidRPr="00544986" w:rsidRDefault="00A838A7" w:rsidP="00617F10">
      <w:pPr>
        <w:pStyle w:val="aa"/>
        <w:jc w:val="both"/>
      </w:pPr>
    </w:p>
    <w:p w:rsidR="00A838A7" w:rsidRPr="00544986" w:rsidRDefault="002F045B" w:rsidP="00617F10">
      <w:pPr>
        <w:pStyle w:val="aa"/>
        <w:jc w:val="both"/>
      </w:pPr>
      <w:r w:rsidRPr="00544986">
        <w:t>Сумцов, отбывающий наказание</w:t>
      </w:r>
      <w:r w:rsidR="00544986">
        <w:t xml:space="preserve"> </w:t>
      </w:r>
      <w:r w:rsidRPr="00544986">
        <w:t>в исправительном учреждении, подал заявление о расторжении брака с супругой и выдал доверенность своему брату для участия в деле в качестве представителя. Доверенность была удостоверена начальником учреждения.</w:t>
      </w:r>
    </w:p>
    <w:p w:rsidR="002F045B" w:rsidRPr="00544986" w:rsidRDefault="002F045B" w:rsidP="00617F10">
      <w:pPr>
        <w:pStyle w:val="aa"/>
        <w:jc w:val="both"/>
      </w:pPr>
      <w:r w:rsidRPr="00544986">
        <w:t>Получив доверенность, брат истца заключил договор поручения для ведения дела в суде юридической консультацией.</w:t>
      </w:r>
    </w:p>
    <w:p w:rsidR="002F045B" w:rsidRPr="00544986" w:rsidRDefault="002F045B" w:rsidP="00617F10">
      <w:pPr>
        <w:pStyle w:val="aa"/>
        <w:jc w:val="both"/>
      </w:pPr>
      <w:r w:rsidRPr="00544986">
        <w:t>Правомерны ли действия Сумцова и его брата? К какому виду относится данное представительство?</w:t>
      </w:r>
    </w:p>
    <w:p w:rsidR="002F045B" w:rsidRPr="00544986" w:rsidRDefault="002F045B" w:rsidP="00617F10">
      <w:pPr>
        <w:pStyle w:val="aa"/>
        <w:jc w:val="both"/>
      </w:pPr>
      <w:r w:rsidRPr="00544986">
        <w:t>Решение:</w:t>
      </w:r>
    </w:p>
    <w:p w:rsidR="0073252B" w:rsidRPr="00544986" w:rsidRDefault="0073252B" w:rsidP="00617F10">
      <w:pPr>
        <w:pStyle w:val="aa"/>
        <w:jc w:val="both"/>
      </w:pPr>
      <w:r w:rsidRPr="00544986">
        <w:t>Да, действия Сумцова и его брата правомерны.</w:t>
      </w:r>
    </w:p>
    <w:p w:rsidR="00544986" w:rsidRDefault="0028061A" w:rsidP="00617F10">
      <w:pPr>
        <w:pStyle w:val="aa"/>
        <w:jc w:val="both"/>
      </w:pPr>
      <w:r w:rsidRPr="00544986">
        <w:t>В соответствии со ст. 48 ГПК РФ</w:t>
      </w:r>
      <w:r w:rsidR="00BD65D4" w:rsidRPr="00544986">
        <w:t xml:space="preserve"> [1]</w:t>
      </w:r>
      <w:r w:rsidRPr="00544986">
        <w:t xml:space="preserve"> граждане вправе вести свои дела в суде лично или через представителей.</w:t>
      </w:r>
    </w:p>
    <w:p w:rsidR="00544986" w:rsidRDefault="0028061A" w:rsidP="00617F10">
      <w:pPr>
        <w:pStyle w:val="aa"/>
        <w:jc w:val="both"/>
      </w:pPr>
      <w:r w:rsidRPr="00544986">
        <w:t>Личное участие в деле гражданина не лишает его права иметь по этому делу представителя</w:t>
      </w:r>
      <w:r w:rsidR="00BD65D4" w:rsidRPr="00544986">
        <w:t>[3, с. 146]</w:t>
      </w:r>
      <w:r w:rsidRPr="00544986">
        <w:t>.</w:t>
      </w:r>
    </w:p>
    <w:p w:rsidR="00544986" w:rsidRDefault="0028061A" w:rsidP="00617F10">
      <w:pPr>
        <w:pStyle w:val="aa"/>
        <w:jc w:val="both"/>
      </w:pPr>
      <w:r w:rsidRPr="00544986">
        <w:t>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28061A" w:rsidRPr="00544986" w:rsidRDefault="0028061A" w:rsidP="00617F10">
      <w:pPr>
        <w:pStyle w:val="aa"/>
        <w:jc w:val="both"/>
      </w:pPr>
      <w:r w:rsidRPr="00544986">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 От имени ликвидируемой организации в суде выступает уполномоченный представитель ликвидационной комиссии. Представительство интересов организации в суде обычно осуществляют либо сами должностные лица, либо штатные юристы, либо адвокаты, осуществляющие обслуживание организаций по договорам или по разовым соглашениям.</w:t>
      </w:r>
    </w:p>
    <w:p w:rsidR="00544986" w:rsidRDefault="0028061A" w:rsidP="00617F10">
      <w:pPr>
        <w:pStyle w:val="aa"/>
        <w:jc w:val="both"/>
      </w:pPr>
      <w:r w:rsidRPr="00544986">
        <w:t>Судебные представители – это лица,</w:t>
      </w:r>
      <w:r w:rsidR="00BD65D4" w:rsidRPr="00544986">
        <w:t xml:space="preserve"> </w:t>
      </w:r>
      <w:r w:rsidRPr="00544986">
        <w:t>выступающие в судебном процессе от имени представляемого на основе предоставленных им полномочий по оказанию помощи в осуществлении прав представляемого, предотвращению нарушения этих прав и оказания суду содействия в процессе</w:t>
      </w:r>
      <w:r w:rsidR="00BD65D4" w:rsidRPr="00544986">
        <w:t xml:space="preserve"> [7, с. 54]</w:t>
      </w:r>
      <w:r w:rsidRPr="00544986">
        <w:t>.</w:t>
      </w:r>
    </w:p>
    <w:p w:rsidR="00544986" w:rsidRDefault="0028061A" w:rsidP="00617F10">
      <w:pPr>
        <w:pStyle w:val="aa"/>
        <w:jc w:val="both"/>
      </w:pPr>
      <w:r w:rsidRPr="00544986">
        <w:t>Соответственно судебное представительство – это участие представителя в гражданском процессе по представлению интересов лица, участвующего в процессе</w:t>
      </w:r>
      <w:r w:rsidR="00BD65D4" w:rsidRPr="00544986">
        <w:t xml:space="preserve"> [7, с. 54]</w:t>
      </w:r>
      <w:r w:rsidRPr="00544986">
        <w:t>.</w:t>
      </w:r>
    </w:p>
    <w:p w:rsidR="00544986" w:rsidRDefault="0028061A" w:rsidP="00617F10">
      <w:pPr>
        <w:pStyle w:val="aa"/>
        <w:jc w:val="both"/>
      </w:pPr>
      <w:r w:rsidRPr="00544986">
        <w:t>В соответствии с ч. 3</w:t>
      </w:r>
      <w:r w:rsidR="00544986">
        <w:t xml:space="preserve"> </w:t>
      </w:r>
      <w:r w:rsidRPr="00544986">
        <w:t>ст. 37 ГПК РФ</w:t>
      </w:r>
      <w:r w:rsidR="00BD65D4" w:rsidRPr="00544986">
        <w:t xml:space="preserve"> [1]</w:t>
      </w:r>
      <w:r w:rsidRPr="00544986">
        <w:t xml:space="preserve"> права и законные интересы несовершеннолетних в возрасте от 14 до 18 лет, а также лиц, ограниченных в дееспособности, выступающих в процессе в качестве ответчика, защищают в суде их законные представители в лице родителей, усыновителей, попечителей.</w:t>
      </w:r>
    </w:p>
    <w:p w:rsidR="0028061A" w:rsidRPr="00544986" w:rsidRDefault="0028061A" w:rsidP="00617F10">
      <w:pPr>
        <w:pStyle w:val="aa"/>
        <w:jc w:val="both"/>
      </w:pPr>
      <w:r w:rsidRPr="00544986">
        <w:t>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Таким образом, при вынесении неблагоприятного для ответчика решения исполнение судебного решения может быть произведено за счет имущества законных представителей.</w:t>
      </w:r>
    </w:p>
    <w:p w:rsidR="0028061A" w:rsidRPr="00544986" w:rsidRDefault="0028061A" w:rsidP="00617F10">
      <w:pPr>
        <w:pStyle w:val="aa"/>
        <w:jc w:val="both"/>
      </w:pPr>
      <w:r w:rsidRPr="00544986">
        <w:t>В судебном представительстве действуют два типа правоотношений: внешнее – у представителя с судом и внутреннее – у представителя с представляемым. Внешние отношения регулируются только нормами гражданского процессуального права. Отношения представителя с представляемым (внутренние отношения) регламентированы нормами материального права</w:t>
      </w:r>
      <w:r w:rsidR="00BD65D4" w:rsidRPr="00544986">
        <w:t xml:space="preserve"> [3, с. 147]</w:t>
      </w:r>
      <w:r w:rsidRPr="00544986">
        <w:t>.</w:t>
      </w:r>
    </w:p>
    <w:p w:rsidR="00544986" w:rsidRDefault="0028061A" w:rsidP="00617F10">
      <w:pPr>
        <w:pStyle w:val="aa"/>
        <w:jc w:val="both"/>
      </w:pPr>
      <w:r w:rsidRPr="00544986">
        <w:t>Гражданское процессуальное представительство имеет сходные черты с представительством в материальных правоотношениях, однако их смешивание недопустимо</w:t>
      </w:r>
      <w:r w:rsidR="00BD65D4" w:rsidRPr="00544986">
        <w:t xml:space="preserve"> [3, с. 147]</w:t>
      </w:r>
      <w:r w:rsidRPr="00544986">
        <w:t>.</w:t>
      </w:r>
    </w:p>
    <w:p w:rsidR="00544986" w:rsidRDefault="0028061A" w:rsidP="00617F10">
      <w:pPr>
        <w:pStyle w:val="aa"/>
        <w:jc w:val="both"/>
      </w:pPr>
      <w:r w:rsidRPr="00544986">
        <w:t>Гражданское представительство действует на основании норм гражданского законодательства, судебное на основании норм ГПК РФ</w:t>
      </w:r>
      <w:r w:rsidR="00BD65D4" w:rsidRPr="00544986">
        <w:t xml:space="preserve"> [1]</w:t>
      </w:r>
      <w:r w:rsidRPr="00544986">
        <w:t>. Представитель в гражданском праве действует в целях заключения сделок от имени и в интересах представляемого.</w:t>
      </w:r>
    </w:p>
    <w:p w:rsidR="00544986" w:rsidRDefault="0028061A" w:rsidP="00617F10">
      <w:pPr>
        <w:pStyle w:val="aa"/>
        <w:jc w:val="both"/>
      </w:pPr>
      <w:r w:rsidRPr="00544986">
        <w:t>Судебное представительство характеризуется полномочиями только на совершение процессуальных действий. Полномочия судебного представителя, в отличие от представителя в материальном праве, могут быть определены также в устном заявлении, занесенном в протокол судебного заседания, или письменном заявлении доверителя в суде.</w:t>
      </w:r>
    </w:p>
    <w:p w:rsidR="0028061A" w:rsidRPr="00544986" w:rsidRDefault="0028061A" w:rsidP="00617F10">
      <w:pPr>
        <w:pStyle w:val="aa"/>
        <w:jc w:val="both"/>
      </w:pPr>
      <w:r w:rsidRPr="00544986">
        <w:t>Цель представительства в гражданском праве – создание, изменение или прекращение гражданских прав и обязанностей у представляемого (ст. 182 ГК РФ)</w:t>
      </w:r>
      <w:r w:rsidR="00BD65D4" w:rsidRPr="00544986">
        <w:t xml:space="preserve"> [1]</w:t>
      </w:r>
      <w:r w:rsidRPr="00544986">
        <w:t>. Судебное представительство необходимо для защиты прав, свобод и законных интересов граждан.</w:t>
      </w:r>
    </w:p>
    <w:p w:rsidR="00BD65D4" w:rsidRPr="00544986" w:rsidRDefault="00BD65D4" w:rsidP="00617F10">
      <w:pPr>
        <w:pStyle w:val="aa"/>
        <w:jc w:val="both"/>
      </w:pPr>
      <w:r w:rsidRPr="00544986">
        <w:t>Данный тип представительства относится к</w:t>
      </w:r>
      <w:r w:rsidR="00544986">
        <w:t xml:space="preserve"> </w:t>
      </w:r>
      <w:r w:rsidRPr="00544986">
        <w:t>добровольному договорному представительству.</w:t>
      </w:r>
    </w:p>
    <w:p w:rsidR="00544986" w:rsidRDefault="00BD65D4" w:rsidP="00617F10">
      <w:pPr>
        <w:pStyle w:val="aa"/>
        <w:jc w:val="both"/>
      </w:pPr>
      <w:r w:rsidRPr="00544986">
        <w:t>В договорном представительстве отношения между представителем и представляемым в основном строятся на основании гражданско-правового договора поручения, по которому одна сторона (представляемый) поручает другой стороне (представителю) ведение своего гражданского дела в суде, а другая сторона принимает на себя эти обязанности [5, с. 62].</w:t>
      </w:r>
    </w:p>
    <w:p w:rsidR="00BD65D4" w:rsidRPr="00544986" w:rsidRDefault="00BD65D4" w:rsidP="00617F10">
      <w:pPr>
        <w:pStyle w:val="aa"/>
        <w:jc w:val="both"/>
      </w:pPr>
      <w:r w:rsidRPr="00544986">
        <w:t>Поскольку в отечественном законодательстве не закреплена адвокатская монополия на ведение дел в суде, представителем также могут быть юристы неадвокатских юридических фирм и другие граждане [5, с. 62].</w:t>
      </w:r>
    </w:p>
    <w:p w:rsidR="00BD65D4" w:rsidRPr="00544986" w:rsidRDefault="00BD65D4" w:rsidP="00617F10">
      <w:pPr>
        <w:pStyle w:val="aa"/>
        <w:jc w:val="both"/>
      </w:pPr>
      <w:r w:rsidRPr="00544986">
        <w:t>Отношения между представляемым и представителем-гражданином могут строиться на основе простой устной договоренности. Юридические фирмы и адвокаты обычно составляют договор-соглашение на осуществление судебного представительства. Наиболее часто в качестве судебных представителей выступают адвокаты. Это объясняется специфическим характером адвокатской деятельности, особым положением адвокатуры, высоким профессиональным уровнем адвокатов (для получения адвокатского статуса необходим стаж работы по специальности и сдача квалификационного экзамена). Федеральный закон «Об адвокатской деятельности и адвокатуре в Российской Федерации» закрепил правовой статус адвокатуры, основные положения адвокатской деятельности и статуса адвоката.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Адвокатура действует на основе принципов законности, независимости, самоуправления, корпоративности, а также принципа равноправия адвокатов.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 (ст. 3</w:t>
      </w:r>
      <w:r w:rsidR="00544986">
        <w:t xml:space="preserve"> </w:t>
      </w:r>
      <w:r w:rsidRPr="00544986">
        <w:t>указанного Закона).</w:t>
      </w:r>
    </w:p>
    <w:p w:rsidR="0028061A" w:rsidRPr="00544986" w:rsidRDefault="0028061A" w:rsidP="00617F10">
      <w:pPr>
        <w:pStyle w:val="aa"/>
        <w:jc w:val="both"/>
      </w:pPr>
      <w:r w:rsidRPr="00544986">
        <w:t>В соответствии со ст. 49 ГПК РФ</w:t>
      </w:r>
      <w:r w:rsidR="00BD65D4" w:rsidRPr="00544986">
        <w:t xml:space="preserve"> [1]</w:t>
      </w:r>
      <w:r w:rsidRPr="00544986">
        <w:t xml:space="preserve"> представителями в суде могут быть дееспособные лица, имеющие надлежащим образом оформленные полномочия на ведение дела.</w:t>
      </w:r>
    </w:p>
    <w:p w:rsidR="0028061A" w:rsidRPr="00544986" w:rsidRDefault="0028061A" w:rsidP="00617F10">
      <w:pPr>
        <w:pStyle w:val="aa"/>
        <w:jc w:val="both"/>
      </w:pPr>
      <w:r w:rsidRPr="00544986">
        <w:t>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 Это происходит при поручении ведения дела несколькими соучастниками одному из них, а также при заявлении лица на процессе о желании иметь конкретного представителя.</w:t>
      </w:r>
    </w:p>
    <w:p w:rsidR="00544986" w:rsidRDefault="0028061A" w:rsidP="00617F10">
      <w:pPr>
        <w:pStyle w:val="aa"/>
        <w:jc w:val="both"/>
      </w:pPr>
      <w:r w:rsidRPr="00544986">
        <w:t>Во всех иных случаях полномочия представителя удостоверяются доверенностью.</w:t>
      </w:r>
    </w:p>
    <w:p w:rsidR="0028061A" w:rsidRPr="00544986" w:rsidRDefault="0028061A" w:rsidP="00617F10">
      <w:pPr>
        <w:pStyle w:val="aa"/>
        <w:jc w:val="both"/>
      </w:pPr>
      <w:r w:rsidRPr="00544986">
        <w:t>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28061A" w:rsidRPr="00544986" w:rsidRDefault="0028061A" w:rsidP="00617F10">
      <w:pPr>
        <w:pStyle w:val="aa"/>
        <w:jc w:val="both"/>
      </w:pPr>
      <w:r w:rsidRPr="00544986">
        <w:t>В соответствии с ч. 1</w:t>
      </w:r>
      <w:r w:rsidR="00544986">
        <w:t xml:space="preserve"> </w:t>
      </w:r>
      <w:r w:rsidRPr="00544986">
        <w:t>ст. 185 ГК РФ, доверенностью признается письменное уполномочие, выдаваемое одним лицом другому лицу для представительства перед третьими лицами (в рассматриваемом нами случае для представительства перед судом).</w:t>
      </w:r>
    </w:p>
    <w:p w:rsidR="0028061A" w:rsidRPr="00544986" w:rsidRDefault="0028061A" w:rsidP="00617F10">
      <w:pPr>
        <w:pStyle w:val="aa"/>
        <w:jc w:val="both"/>
      </w:pPr>
      <w:r w:rsidRPr="00544986">
        <w:t>Штатный юрист организации действует на основании доверенности, выдаваемой организацией.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28061A" w:rsidRPr="00544986" w:rsidRDefault="0028061A" w:rsidP="00617F10">
      <w:pPr>
        <w:pStyle w:val="aa"/>
        <w:jc w:val="both"/>
      </w:pPr>
      <w:r w:rsidRPr="00544986">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28061A" w:rsidRPr="00544986" w:rsidRDefault="0028061A" w:rsidP="00617F10">
      <w:pPr>
        <w:pStyle w:val="aa"/>
        <w:jc w:val="both"/>
      </w:pPr>
      <w:r w:rsidRPr="00544986">
        <w:t>В тексте доверенности должны быть указаны место и дата ее составления (подписания), фамилия, имя, отчество и место жительства лица, выдавшего доверенность, и лица, на имя которого она выдана. В доверенности на имя адвоката указывается место его работы (юридическая консультация). В доверенности, выдаваемой от имени юридического лица, указывается его полное наименование, место нахождения руководящего органа и должностное положение лица, подписавшего доверенность.</w:t>
      </w:r>
    </w:p>
    <w:p w:rsidR="0028061A" w:rsidRPr="00544986" w:rsidRDefault="0028061A" w:rsidP="00617F10">
      <w:pPr>
        <w:pStyle w:val="aa"/>
        <w:jc w:val="both"/>
      </w:pPr>
      <w:r w:rsidRPr="00544986">
        <w:t>Срок действия доверенности не может превышать трех лет. Если срок в доверенности не указан, она сохраняет силу в течение года со дня ее совершения. Доверенность, в которой не указана дата ее совершения, ничтожна (ст. 186 ГК РФ).</w:t>
      </w:r>
    </w:p>
    <w:p w:rsidR="0028061A" w:rsidRPr="00544986" w:rsidRDefault="0028061A" w:rsidP="00617F10">
      <w:pPr>
        <w:pStyle w:val="aa"/>
        <w:jc w:val="both"/>
      </w:pPr>
    </w:p>
    <w:p w:rsidR="00BD65D4" w:rsidRPr="00544986" w:rsidRDefault="00617F10" w:rsidP="00617F10">
      <w:pPr>
        <w:pStyle w:val="aa"/>
        <w:jc w:val="both"/>
      </w:pPr>
      <w:r>
        <w:br w:type="page"/>
      </w:r>
      <w:r w:rsidR="00BD65D4" w:rsidRPr="00544986">
        <w:t>ЗАДАЧА</w:t>
      </w:r>
      <w:r w:rsidR="00544986">
        <w:t xml:space="preserve"> </w:t>
      </w:r>
      <w:r w:rsidR="00BD65D4" w:rsidRPr="00544986">
        <w:t>III</w:t>
      </w:r>
    </w:p>
    <w:p w:rsidR="00BD65D4" w:rsidRPr="00544986" w:rsidRDefault="00BD65D4" w:rsidP="00617F10">
      <w:pPr>
        <w:pStyle w:val="aa"/>
        <w:jc w:val="both"/>
      </w:pPr>
    </w:p>
    <w:p w:rsidR="00BD65D4" w:rsidRPr="00544986" w:rsidRDefault="00BD65D4" w:rsidP="00617F10">
      <w:pPr>
        <w:pStyle w:val="aa"/>
        <w:jc w:val="both"/>
      </w:pPr>
      <w:r w:rsidRPr="00544986">
        <w:t>Иванов обратился с иском к ООО «Восход» о взыскании стоимости проданных ему некачественных часов. Судья вынес определение об оставлении дела без движения в связи с тем, что Иванов не предоставил в суд документов, подтверждающих уплату государственной пошлины.</w:t>
      </w:r>
    </w:p>
    <w:p w:rsidR="00BD65D4" w:rsidRPr="00544986" w:rsidRDefault="00BD65D4" w:rsidP="00617F10">
      <w:pPr>
        <w:pStyle w:val="aa"/>
        <w:jc w:val="both"/>
      </w:pPr>
      <w:r w:rsidRPr="00544986">
        <w:t>Правильно ли поступил суд? Каковы могут быть дальнейшие действия истца?</w:t>
      </w:r>
    </w:p>
    <w:p w:rsidR="00BD65D4" w:rsidRPr="00544986" w:rsidRDefault="00BD65D4" w:rsidP="00617F10">
      <w:pPr>
        <w:pStyle w:val="aa"/>
        <w:jc w:val="both"/>
      </w:pPr>
      <w:r w:rsidRPr="00544986">
        <w:t>Решение:</w:t>
      </w:r>
    </w:p>
    <w:p w:rsidR="00544986" w:rsidRDefault="00895A5F" w:rsidP="00617F10">
      <w:pPr>
        <w:pStyle w:val="aa"/>
        <w:jc w:val="both"/>
      </w:pPr>
      <w:r w:rsidRPr="00544986">
        <w:t>Под государственной пошлиной понимается установленный законом обязательный и действующий на всей территории Российской Федерации платеж, взимаемый за совершение юридически значимых действий (например, принятие искового заявления, апелляционной, кассационной, надзорной жалоб) либо выдачу документов [8, с. 38].</w:t>
      </w:r>
    </w:p>
    <w:p w:rsidR="00895A5F" w:rsidRPr="00544986" w:rsidRDefault="00895A5F" w:rsidP="00617F10">
      <w:pPr>
        <w:pStyle w:val="aa"/>
        <w:jc w:val="both"/>
      </w:pPr>
      <w:r w:rsidRPr="00544986">
        <w:t>Размер и порядок оплаты государственной пошлины регулируется Законом РФ от 9 декабря 1991г. «О государственной пошлине» (с изм. и доп.).</w:t>
      </w:r>
    </w:p>
    <w:p w:rsidR="00895A5F" w:rsidRPr="00544986" w:rsidRDefault="00895A5F" w:rsidP="00617F10">
      <w:pPr>
        <w:pStyle w:val="aa"/>
        <w:jc w:val="both"/>
      </w:pPr>
      <w:r w:rsidRPr="00544986">
        <w:t>Различают два вида государственный пошлины:</w:t>
      </w:r>
    </w:p>
    <w:p w:rsidR="00895A5F" w:rsidRPr="00544986" w:rsidRDefault="00895A5F" w:rsidP="00617F10">
      <w:pPr>
        <w:pStyle w:val="aa"/>
        <w:jc w:val="both"/>
      </w:pPr>
      <w:r w:rsidRPr="00544986">
        <w:t>1) пропорциональная — взыскивается с исковых заявлений и жалоб на решения суда по делам имущественного характера и зависит от цены иска, определяемой по правилам, установленным ст. 91 ГПК [1];</w:t>
      </w:r>
    </w:p>
    <w:p w:rsidR="00895A5F" w:rsidRPr="00544986" w:rsidRDefault="00895A5F" w:rsidP="00617F10">
      <w:pPr>
        <w:pStyle w:val="aa"/>
        <w:jc w:val="both"/>
      </w:pPr>
      <w:r w:rsidRPr="00544986">
        <w:t>2) фиксированная, которая определяется в зависимости от категории или сущности требования, подлежащего оплате государственной пошлиной в размере, кратном установленному законом минимальному размеру оплаты труда.</w:t>
      </w:r>
    </w:p>
    <w:p w:rsidR="00895A5F" w:rsidRPr="00544986" w:rsidRDefault="00895A5F" w:rsidP="00617F10">
      <w:pPr>
        <w:pStyle w:val="aa"/>
        <w:jc w:val="both"/>
      </w:pPr>
      <w:r w:rsidRPr="00544986">
        <w:t>Первый вид государственной пошлины — пропорциональная — зависит от цены иска.</w:t>
      </w:r>
    </w:p>
    <w:p w:rsidR="00895A5F" w:rsidRPr="00544986" w:rsidRDefault="00895A5F" w:rsidP="00617F10">
      <w:pPr>
        <w:pStyle w:val="aa"/>
        <w:jc w:val="both"/>
      </w:pPr>
      <w:r w:rsidRPr="00544986">
        <w:t>Цена иска представляет собой институт искового производства, характеризующий стоимостное денежное выражение предмета спора между истцом (третьим лицом, заявляющим самостоятельные требования относительно предмета спора в порядке ст. 42 ГПК) [1] и ответчиком. Цена иска не определяется по неимущественным взысканиям, а также по делам особого производства, перечисленным в ст. 262 ГПК [1], и производства по делам, возникающим из публичных правоотношений, указанным в ст. 245 ГПК [1].</w:t>
      </w:r>
    </w:p>
    <w:p w:rsidR="00544986" w:rsidRDefault="00895A5F" w:rsidP="00617F10">
      <w:pPr>
        <w:pStyle w:val="aa"/>
        <w:jc w:val="both"/>
      </w:pPr>
      <w:r w:rsidRPr="00544986">
        <w:t>Что касается требований о возмещении морального вреда, то цена иска в них также не обозначается.</w:t>
      </w:r>
    </w:p>
    <w:p w:rsidR="00895A5F" w:rsidRPr="00544986" w:rsidRDefault="00895A5F" w:rsidP="00617F10">
      <w:pPr>
        <w:pStyle w:val="aa"/>
        <w:jc w:val="both"/>
      </w:pPr>
      <w:r w:rsidRPr="00544986">
        <w:t>Обозначение цены иска по исковым требованиям, подлежащим денежной оценке, в силу ст. 131 ГПК [1] является обязательным реквизитом искового заявления, предъявляемого в суд первой инстанции. При отсутствии указания на цену иска судья, руководствуясь ст. 136 ГПК[1], выносит определение об оставлении заявления без движения.</w:t>
      </w:r>
    </w:p>
    <w:p w:rsidR="00895A5F" w:rsidRPr="00544986" w:rsidRDefault="00895A5F" w:rsidP="00617F10">
      <w:pPr>
        <w:pStyle w:val="aa"/>
        <w:jc w:val="both"/>
      </w:pPr>
      <w:r w:rsidRPr="00544986">
        <w:t>Если предметом искового требования выступает конкретная денежная сумма (например, иски о взыскании долга, понуждении к исполнению других обязательств в денежной форме и т.п.), то цена иска равна самой взыскиваемой сумме. В цену иска не должны включаться судебные расходы: на оплату помощи адвоката или иного представителя, на проезд истца к месту рассмотрения дела, почтовые расходы и т.п. издержки, которые истец понес или предполагает понести в связи с рассмотрением его дела в суде.</w:t>
      </w:r>
    </w:p>
    <w:p w:rsidR="00895A5F" w:rsidRPr="00544986" w:rsidRDefault="00895A5F" w:rsidP="00617F10">
      <w:pPr>
        <w:pStyle w:val="aa"/>
        <w:jc w:val="both"/>
      </w:pPr>
      <w:r w:rsidRPr="00544986">
        <w:t>В индикационных исках, предметом которых является конкретное имущество, цена иска определяется стоимостью отыскиваемого имущества. Как правило, имущество оценивается исходя из рыночных цен, действующих на день предъявления иска, за исключением случаев, когда оценка производится по регулируемым ценам. Если объект иска составляют ценные бумаги, то при оценке учитываются их котировки в российской торговой системе. Цена иска, объектом которого выступают здания, сооружения и иное недвижимое имущество, не может быть ниже балансовой оценки строения (для строений, принадлежащих юридическим лицам), инвентаризационной оценки строения, а если инвентаризация объекта по каким-либо причинам не проведена, то не ниже оценки по договору страхования.</w:t>
      </w:r>
    </w:p>
    <w:p w:rsidR="00544986" w:rsidRDefault="00895A5F" w:rsidP="00617F10">
      <w:pPr>
        <w:pStyle w:val="aa"/>
        <w:jc w:val="both"/>
      </w:pPr>
      <w:r w:rsidRPr="00544986">
        <w:t>Определение цены иска при предъявлении требований о взысканиях периодических платежей характеризуется законодательным ограничением наибольшего периода взыскания, с общей суммы которого и устанавливается цена иска.</w:t>
      </w:r>
    </w:p>
    <w:p w:rsidR="00895A5F" w:rsidRPr="00544986" w:rsidRDefault="00895A5F" w:rsidP="00617F10">
      <w:pPr>
        <w:pStyle w:val="aa"/>
        <w:jc w:val="both"/>
      </w:pPr>
      <w:r w:rsidRPr="00544986">
        <w:t>Например, в исках о взыскании алиментов цену иска составляет совокупность алиментных платежей за один год; в исках о взыскании иных срочных платежей и выдач — совокупность всех платежей или выдач, но не более чем за три года, в исках о бессрочных или пожизненных платежах и выдачах — совокупность платежей и выдач за три года, в исках об уменьшении или увеличении платежей или выдач — сумма, на которую уменьшаются или увеличиваются платежи или выдачи, но не более чем за один год. Если в исковом заявлении речь идет о прекращении периодических платежей или выдач, цена иска рассчитывается исходя из суммы оставшихся платежей или выдач, но не более чем за один год.</w:t>
      </w:r>
    </w:p>
    <w:p w:rsidR="00895A5F" w:rsidRPr="00544986" w:rsidRDefault="00895A5F" w:rsidP="00617F10">
      <w:pPr>
        <w:pStyle w:val="aa"/>
        <w:jc w:val="both"/>
      </w:pPr>
      <w:r w:rsidRPr="00544986">
        <w:t>Во избежание недобросовестности со стороны истца, желающего исказить настоящую цену иска в целях уменьшения размера подлежащей оплате государственной пошлины, судья вправе при принятии искового заявления сам определить цену иска.</w:t>
      </w:r>
    </w:p>
    <w:p w:rsidR="00895A5F" w:rsidRPr="00544986" w:rsidRDefault="00895A5F" w:rsidP="00617F10">
      <w:pPr>
        <w:pStyle w:val="aa"/>
        <w:jc w:val="both"/>
      </w:pPr>
      <w:r w:rsidRPr="00544986">
        <w:t>При подаче кассационных и апелляционных жалоб на решения суда пошлина равна 50% от размера государственной пошлины, взимаемой при подаче исковых заявлений (жалоб) неимущественного характера, а по спорам имущественного характера — от размера государственной пошлины, исчисленной из суммы, оспариваемой стороной или другим лицом, участвующим в деле, по указанной пропорциональной схеме. Аналогично рассчитывается размер государственной пошлины с надзорных жалоб по делам, которые не были обжалованы в кассационном порядке.</w:t>
      </w:r>
    </w:p>
    <w:p w:rsidR="00895A5F" w:rsidRPr="00544986" w:rsidRDefault="00895A5F" w:rsidP="00617F10">
      <w:pPr>
        <w:pStyle w:val="aa"/>
        <w:jc w:val="both"/>
      </w:pPr>
      <w:r w:rsidRPr="00544986">
        <w:t>За повторную выдачу копий (дубликатов) решений, определений, постановлений суда, копий (дубликатов) других документов из дела, выдаваемых судом по просьбе сторон или других участвующих в деле лиц, а также за выдачу копий (дубликатов) названных документов, выдаваемых судом по просьбе заинтересованных лиц, взыскивается 1% от МРОТ за каждую страницу документа.</w:t>
      </w:r>
    </w:p>
    <w:p w:rsidR="00895A5F" w:rsidRPr="00544986" w:rsidRDefault="00895A5F" w:rsidP="00617F10">
      <w:pPr>
        <w:pStyle w:val="aa"/>
        <w:jc w:val="both"/>
      </w:pPr>
      <w:r w:rsidRPr="00544986">
        <w:t>За исковые заявления, содержащие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w:t>
      </w:r>
    </w:p>
    <w:p w:rsidR="00544986" w:rsidRDefault="00895A5F" w:rsidP="00617F10">
      <w:pPr>
        <w:pStyle w:val="aa"/>
        <w:jc w:val="both"/>
      </w:pPr>
      <w:r w:rsidRPr="00544986">
        <w:t>Квитанция об оплате прилагается к исковому заявлению или иному документу, подлежащему оплате пошлиной. Отсутствие квитанции влечет за собой отказ в совершении требуемого процессуального действия при условии, что ходатай не освобожден от уплаты судебных расходов в доход государства. Если же в нарушение требований ст. 132 ГПК [1] документ, подтверждающий оплату государственной пошлины в полном объеме, не приложен к подаваемому в суд исковому заявлению, судья, руководствуясь ст. 136 ГПК, выносит определение об оставлении заявления без движения. В этом определении истцу устанавливается разумный срок для оплаты (доплаты) пошлины, и если истец оплатит недостающую пошлину в установленное время, исковое заявление будет считаться поданным в день его первоначального представления в суд.</w:t>
      </w:r>
    </w:p>
    <w:p w:rsidR="00895A5F" w:rsidRPr="00544986" w:rsidRDefault="00895A5F" w:rsidP="00617F10">
      <w:pPr>
        <w:pStyle w:val="aa"/>
        <w:jc w:val="both"/>
      </w:pPr>
      <w:r w:rsidRPr="00544986">
        <w:t>При непредставлении истцом в указанное судьей время документа об оплате (доплате) государственной пошлины заявление считается не поданным и все документы возвращаются заявителю.</w:t>
      </w:r>
    </w:p>
    <w:p w:rsidR="00895A5F" w:rsidRPr="00544986" w:rsidRDefault="00895A5F" w:rsidP="00617F10">
      <w:pPr>
        <w:pStyle w:val="aa"/>
        <w:jc w:val="both"/>
      </w:pPr>
      <w:r w:rsidRPr="00544986">
        <w:t>Статья 89 ГПК и ст. 5 Закона «О государственной пошлине» устанавливают случаи, когда отдельным субъектам гражданских процессуальных правоотношений предоставляется процессуальная льгота по освобождению от оплаты в доход государства одного из видов судебных расходов — государственной пошлины. Например, от уплаты государственной пошлины в доход государства освобождены истцы по делам о взыскании алиментов, о защите прав потребителей, возмещении материального ущерба, причиненного преступлением. Кроме того, в отношении отдельных лиц установлено безусловное, вне зависимости от категории дела и процессуального положения, освобождение от оплаты государственной пошлины.</w:t>
      </w:r>
    </w:p>
    <w:p w:rsidR="00895A5F" w:rsidRPr="00544986" w:rsidRDefault="00895A5F" w:rsidP="00617F10">
      <w:pPr>
        <w:pStyle w:val="aa"/>
        <w:jc w:val="both"/>
      </w:pPr>
      <w:r w:rsidRPr="00544986">
        <w:t>К безусловным случаям освобождения от уплаты пошлины относят следующие категории субъектов:</w:t>
      </w:r>
    </w:p>
    <w:p w:rsidR="00895A5F" w:rsidRPr="00544986" w:rsidRDefault="00895A5F" w:rsidP="00617F10">
      <w:pPr>
        <w:pStyle w:val="aa"/>
        <w:jc w:val="both"/>
      </w:pPr>
      <w:r w:rsidRPr="00544986">
        <w:t>1) Герои Советского Союза;</w:t>
      </w:r>
    </w:p>
    <w:p w:rsidR="00895A5F" w:rsidRPr="00544986" w:rsidRDefault="00895A5F" w:rsidP="00617F10">
      <w:pPr>
        <w:pStyle w:val="aa"/>
        <w:jc w:val="both"/>
      </w:pPr>
      <w:r w:rsidRPr="00544986">
        <w:t>2) Герои Российской Федерации;</w:t>
      </w:r>
    </w:p>
    <w:p w:rsidR="00895A5F" w:rsidRPr="00544986" w:rsidRDefault="00895A5F" w:rsidP="00617F10">
      <w:pPr>
        <w:pStyle w:val="aa"/>
        <w:jc w:val="both"/>
      </w:pPr>
      <w:r w:rsidRPr="00544986">
        <w:t>3) полные кавалеры ордена Славы;</w:t>
      </w:r>
    </w:p>
    <w:p w:rsidR="00895A5F" w:rsidRPr="00544986" w:rsidRDefault="00895A5F" w:rsidP="00617F10">
      <w:pPr>
        <w:pStyle w:val="aa"/>
        <w:jc w:val="both"/>
      </w:pPr>
      <w:r w:rsidRPr="00544986">
        <w:t>4) участники и инвалиды Великой Отечественной войны;</w:t>
      </w:r>
    </w:p>
    <w:p w:rsidR="00895A5F" w:rsidRPr="00544986" w:rsidRDefault="00895A5F" w:rsidP="00617F10">
      <w:pPr>
        <w:pStyle w:val="aa"/>
        <w:jc w:val="both"/>
      </w:pPr>
      <w:r w:rsidRPr="00544986">
        <w:t>5) лица, имеющие право на эту льготу в соответствии с Законом РФ от 15 мая 1991г. «О социальной защите граждан, подвергшихся воздействию радиации вследствие катастрофы на Чернобыльской АЭС»;</w:t>
      </w:r>
    </w:p>
    <w:p w:rsidR="00895A5F" w:rsidRPr="00544986" w:rsidRDefault="00895A5F" w:rsidP="00617F10">
      <w:pPr>
        <w:pStyle w:val="aa"/>
        <w:jc w:val="both"/>
      </w:pPr>
      <w:r w:rsidRPr="00544986">
        <w:t>6) лица, имеющие право на эту льготу в соответствии с постановлением Верховного Совета РФ от 27 декабря 1991г.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D65D4" w:rsidRPr="00544986" w:rsidRDefault="00895A5F" w:rsidP="00617F10">
      <w:pPr>
        <w:pStyle w:val="aa"/>
        <w:jc w:val="both"/>
      </w:pPr>
      <w:r w:rsidRPr="00544986">
        <w:t>Установленный федеральными законами перечень случаев освобождения от уплаты государственной пошлины в доход государства является исчерпывающим только в отношении юридических лиц.</w:t>
      </w:r>
    </w:p>
    <w:p w:rsidR="00895A5F" w:rsidRPr="00544986" w:rsidRDefault="00895A5F" w:rsidP="00617F10">
      <w:pPr>
        <w:pStyle w:val="aa"/>
        <w:jc w:val="both"/>
      </w:pPr>
      <w:r w:rsidRPr="00544986">
        <w:t>Таким образом, судья не прав, так как истец освобожден от уплаты государственной пошлины.</w:t>
      </w:r>
    </w:p>
    <w:p w:rsidR="00BD65D4" w:rsidRPr="00544986" w:rsidRDefault="00BD65D4" w:rsidP="00617F10">
      <w:pPr>
        <w:pStyle w:val="aa"/>
        <w:jc w:val="both"/>
      </w:pPr>
    </w:p>
    <w:p w:rsidR="00C56491" w:rsidRPr="00544986" w:rsidRDefault="00617F10" w:rsidP="00617F10">
      <w:pPr>
        <w:pStyle w:val="aa"/>
        <w:jc w:val="both"/>
      </w:pPr>
      <w:r>
        <w:br w:type="page"/>
      </w:r>
      <w:r w:rsidR="00C56491" w:rsidRPr="00544986">
        <w:t>СПИСОК ИСПОЛЬЗУЕМОЙ</w:t>
      </w:r>
      <w:r w:rsidR="00544986">
        <w:t xml:space="preserve"> </w:t>
      </w:r>
      <w:r w:rsidR="00C56491" w:rsidRPr="00544986">
        <w:t>ЛИТЕРАТУРЫ</w:t>
      </w:r>
    </w:p>
    <w:p w:rsidR="00C56491" w:rsidRPr="00544986" w:rsidRDefault="00C56491" w:rsidP="00617F10">
      <w:pPr>
        <w:pStyle w:val="aa"/>
        <w:jc w:val="both"/>
      </w:pPr>
    </w:p>
    <w:p w:rsidR="00C56491" w:rsidRPr="00544986" w:rsidRDefault="00C56491" w:rsidP="00617F10">
      <w:pPr>
        <w:pStyle w:val="aa"/>
        <w:numPr>
          <w:ilvl w:val="0"/>
          <w:numId w:val="2"/>
        </w:numPr>
        <w:ind w:left="0" w:firstLine="0"/>
      </w:pPr>
      <w:r w:rsidRPr="00544986">
        <w:t>Гражданский процессуальный кодекс РФ от 14.11. 2002 №138-ФЗ в редакции от 25.11.2008//СПС Консультант +.- 2008 [Электронный ресурс]</w:t>
      </w:r>
    </w:p>
    <w:p w:rsidR="00C56491" w:rsidRPr="00544986" w:rsidRDefault="00C56491" w:rsidP="00617F10">
      <w:pPr>
        <w:pStyle w:val="aa"/>
        <w:numPr>
          <w:ilvl w:val="0"/>
          <w:numId w:val="2"/>
        </w:numPr>
        <w:ind w:left="0" w:firstLine="0"/>
      </w:pPr>
      <w:r w:rsidRPr="00544986">
        <w:t>Владимирова, И. А., Владимирова, С. А., Туманова, Л. В. Гражданское процессуальное право России: Учебное пособие/И. А. Владимирова, С. А. Владимирова, Л. В. Туманова.- М.: Проспект, 2006.- 304с.</w:t>
      </w:r>
    </w:p>
    <w:p w:rsidR="00C56491" w:rsidRPr="00544986" w:rsidRDefault="00C56491" w:rsidP="00617F10">
      <w:pPr>
        <w:pStyle w:val="aa"/>
        <w:numPr>
          <w:ilvl w:val="0"/>
          <w:numId w:val="2"/>
        </w:numPr>
        <w:ind w:left="0" w:firstLine="0"/>
      </w:pPr>
      <w:r w:rsidRPr="00544986">
        <w:t>Гражданское процессуальное право России/под ред. П. В. Алексия.- М.: Юнити, 2009.- 472с.</w:t>
      </w:r>
    </w:p>
    <w:p w:rsidR="00C56491" w:rsidRPr="00544986" w:rsidRDefault="00C56491" w:rsidP="00617F10">
      <w:pPr>
        <w:pStyle w:val="aa"/>
        <w:numPr>
          <w:ilvl w:val="0"/>
          <w:numId w:val="2"/>
        </w:numPr>
        <w:ind w:left="0" w:firstLine="0"/>
      </w:pPr>
      <w:r w:rsidRPr="00544986">
        <w:t>Гражданский</w:t>
      </w:r>
      <w:r w:rsidR="00544986">
        <w:t xml:space="preserve"> </w:t>
      </w:r>
      <w:r w:rsidRPr="00544986">
        <w:t>процесс России/под ред. М. А. Викут.- М.: Юристъ, 2005.- 480с.</w:t>
      </w:r>
    </w:p>
    <w:p w:rsidR="00544986" w:rsidRDefault="00C56491" w:rsidP="00617F10">
      <w:pPr>
        <w:pStyle w:val="aa"/>
        <w:numPr>
          <w:ilvl w:val="0"/>
          <w:numId w:val="2"/>
        </w:numPr>
        <w:ind w:left="0" w:firstLine="0"/>
      </w:pPr>
      <w:r w:rsidRPr="00544986">
        <w:t>Жилин, Г. А. Правосудие по гражданским делам: актуальные аспекты [монография]/Г. А. Жилин.- М.: Проспект, 2010 – 576с.</w:t>
      </w:r>
    </w:p>
    <w:p w:rsidR="00C56491" w:rsidRPr="00544986" w:rsidRDefault="00C56491" w:rsidP="00617F10">
      <w:pPr>
        <w:pStyle w:val="aa"/>
        <w:numPr>
          <w:ilvl w:val="0"/>
          <w:numId w:val="2"/>
        </w:numPr>
        <w:ind w:left="0" w:firstLine="0"/>
      </w:pPr>
      <w:r w:rsidRPr="00544986">
        <w:t>Лебедев, М. Ю., Гражданский процесс: Учебник/М. Ю. Лебедев. - М: Юрайт, 2010 – 382с.</w:t>
      </w:r>
    </w:p>
    <w:p w:rsidR="00C56491" w:rsidRPr="00544986" w:rsidRDefault="00C56491" w:rsidP="00617F10">
      <w:pPr>
        <w:pStyle w:val="aa"/>
        <w:numPr>
          <w:ilvl w:val="0"/>
          <w:numId w:val="2"/>
        </w:numPr>
        <w:ind w:left="0" w:firstLine="0"/>
      </w:pPr>
      <w:r w:rsidRPr="00544986">
        <w:t>Осокина, Г. Л., Гражданский процесс: общая часть/Г. Л. Осокина.- М.: Норма, 2010.- 752с.</w:t>
      </w:r>
    </w:p>
    <w:p w:rsidR="00C56491" w:rsidRPr="00544986" w:rsidRDefault="00C56491" w:rsidP="00617F10">
      <w:pPr>
        <w:pStyle w:val="aa"/>
        <w:numPr>
          <w:ilvl w:val="0"/>
          <w:numId w:val="2"/>
        </w:numPr>
        <w:ind w:left="0" w:firstLine="0"/>
      </w:pPr>
      <w:r w:rsidRPr="00544986">
        <w:t>Чашин, А. Н., Гражданский и арбитражный процесс: Учебник/</w:t>
      </w:r>
    </w:p>
    <w:p w:rsidR="00C56491" w:rsidRPr="00544986" w:rsidRDefault="00C56491" w:rsidP="00617F10">
      <w:pPr>
        <w:pStyle w:val="aa"/>
        <w:numPr>
          <w:ilvl w:val="0"/>
          <w:numId w:val="2"/>
        </w:numPr>
        <w:ind w:left="0" w:firstLine="0"/>
      </w:pPr>
      <w:r w:rsidRPr="00544986">
        <w:t>А. Н. Чашин</w:t>
      </w:r>
      <w:r w:rsidR="004A3283" w:rsidRPr="00544986">
        <w:t>.- М.: Дело и сервис, 2009 – 688с.</w:t>
      </w:r>
    </w:p>
    <w:p w:rsidR="00A95899" w:rsidRPr="00544986" w:rsidRDefault="00A95899" w:rsidP="00617F10">
      <w:pPr>
        <w:pStyle w:val="aa"/>
        <w:ind w:firstLine="0"/>
      </w:pPr>
      <w:bookmarkStart w:id="1" w:name="_GoBack"/>
      <w:bookmarkEnd w:id="1"/>
    </w:p>
    <w:sectPr w:rsidR="00A95899" w:rsidRPr="00544986" w:rsidSect="00617F10">
      <w:headerReference w:type="default" r:id="rId7"/>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F84" w:rsidRDefault="00BC6F84">
      <w:pPr>
        <w:spacing w:after="0" w:line="240" w:lineRule="auto"/>
      </w:pPr>
      <w:r>
        <w:separator/>
      </w:r>
    </w:p>
  </w:endnote>
  <w:endnote w:type="continuationSeparator" w:id="0">
    <w:p w:rsidR="00BC6F84" w:rsidRDefault="00BC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F84" w:rsidRDefault="00BC6F84">
      <w:pPr>
        <w:spacing w:after="0" w:line="240" w:lineRule="auto"/>
      </w:pPr>
      <w:r>
        <w:separator/>
      </w:r>
    </w:p>
  </w:footnote>
  <w:footnote w:type="continuationSeparator" w:id="0">
    <w:p w:rsidR="00BC6F84" w:rsidRDefault="00BC6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52" w:rsidRDefault="00A52292" w:rsidP="00617F10">
    <w:pPr>
      <w:pStyle w:val="a3"/>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401A5"/>
    <w:multiLevelType w:val="hybridMultilevel"/>
    <w:tmpl w:val="07023D38"/>
    <w:lvl w:ilvl="0" w:tplc="B8AC29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10A358D"/>
    <w:multiLevelType w:val="hybridMultilevel"/>
    <w:tmpl w:val="24E250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491"/>
    <w:rsid w:val="000615B0"/>
    <w:rsid w:val="001160C5"/>
    <w:rsid w:val="001C3E28"/>
    <w:rsid w:val="0028061A"/>
    <w:rsid w:val="002F045B"/>
    <w:rsid w:val="004562BF"/>
    <w:rsid w:val="004A3283"/>
    <w:rsid w:val="00544986"/>
    <w:rsid w:val="00617F10"/>
    <w:rsid w:val="00707BC7"/>
    <w:rsid w:val="0073252B"/>
    <w:rsid w:val="00895A5F"/>
    <w:rsid w:val="00956552"/>
    <w:rsid w:val="00A52292"/>
    <w:rsid w:val="00A838A7"/>
    <w:rsid w:val="00A95899"/>
    <w:rsid w:val="00B55461"/>
    <w:rsid w:val="00BC6F84"/>
    <w:rsid w:val="00BD65D4"/>
    <w:rsid w:val="00C56491"/>
    <w:rsid w:val="00E0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53DCBE-4850-4B3D-9E02-0F63BF4D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491"/>
    <w:pPr>
      <w:tabs>
        <w:tab w:val="center" w:pos="4677"/>
        <w:tab w:val="right" w:pos="9355"/>
      </w:tabs>
    </w:pPr>
  </w:style>
  <w:style w:type="character" w:customStyle="1" w:styleId="a4">
    <w:name w:val="Верхний колонтитул Знак"/>
    <w:link w:val="a3"/>
    <w:uiPriority w:val="99"/>
    <w:locked/>
    <w:rsid w:val="00C56491"/>
    <w:rPr>
      <w:rFonts w:ascii="Calibri" w:eastAsia="Times New Roman" w:hAnsi="Calibri" w:cs="Times New Roman"/>
    </w:rPr>
  </w:style>
  <w:style w:type="paragraph" w:styleId="a5">
    <w:name w:val="List Paragraph"/>
    <w:basedOn w:val="a"/>
    <w:uiPriority w:val="34"/>
    <w:qFormat/>
    <w:rsid w:val="00C56491"/>
    <w:pPr>
      <w:ind w:left="720"/>
      <w:contextualSpacing/>
    </w:pPr>
  </w:style>
  <w:style w:type="character" w:styleId="a6">
    <w:name w:val="Hyperlink"/>
    <w:uiPriority w:val="99"/>
    <w:rsid w:val="00A838A7"/>
    <w:rPr>
      <w:rFonts w:cs="Times New Roman"/>
      <w:color w:val="333399"/>
      <w:u w:val="none"/>
      <w:effect w:val="none"/>
    </w:rPr>
  </w:style>
  <w:style w:type="paragraph" w:customStyle="1" w:styleId="book">
    <w:name w:val="book"/>
    <w:basedOn w:val="a"/>
    <w:rsid w:val="00A838A7"/>
    <w:pPr>
      <w:spacing w:after="0" w:line="240" w:lineRule="auto"/>
      <w:ind w:firstLine="424"/>
    </w:pPr>
    <w:rPr>
      <w:rFonts w:ascii="Times New Roman" w:hAnsi="Times New Roman"/>
      <w:sz w:val="24"/>
      <w:szCs w:val="24"/>
      <w:lang w:eastAsia="ru-RU"/>
    </w:rPr>
  </w:style>
  <w:style w:type="paragraph" w:styleId="a7">
    <w:name w:val="footnote text"/>
    <w:basedOn w:val="a"/>
    <w:link w:val="a8"/>
    <w:uiPriority w:val="99"/>
    <w:semiHidden/>
    <w:rsid w:val="00895A5F"/>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semiHidden/>
    <w:locked/>
    <w:rsid w:val="00895A5F"/>
    <w:rPr>
      <w:rFonts w:ascii="Times New Roman" w:hAnsi="Times New Roman" w:cs="Times New Roman"/>
    </w:rPr>
  </w:style>
  <w:style w:type="character" w:styleId="a9">
    <w:name w:val="footnote reference"/>
    <w:uiPriority w:val="99"/>
    <w:semiHidden/>
    <w:rsid w:val="00895A5F"/>
    <w:rPr>
      <w:rFonts w:cs="Times New Roman"/>
      <w:vertAlign w:val="superscript"/>
    </w:rPr>
  </w:style>
  <w:style w:type="paragraph" w:customStyle="1" w:styleId="aa">
    <w:name w:val="АА"/>
    <w:basedOn w:val="a"/>
    <w:qFormat/>
    <w:rsid w:val="00544986"/>
    <w:pPr>
      <w:overflowPunct w:val="0"/>
      <w:autoSpaceDE w:val="0"/>
      <w:autoSpaceDN w:val="0"/>
      <w:adjustRightInd w:val="0"/>
      <w:spacing w:after="0" w:line="360" w:lineRule="auto"/>
      <w:ind w:firstLine="709"/>
      <w:contextualSpacing/>
    </w:pPr>
    <w:rPr>
      <w:rFonts w:ascii="Times New Roman" w:hAnsi="Times New Roman"/>
      <w:sz w:val="28"/>
      <w:szCs w:val="28"/>
      <w:lang w:eastAsia="ru-RU"/>
    </w:rPr>
  </w:style>
  <w:style w:type="paragraph" w:customStyle="1" w:styleId="ab">
    <w:name w:val="Б"/>
    <w:basedOn w:val="a"/>
    <w:qFormat/>
    <w:rsid w:val="00544986"/>
    <w:pPr>
      <w:spacing w:after="0" w:line="360" w:lineRule="auto"/>
      <w:contextualSpacing/>
    </w:pPr>
    <w:rPr>
      <w:rFonts w:ascii="Times New Roman" w:hAnsi="Times New Roman"/>
      <w:sz w:val="20"/>
      <w:szCs w:val="24"/>
      <w:lang w:eastAsia="ru-RU"/>
    </w:rPr>
  </w:style>
  <w:style w:type="paragraph" w:styleId="ac">
    <w:name w:val="footer"/>
    <w:basedOn w:val="a"/>
    <w:link w:val="ad"/>
    <w:uiPriority w:val="99"/>
    <w:semiHidden/>
    <w:unhideWhenUsed/>
    <w:rsid w:val="00617F10"/>
    <w:pPr>
      <w:tabs>
        <w:tab w:val="center" w:pos="4677"/>
        <w:tab w:val="right" w:pos="9355"/>
      </w:tabs>
    </w:pPr>
  </w:style>
  <w:style w:type="character" w:customStyle="1" w:styleId="ad">
    <w:name w:val="Нижний колонтитул Знак"/>
    <w:link w:val="ac"/>
    <w:uiPriority w:val="99"/>
    <w:semiHidden/>
    <w:locked/>
    <w:rsid w:val="00617F1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2014-03-06T01:06:00Z</dcterms:created>
  <dcterms:modified xsi:type="dcterms:W3CDTF">2014-03-06T01:06:00Z</dcterms:modified>
</cp:coreProperties>
</file>