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1D" w:rsidRDefault="002D5E1D">
      <w:pPr>
        <w:pStyle w:val="a3"/>
      </w:pPr>
      <w:r>
        <w:t>Понятие ,  состав  и  источники  имущества</w:t>
      </w:r>
    </w:p>
    <w:p w:rsidR="002D5E1D" w:rsidRDefault="002D5E1D">
      <w:pPr>
        <w:jc w:val="both"/>
        <w:rPr>
          <w:b/>
          <w:bCs/>
          <w:sz w:val="28"/>
          <w:szCs w:val="28"/>
        </w:rPr>
      </w:pP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Наличие  имущества является необходимым  условием деятельности предприятия. Имущество предприятия и источники  его образования показываются в бухгалтерском балансе. 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обобщенном виде состав имущества и источники его образования представлены на схеме.</w:t>
      </w:r>
    </w:p>
    <w:p w:rsidR="002D5E1D" w:rsidRDefault="002D5E1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2D5E1D">
        <w:tc>
          <w:tcPr>
            <w:tcW w:w="9571" w:type="dxa"/>
            <w:gridSpan w:val="2"/>
          </w:tcPr>
          <w:p w:rsidR="002D5E1D" w:rsidRDefault="002D5E1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Имущество предприятия и источники его образования</w:t>
            </w:r>
          </w:p>
        </w:tc>
      </w:tr>
      <w:tr w:rsidR="002D5E1D">
        <w:tc>
          <w:tcPr>
            <w:tcW w:w="4785" w:type="dxa"/>
          </w:tcPr>
          <w:p w:rsidR="002D5E1D" w:rsidRDefault="002D5E1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имущества</w:t>
            </w:r>
          </w:p>
        </w:tc>
        <w:tc>
          <w:tcPr>
            <w:tcW w:w="4786" w:type="dxa"/>
          </w:tcPr>
          <w:p w:rsidR="002D5E1D" w:rsidRDefault="002D5E1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образования имущества</w:t>
            </w:r>
          </w:p>
        </w:tc>
      </w:tr>
      <w:tr w:rsidR="002D5E1D">
        <w:tc>
          <w:tcPr>
            <w:tcW w:w="4785" w:type="dxa"/>
          </w:tcPr>
          <w:p w:rsidR="002D5E1D" w:rsidRDefault="002D5E1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капитал (основные средства):</w:t>
            </w:r>
          </w:p>
          <w:p w:rsidR="002D5E1D" w:rsidRDefault="002D5E1D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 здания;</w:t>
            </w:r>
          </w:p>
          <w:p w:rsidR="002D5E1D" w:rsidRDefault="002D5E1D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--сооружения;</w:t>
            </w:r>
          </w:p>
          <w:p w:rsidR="002D5E1D" w:rsidRDefault="002D5E1D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--машины и оборудование.</w:t>
            </w:r>
          </w:p>
          <w:p w:rsidR="002D5E1D" w:rsidRDefault="002D5E1D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Нематериальные активы.</w:t>
            </w:r>
          </w:p>
          <w:p w:rsidR="002D5E1D" w:rsidRDefault="002D5E1D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Оборотный капитал (оборотные средства):</w:t>
            </w:r>
          </w:p>
          <w:p w:rsidR="002D5E1D" w:rsidRDefault="002D5E1D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--денежные средства;</w:t>
            </w:r>
          </w:p>
          <w:p w:rsidR="002D5E1D" w:rsidRDefault="002D5E1D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--ценные бумаги;</w:t>
            </w:r>
          </w:p>
          <w:p w:rsidR="002D5E1D" w:rsidRDefault="002D5E1D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--дебиторская задолженность;</w:t>
            </w:r>
          </w:p>
          <w:p w:rsidR="002D5E1D" w:rsidRDefault="002D5E1D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--товарно-материальные запасы.</w:t>
            </w:r>
          </w:p>
        </w:tc>
        <w:tc>
          <w:tcPr>
            <w:tcW w:w="4786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Источники собственных средств: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--уставный (акционерный) капитал;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--добавочный капитал;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--резервный капитал;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--фонды накопления;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--фонд социальной сферы;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--целевое финансирование;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--поступления;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--арендные обязательства;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--нераспределенная прибыль.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Заемный капитал: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--краткосрочные обязательства;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--долгосрочные обязательства.</w:t>
            </w:r>
          </w:p>
        </w:tc>
      </w:tr>
    </w:tbl>
    <w:p w:rsidR="002D5E1D" w:rsidRDefault="002D5E1D">
      <w:pPr>
        <w:jc w:val="both"/>
        <w:rPr>
          <w:sz w:val="28"/>
          <w:szCs w:val="28"/>
        </w:rPr>
      </w:pP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Имущество предприятия отражается в активе, а источники его отражаются в пассиве баланса.</w:t>
      </w:r>
    </w:p>
    <w:p w:rsidR="002D5E1D" w:rsidRDefault="002D5E1D">
      <w:pPr>
        <w:jc w:val="both"/>
        <w:rPr>
          <w:sz w:val="28"/>
          <w:szCs w:val="28"/>
        </w:rPr>
      </w:pPr>
    </w:p>
    <w:p w:rsidR="002D5E1D" w:rsidRDefault="002D5E1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Основной капитал</w:t>
      </w:r>
    </w:p>
    <w:p w:rsidR="002D5E1D" w:rsidRDefault="002D5E1D">
      <w:pPr>
        <w:jc w:val="both"/>
        <w:rPr>
          <w:sz w:val="28"/>
          <w:szCs w:val="28"/>
        </w:rPr>
      </w:pP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Ресурсы средств труда с точки зрения их денежной оценки являются основным капиталом, а с точки зрения их натурально-вещественного состава – совокупностью разнообразных основных производственных  фондов (в денежной оценке – основными средствами ).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Специфической особенностью средств труда является их функционирование в течении нескольких производственных циклов. Поэтому средства труда переносят свою стоимость на продукт по частям , по мере износа , и в издержки производства включаются амортизационные отчисления , которые являются денежным выражением износа.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основным средствам относятся предметы труда, срок службы которых более года, а стоимость не менее одного миллиона рублей за единицу стоимости.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Поступив на предприятие, основные средства передаются в эксплуатацию. Основные средства выбывают с предприятия вследствие ветхости и износа, реализации другим предприятиям. 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Они различаются по составу, назначению, характеру участия в производственном процессе, состоянию, принадлежности.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Типовая классификация основных средств установлена Госкомстатом РФ и включает следующие виды: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- здания;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сооружения;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передаточные устройства;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- машины и оборудование;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транспортные средства;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- инструмент, производственный и хозяйственный инвентарь и другие виды основных средств.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Единицей учета основных средств является инвентарный объект.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1 января 1996 г. к основным средствам относятся предметы стоимостью на дату приобретения не менее пятидесятикратного размера минимальной месячной оплаты труда за единицу (исходя из стоимости,  предусмотренной в договоре).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Инвентарный объект – законченное устройство или комплекс предметов со всеми приспособлениями , относящимися к данному объекту. Каждому объекту присваивается номер.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размер основных средств может быть определен только в денежном выражении.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Способы оценки основных средств зависят от времени их приобретения и от состояния.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зависимости от времени приобретения различают первоначальную и восстановительную  стоимость основных средств.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зависимости от состояния – полную и остаточную (за вычетом износа). 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Первоначальная стоимость складывается в момент поступления объекта в эксплуатацию исходя из фактических цен на приобретаемые объекты , включая затраты на доставку и установку . Восстановительная стоимость – стоимость воспроизводства основных средств , исходя из затрат на создание (приобретение) в новых (текущих) условиях. Она определяется путем переоценки основных средств 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одиночные объекты могут быть приобретены по разным ценам, особенно различающимся в связи с инфляцией.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Поэтому  между переоценками основные средства учитываются в смешанной оценке (балансовой).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переоценках основных средств устанавливается полная восстановительная стоимость на дату переоценки, т.е. полная стоимость новых основных средств, аналогичных оцениваемым.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Переоценка основных средств производится по специальным решениям Правительства РФ. Она проводится с целью приведения балансовой стоимости основных средств к их  реальной стоимости для корректировки отчислений на амортизацию и уточнения налогооблагаемой базы предприятий.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Переоценка может производится двумя способами : по коэффициентам пересчета Госкомстата РФ или на основе рыночной стоимости объекта.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Коэффициенты пересчета балансовой стоимости основных фондов в восстановительную устанавливаются с учетом сроков приобретения.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определения рыночной цены на объекты могут быть применены следующие способы: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-получение в письменной форме данных о ценах на аналогичную продукцию от предприятий –изготовителей;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-справки торгующих или снабженческих организаций об уровне цен;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-сведения об уровне цен , опубликованные в средствах массовой информации и специальной литературе;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-экспертные заключения о рыночной стоимости объектов основных средств , подтвержденные консультационной или иной специализированной организацией.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переоценки влияют на финансовые результаты деятельности предприятия. Они отражаются при установлении налога на имущество , в размере амортизационных отчислений, следовательно, налогооблагаемой прибыли.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Предприятиям выгодно проводить переоценку с помощью экспертов-оценщиков, что позволяет более точно определить стоимость имущества с учетом сложившихся рыночных цен.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Многие предприятия (особенно вновь создаваемые) не имеют финансовой возможности для приобретения зданий, транспортных средств. Такие затруднения преодолеваются за счет арендных отношений.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Арендные отношения – передача и получение объектов основных средств в аренду (имущественный наем), при этом заключается договор , по которому одна сторона (арендодатель) обязуется представить другой стороне (арендатору) имущество во временное пользование за предельные вознаграждения.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Аренда может быть текущей и долгосрочной. Объектом текущей аренды может быть как отдельный объект основных средств (автомобиль, компьютер и т.п.) , так и его часть (помещение офиса, склада).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Срок аренды устанавливается в пределах года с дальнейшей пролангацией и изменением условий договора.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бухгалтерском учете объект аренды числится на балансе арендодателя. Арендодатель продолжает начислять амортизацию (износ), платить налог на имущество.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долгосрочной аренде основные средства передаются на срок более года вплоть до момента полной амортизации объекта.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Различают аренду без передачи права собственности и с передачей права собственности.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Долгосрочная аренда без права собственности называется лизингом.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Имущество, переданное в лизинг , в течении всего периода договора является собственностью лизингодателя.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Амортизация основных средств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функционирования основные средства изнашиваются (износ бывает физическим и моральным).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себестоимости продукции включаются амортизационные отчисления на полное восстановление основных производительных фондов по нормам, утвержденным в установленном порядке. Нормы амортизационных отчислений дифференцированы по видам основных средств и установлены с таким расчетом , чтобы по окончании срока службы по ним был начислен износ, равный их первоначальной стоимости или восстановительной стоимости.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Обратная величина нормы ежегодных амортизационных отчислений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Т=1/На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(Т -- нормативный срок службы;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– ежегодная норма амортизационных отчислений)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отражает нормативный срок службы основных средств.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линейный и ускоренный способы определения амортизации. Линейный способ предполагает , что погашение стоимости объекта производится равными ежегодными частями в течении всего срока службы 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Суть ускоренной амортизации состоит в том , что сумма амортизационных отчислений по годам должна перераспределятся таким образом, чтобы на издержки производства в первую половину срока службы было списано около 2/3 стоимости объекта.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1991г. в России применяется ускоренная амортизация активной части основных средств. Механизм ускоренной амортизации применяется по перечню высокотехнических отраслей и эффективных видов машин и оборудования, который устанавливается федеральными органами.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ускоренной амортизации применяется равный (линейный) метод ее исчисления, при котором  утвержденная в установленном порядке норма годовых амортизационных отчислений увеличивается на коэффициент ускорения в размере не выше 2.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после переоценки основных средств финансово-экономические показатели работы предприятия ухудшились, начисление амортизации производится с понижающим коэффициентом 0,5.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Нематериальные активы</w:t>
      </w:r>
    </w:p>
    <w:p w:rsidR="002D5E1D" w:rsidRDefault="002D5E1D">
      <w:pPr>
        <w:ind w:firstLine="708"/>
        <w:jc w:val="both"/>
        <w:rPr>
          <w:b/>
          <w:bCs/>
          <w:sz w:val="28"/>
          <w:szCs w:val="28"/>
        </w:rPr>
      </w:pP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нематериальных активов включаются: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учреждение и расширение;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продукты НИОКР;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права на объекты интеллектуальной и промышленной собственности, в том числе на изобретения, патенты, лицензии, промышленные образцы, торговые марки, фирменные наименования, продукты программного обеспечения;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ноу-хау, в том числе технические, коммерческие, финансовые и др.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авторские права.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Нематериальные активы отражаются в учете и отчетности в сумме затрат на приобретение , изготовление и расходов по их доведению до состояния, в котором они пригодны к использованию.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Затраты , связанные с приобретением нематериальных активов, являются долгосрочными инвестициями.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способа начисления амортизации выделяют три группы нематериальных активов: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Нематериальные активы, стоимость которых погашается путем включения амортизационных отчислений в себестоимость продукции (работ, услуг);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Нематериальные активы , выделенные в новом Плане счетов , утвержденном в 1994г., в связи с необходимостью учета операций , связанных с приватизацией. Предприятие самостоятельно определяет способ погашения их стоимости . Например, может быть списана разница между покупной ценой и оценочной стоимостью имущества;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Нематериальные активы, амортизация по которым не начисляется. В международной практике не амортизируются объекты, стоимость которых с течением времени не падает, а также объекты , приносящие прибыль, которая с течением времени не уменьшается (например, ноу-хау, товарные знаки).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Оборотный капитал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Оборотный капитал состоит из активов , которые находятся в постоянном цикле превращения в денежные средства. Например, готовая продукция после продажи превращается в дебиторскую задолженность; после оплаты дебиторских обязательств предприятие имеет денежные средства , которые используются для погашения долгов и оплаты текущих расходов. Поэтому эти активы получили название оборотные средства.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 оборотного капитала входят материально-вещественные элементы и краткосрочные финансовые вложения (облигации, другие ценные бумаги, векселя и т.п.).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Оборотный капитал используется в течение относительно короткого календарного периода (не более одного года) . Он расходуется в рамках одного воспроизводственного цикла и полностью переносит свою себестоимость на продукт.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образования элементов оборотного капитала являются собственные и привлеченные средства.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Ценные бумаги являются документами , свидетельствующими об имущественных правах их владельцев и приносящими доход в виде дивидендов или процентов. В практике учета рыночные ценные бумаги отражаются по номинальной системе.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Товарно-материальные запасы (сырье, полуфабрикаты и готовая продукция) могут оцениваться по себестоимости или по рыночной стоимости.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Оборотный капитал представляет собой текущие активы (мобильные средства); основной капитал и внеоборотные активы – иммобилизованные средства. Вместе основной и оборотный капитал образуют активы предприятия.</w:t>
      </w:r>
    </w:p>
    <w:p w:rsidR="002D5E1D" w:rsidRDefault="002D5E1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наличия основного и оборотного капитала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основного и оборотного капитала может быть определено на дату и за период. Стоимость основного оборотного капитала на дату (на начало и конец квартала, года) приводится в балансе.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период определяют интервальные (средние) показатели наличия капитала. Наличие основных средств характеризуется их средней годовой стоимостью, а оборотного капитала – средним остатком оборотных средств.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характера имеющейся информации средняя годовая стоимость основного капитала определяется по следующим формулам: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Ф=(Фн+Фк)/2;                                 (1)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Ф= (Фн/2 +Ф2+…+Фк/2)/(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-1)   (1.1)</w:t>
      </w:r>
    </w:p>
    <w:p w:rsidR="002D5E1D" w:rsidRDefault="002D5E1D">
      <w:pPr>
        <w:jc w:val="both"/>
        <w:rPr>
          <w:sz w:val="28"/>
          <w:szCs w:val="28"/>
        </w:rPr>
      </w:pP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Ф – средняя годовая стоимость основного капитала;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Фн – стоимость основного капитала на начало периода;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Фк – стоимость основного капитала на конец периода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Примечание: Формула (1.1) называется средней хронологической.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Формула (1) применяется для расчета средней годовой стоимости основных средств по данным бухгалтерского баланса. Формула (1.1) учитывает движение основных средств внутри периода 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Средний остаток оборотных средств определяется аналогично.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О=(Он+Оп)/2;                                     (2)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О=(Он/2+О2+…+Ок/2)/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-1)      (2.1)</w:t>
      </w:r>
    </w:p>
    <w:p w:rsidR="002D5E1D" w:rsidRDefault="002D5E1D">
      <w:pPr>
        <w:jc w:val="both"/>
        <w:rPr>
          <w:sz w:val="28"/>
          <w:szCs w:val="28"/>
        </w:rPr>
      </w:pP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где О – остаток оборотных средств.</w:t>
      </w:r>
    </w:p>
    <w:p w:rsidR="002D5E1D" w:rsidRDefault="002D5E1D">
      <w:pPr>
        <w:jc w:val="both"/>
        <w:rPr>
          <w:sz w:val="28"/>
          <w:szCs w:val="28"/>
        </w:rPr>
      </w:pP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Пример. Наличие основных средств предприятия по полной балансовой стоимости (млн.руб.) приведено ниже</w:t>
      </w:r>
    </w:p>
    <w:p w:rsidR="002D5E1D" w:rsidRDefault="002D5E1D">
      <w:pPr>
        <w:jc w:val="both"/>
        <w:rPr>
          <w:sz w:val="28"/>
          <w:szCs w:val="28"/>
        </w:rPr>
        <w:sectPr w:rsidR="002D5E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5E1D" w:rsidRDefault="002D5E1D">
      <w:pPr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706"/>
      </w:tblGrid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начало отчетного года   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8,0  </w:t>
            </w:r>
          </w:p>
        </w:tc>
      </w:tr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февраля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</w:tr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марта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апреля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</w:tr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мая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июня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 июля 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августа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сентября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</w:tr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октября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ноября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декабря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</w:tr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конец отчетного года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</w:tr>
    </w:tbl>
    <w:p w:rsidR="002D5E1D" w:rsidRDefault="002D5E1D">
      <w:pPr>
        <w:jc w:val="both"/>
        <w:rPr>
          <w:sz w:val="28"/>
          <w:szCs w:val="28"/>
        </w:rPr>
      </w:pP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по формуле средней хронологической получим среднюю годовую стоимость основных средств: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Ф= (8,0/2+8,3+8,6+…+11,0/2)/(13-1)=9,1 млн.руб.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Принимая упрощенный способ, получим:</w:t>
      </w:r>
    </w:p>
    <w:p w:rsidR="002D5E1D" w:rsidRDefault="002D5E1D">
      <w:pPr>
        <w:jc w:val="both"/>
        <w:rPr>
          <w:sz w:val="28"/>
          <w:szCs w:val="28"/>
        </w:rPr>
      </w:pP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(8,0+11,0)/2=9,5 млн.руб.</w:t>
      </w:r>
    </w:p>
    <w:p w:rsidR="002D5E1D" w:rsidRDefault="002D5E1D">
      <w:pPr>
        <w:jc w:val="both"/>
        <w:rPr>
          <w:sz w:val="28"/>
          <w:szCs w:val="28"/>
        </w:rPr>
      </w:pP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использования основного и оборотного капитала</w:t>
      </w:r>
    </w:p>
    <w:p w:rsidR="002D5E1D" w:rsidRDefault="002D5E1D">
      <w:pPr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характеристики использования основного капитала применяют систему показателей , которая состоит из обобщающих и частных технико-экономических  показателей.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Обобщающие показатели отражают использование всех основных средств , а в частные – использование отдельных видов (например, оборудования, производственных площадей).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обобщающих показателей использования основных средств применяются формулы: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Н=Э/Ф          (3)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где Э – полученный эффект (прибыль);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Ф – средняя за период стоимость основных средств;</w:t>
      </w: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Н – отдача основных средств (эффект на единицу стоимости основных средств);</w:t>
      </w:r>
    </w:p>
    <w:p w:rsidR="002D5E1D" w:rsidRDefault="002D5E1D">
      <w:pPr>
        <w:jc w:val="both"/>
        <w:rPr>
          <w:sz w:val="28"/>
          <w:szCs w:val="28"/>
        </w:rPr>
      </w:pP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=Ф/Э – обратный показатель , фондоемкость.</w:t>
      </w:r>
    </w:p>
    <w:p w:rsidR="002D5E1D" w:rsidRDefault="002D5E1D">
      <w:pPr>
        <w:jc w:val="both"/>
        <w:rPr>
          <w:sz w:val="28"/>
          <w:szCs w:val="28"/>
        </w:rPr>
      </w:pP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средства используются эффективно, если:</w:t>
      </w:r>
    </w:p>
    <w:p w:rsidR="002D5E1D" w:rsidRDefault="002D5E1D">
      <w:pPr>
        <w:jc w:val="both"/>
        <w:rPr>
          <w:sz w:val="28"/>
          <w:szCs w:val="28"/>
        </w:rPr>
      </w:pP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н==Н1/Н2</w:t>
      </w:r>
      <w:r>
        <w:rPr>
          <w:sz w:val="28"/>
          <w:szCs w:val="28"/>
          <w:lang w:val="en-US"/>
        </w:rPr>
        <w:t xml:space="preserve">&gt;1 </w:t>
      </w:r>
      <w:r>
        <w:rPr>
          <w:sz w:val="28"/>
          <w:szCs w:val="28"/>
        </w:rPr>
        <w:t>;</w:t>
      </w:r>
    </w:p>
    <w:p w:rsidR="002D5E1D" w:rsidRDefault="002D5E1D">
      <w:pPr>
        <w:jc w:val="both"/>
        <w:rPr>
          <w:sz w:val="28"/>
          <w:szCs w:val="28"/>
        </w:rPr>
      </w:pPr>
    </w:p>
    <w:p w:rsidR="002D5E1D" w:rsidRDefault="002D5E1D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к==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1/</w:t>
      </w:r>
      <w:r>
        <w:rPr>
          <w:sz w:val="28"/>
          <w:szCs w:val="28"/>
          <w:lang w:val="en-US"/>
        </w:rPr>
        <w:t>h0&lt;1</w:t>
      </w:r>
      <w:r>
        <w:rPr>
          <w:sz w:val="28"/>
          <w:szCs w:val="28"/>
        </w:rPr>
        <w:t>.</w:t>
      </w:r>
    </w:p>
    <w:p w:rsidR="002D5E1D" w:rsidRDefault="002D5E1D">
      <w:pPr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неиспользованных оборотных средств имеют значение не только показатели , характеризующие наличие (средние остатки) оборотного капитала, но и показатели скорости оборота.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оборачиваемости позволяют судить об использовании оборотного капитала 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оборачиваемости  оборотного капитала  рассчитываются по данным о среднем остатке (О) и выручке от реализации продукции (В). Выручка от реализации берется без НДС и акцизов.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расчета показателей оборачиваемости оборотного капитала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578"/>
        <w:gridCol w:w="2287"/>
        <w:gridCol w:w="3112"/>
      </w:tblGrid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Формула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расчета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</w:t>
            </w:r>
          </w:p>
        </w:tc>
      </w:tr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оборачиваемости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(Коб)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Коб=В/О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Характеризует число оборотов за период</w:t>
            </w:r>
          </w:p>
        </w:tc>
      </w:tr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закрепления  (Кз)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Кз=О/В или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1/Коб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Показывает потребность в оборотном капитале на один рубль выручки от реализации</w:t>
            </w:r>
          </w:p>
        </w:tc>
      </w:tr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продолжительность одного оборота в днях (Д)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Д=Ф/Коб 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Д=ДкХО/В, 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Дк-продолжитель ность календ. периода 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Характеризует скорость оборота</w:t>
            </w:r>
          </w:p>
        </w:tc>
      </w:tr>
      <w:tr w:rsidR="002D5E1D"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высвобожденного (при влеченного) капитала в результате изменения оборачиваемости (Овыс)</w:t>
            </w: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Овыс=О1-Во/Ко.об, 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Овыс=(К31-К30)В1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Характеризует эффект (по тери) от изменения оборачиваемости капитала</w:t>
            </w:r>
          </w:p>
        </w:tc>
      </w:tr>
    </w:tbl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Пример. Определить показатели оборачиваемости оборотного капитала по следующим данным: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328"/>
        <w:gridCol w:w="720"/>
        <w:gridCol w:w="720"/>
        <w:gridCol w:w="1260"/>
        <w:gridCol w:w="1003"/>
      </w:tblGrid>
      <w:tr w:rsidR="002D5E1D">
        <w:trPr>
          <w:cantSplit/>
          <w:trHeight w:val="210"/>
        </w:trPr>
        <w:tc>
          <w:tcPr>
            <w:tcW w:w="540" w:type="dxa"/>
            <w:vMerge w:val="restart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5328" w:type="dxa"/>
            <w:vMerge w:val="restart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720" w:type="dxa"/>
            <w:vMerge w:val="restart"/>
          </w:tcPr>
          <w:p w:rsidR="002D5E1D" w:rsidRDefault="002D5E1D">
            <w:pPr>
              <w:ind w:left="360"/>
              <w:jc w:val="both"/>
              <w:rPr>
                <w:sz w:val="28"/>
                <w:szCs w:val="28"/>
              </w:rPr>
            </w:pP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  <w:p w:rsidR="002D5E1D" w:rsidRDefault="002D5E1D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квартал</w:t>
            </w:r>
          </w:p>
        </w:tc>
        <w:tc>
          <w:tcPr>
            <w:tcW w:w="2263" w:type="dxa"/>
            <w:gridSpan w:val="2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оборачиваемости</w:t>
            </w:r>
          </w:p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капитала</w:t>
            </w:r>
          </w:p>
        </w:tc>
      </w:tr>
      <w:tr w:rsidR="002D5E1D">
        <w:trPr>
          <w:cantSplit/>
          <w:trHeight w:val="330"/>
        </w:trPr>
        <w:tc>
          <w:tcPr>
            <w:tcW w:w="0" w:type="auto"/>
            <w:vMerge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28" w:type="dxa"/>
            <w:vMerge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D5E1D" w:rsidRDefault="002D5E1D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Абс, +;-</w:t>
            </w:r>
          </w:p>
        </w:tc>
        <w:tc>
          <w:tcPr>
            <w:tcW w:w="1003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2D5E1D">
        <w:tc>
          <w:tcPr>
            <w:tcW w:w="54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8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Выручка от реализации (без НДС), млн. руб. (В)</w:t>
            </w:r>
          </w:p>
        </w:tc>
        <w:tc>
          <w:tcPr>
            <w:tcW w:w="72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72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</w:t>
            </w:r>
          </w:p>
        </w:tc>
        <w:tc>
          <w:tcPr>
            <w:tcW w:w="126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+200</w:t>
            </w:r>
          </w:p>
        </w:tc>
        <w:tc>
          <w:tcPr>
            <w:tcW w:w="1003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</w:tr>
      <w:tr w:rsidR="002D5E1D">
        <w:tc>
          <w:tcPr>
            <w:tcW w:w="54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8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за квартал остаток оборотного капитала (О), млн.руб.</w:t>
            </w:r>
          </w:p>
        </w:tc>
        <w:tc>
          <w:tcPr>
            <w:tcW w:w="72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72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126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+25</w:t>
            </w:r>
          </w:p>
        </w:tc>
        <w:tc>
          <w:tcPr>
            <w:tcW w:w="1003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+1,08</w:t>
            </w:r>
          </w:p>
        </w:tc>
      </w:tr>
      <w:tr w:rsidR="002D5E1D">
        <w:tc>
          <w:tcPr>
            <w:tcW w:w="54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8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оборачиваемости оборотного капитала (стр.1:стр.2)</w:t>
            </w:r>
          </w:p>
        </w:tc>
        <w:tc>
          <w:tcPr>
            <w:tcW w:w="72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72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26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+0,3</w:t>
            </w:r>
          </w:p>
        </w:tc>
        <w:tc>
          <w:tcPr>
            <w:tcW w:w="1003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+1,08</w:t>
            </w:r>
          </w:p>
        </w:tc>
      </w:tr>
      <w:tr w:rsidR="002D5E1D">
        <w:tc>
          <w:tcPr>
            <w:tcW w:w="54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8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закрепления оборотного капитала (стр.1:стр.2)</w:t>
            </w:r>
          </w:p>
        </w:tc>
        <w:tc>
          <w:tcPr>
            <w:tcW w:w="72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  <w:tc>
          <w:tcPr>
            <w:tcW w:w="72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26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-0,02</w:t>
            </w:r>
          </w:p>
        </w:tc>
        <w:tc>
          <w:tcPr>
            <w:tcW w:w="1003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-0,07</w:t>
            </w:r>
          </w:p>
        </w:tc>
      </w:tr>
      <w:tr w:rsidR="002D5E1D">
        <w:tc>
          <w:tcPr>
            <w:tcW w:w="54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8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одного оборота в днях (в квартале 90 календ. дней)—90:Коб</w:t>
            </w:r>
          </w:p>
        </w:tc>
        <w:tc>
          <w:tcPr>
            <w:tcW w:w="72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</w:t>
            </w:r>
          </w:p>
        </w:tc>
        <w:tc>
          <w:tcPr>
            <w:tcW w:w="72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260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-1,8</w:t>
            </w:r>
          </w:p>
        </w:tc>
        <w:tc>
          <w:tcPr>
            <w:tcW w:w="1003" w:type="dxa"/>
          </w:tcPr>
          <w:p w:rsidR="002D5E1D" w:rsidRDefault="002D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-0,07</w:t>
            </w:r>
          </w:p>
        </w:tc>
      </w:tr>
    </w:tbl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примере показатели оборачиваемости во 2-ом квартале по сравнению с 2-м улучшились. 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 от ускорения оборачиваемости – сумма высвобожденных оборотных средств.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способ расчета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Определяем потребность в оборотных средствах для получения выручки от реализации при коэффициенте оборачиваемости на уровне 1-го квартала (Оусл.):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Оусл=1300/3,7=351,3 млн.руб.~351 млн.руб.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же имело во 2-ом квартале средний остаток оборотных средств (О1), равный 325 млн.руб.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Овыс=325-351= -26 млн.руб.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способ расчета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закрепления во 2-ом квартале ниже, т.е. на каждый рубль выручки от реализации требуется меньше оборотных средств :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Овыс=(0,25-0,27)х1300= -26 млн.руб.</w:t>
      </w:r>
    </w:p>
    <w:p w:rsidR="002D5E1D" w:rsidRDefault="002D5E1D">
      <w:pPr>
        <w:ind w:firstLine="708"/>
        <w:jc w:val="both"/>
        <w:rPr>
          <w:sz w:val="28"/>
          <w:szCs w:val="28"/>
        </w:rPr>
      </w:pP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Аналогично вычисляются показатели оборачиваемости дебиторской задолженности , которые характеризуют состояние расчетов с покупателями. Важное значение имеет </w:t>
      </w:r>
      <w:r>
        <w:rPr>
          <w:b/>
          <w:bCs/>
          <w:sz w:val="28"/>
          <w:szCs w:val="28"/>
        </w:rPr>
        <w:t>срок погашения дебиторской задолженности в днях,</w:t>
      </w:r>
      <w:r>
        <w:rPr>
          <w:sz w:val="28"/>
          <w:szCs w:val="28"/>
        </w:rPr>
        <w:t xml:space="preserve"> который определяется как отношение продолжительности календарного периода к числу оборотов дебиторской задолженности (коэффициенту оборачиваемости) за этот период.</w:t>
      </w:r>
    </w:p>
    <w:p w:rsidR="002D5E1D" w:rsidRDefault="002D5E1D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Показатели оборачиваемости товарно-материальных запасов</w:t>
      </w:r>
      <w:r>
        <w:rPr>
          <w:sz w:val="28"/>
          <w:szCs w:val="28"/>
        </w:rPr>
        <w:t xml:space="preserve"> определяются как отношение себестоимости реализованной продукции к средней величине запасов. Отношение календарного числа дней в периоде к коэффициенту оборачиваемости товарно-материальных запасов показывает средний срок их хранения в днях.</w:t>
      </w:r>
      <w:bookmarkStart w:id="0" w:name="_GoBack"/>
      <w:bookmarkEnd w:id="0"/>
    </w:p>
    <w:sectPr w:rsidR="002D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758D4"/>
    <w:multiLevelType w:val="hybridMultilevel"/>
    <w:tmpl w:val="09DA416A"/>
    <w:lvl w:ilvl="0" w:tplc="3132A7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196057"/>
    <w:multiLevelType w:val="hybridMultilevel"/>
    <w:tmpl w:val="DB222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2BD"/>
    <w:rsid w:val="002D5E1D"/>
    <w:rsid w:val="006F65B5"/>
    <w:rsid w:val="00DB1147"/>
    <w:rsid w:val="00E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AFD3E7-AC9C-404A-A919-8FC8719E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,  состав  и  источники  имущества</vt:lpstr>
    </vt:vector>
  </TitlesOfParts>
  <Company/>
  <LinksUpToDate>false</LinksUpToDate>
  <CharactersWithSpaces>17135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,  состав  и  источники  имущества</dc:title>
  <dc:subject/>
  <dc:creator>User</dc:creator>
  <cp:keywords/>
  <dc:description/>
  <cp:lastModifiedBy>admin</cp:lastModifiedBy>
  <cp:revision>2</cp:revision>
  <dcterms:created xsi:type="dcterms:W3CDTF">2014-03-03T18:42:00Z</dcterms:created>
  <dcterms:modified xsi:type="dcterms:W3CDTF">2014-03-03T18:42:00Z</dcterms:modified>
</cp:coreProperties>
</file>