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4E2" w:rsidRPr="00A3133C" w:rsidRDefault="009024E2" w:rsidP="00A3133C">
      <w:pPr>
        <w:widowControl w:val="0"/>
        <w:shd w:val="clear" w:color="000000" w:fill="auto"/>
        <w:spacing w:after="0" w:line="360" w:lineRule="auto"/>
        <w:ind w:firstLine="709"/>
        <w:jc w:val="both"/>
        <w:rPr>
          <w:rFonts w:ascii="Times New Roman" w:hAnsi="Times New Roman"/>
          <w:b/>
          <w:sz w:val="28"/>
          <w:szCs w:val="28"/>
        </w:rPr>
      </w:pPr>
      <w:r w:rsidRPr="00A3133C">
        <w:rPr>
          <w:rFonts w:ascii="Times New Roman" w:hAnsi="Times New Roman"/>
          <w:b/>
          <w:sz w:val="28"/>
          <w:szCs w:val="28"/>
        </w:rPr>
        <w:t>Содержание</w:t>
      </w:r>
    </w:p>
    <w:p w:rsidR="00A3133C" w:rsidRDefault="00A3133C" w:rsidP="00A3133C">
      <w:pPr>
        <w:widowControl w:val="0"/>
        <w:shd w:val="clear" w:color="000000" w:fill="auto"/>
        <w:spacing w:after="0" w:line="360" w:lineRule="auto"/>
        <w:ind w:firstLine="709"/>
        <w:jc w:val="both"/>
        <w:rPr>
          <w:rFonts w:ascii="Times New Roman" w:hAnsi="Times New Roman"/>
          <w:sz w:val="28"/>
          <w:szCs w:val="28"/>
        </w:rPr>
      </w:pPr>
    </w:p>
    <w:p w:rsidR="00A3133C" w:rsidRDefault="009024E2" w:rsidP="00A3133C">
      <w:pPr>
        <w:widowControl w:val="0"/>
        <w:shd w:val="clear" w:color="000000" w:fill="auto"/>
        <w:spacing w:after="0" w:line="360" w:lineRule="auto"/>
        <w:rPr>
          <w:rFonts w:ascii="Times New Roman" w:hAnsi="Times New Roman"/>
          <w:sz w:val="28"/>
          <w:szCs w:val="28"/>
        </w:rPr>
      </w:pPr>
      <w:r w:rsidRPr="00A3133C">
        <w:rPr>
          <w:rFonts w:ascii="Times New Roman" w:hAnsi="Times New Roman"/>
          <w:sz w:val="28"/>
          <w:szCs w:val="28"/>
        </w:rPr>
        <w:t>1.</w:t>
      </w:r>
      <w:r w:rsidRPr="00A3133C">
        <w:rPr>
          <w:rFonts w:ascii="Times New Roman" w:hAnsi="Times New Roman"/>
          <w:b/>
          <w:sz w:val="28"/>
          <w:szCs w:val="28"/>
        </w:rPr>
        <w:t xml:space="preserve"> </w:t>
      </w:r>
      <w:r w:rsidRPr="00A3133C">
        <w:rPr>
          <w:rFonts w:ascii="Times New Roman" w:hAnsi="Times New Roman"/>
          <w:sz w:val="28"/>
          <w:szCs w:val="28"/>
        </w:rPr>
        <w:t>Этапы разработки и развития инвестиционной стратегии</w:t>
      </w:r>
    </w:p>
    <w:p w:rsidR="00A3133C" w:rsidRDefault="009024E2" w:rsidP="00A3133C">
      <w:pPr>
        <w:widowControl w:val="0"/>
        <w:shd w:val="clear" w:color="000000" w:fill="auto"/>
        <w:spacing w:after="0" w:line="360" w:lineRule="auto"/>
        <w:rPr>
          <w:rFonts w:ascii="Times New Roman" w:hAnsi="Times New Roman"/>
          <w:sz w:val="28"/>
          <w:szCs w:val="28"/>
        </w:rPr>
      </w:pPr>
      <w:r w:rsidRPr="00A3133C">
        <w:rPr>
          <w:rFonts w:ascii="Times New Roman" w:hAnsi="Times New Roman"/>
          <w:sz w:val="28"/>
          <w:szCs w:val="28"/>
        </w:rPr>
        <w:t>2. Классификация инструментов рынка ценных бумаг. Их характеристика.</w:t>
      </w:r>
    </w:p>
    <w:p w:rsidR="00A3133C" w:rsidRDefault="009024E2" w:rsidP="00A3133C">
      <w:pPr>
        <w:widowControl w:val="0"/>
        <w:shd w:val="clear" w:color="000000" w:fill="auto"/>
        <w:spacing w:after="0" w:line="360" w:lineRule="auto"/>
        <w:rPr>
          <w:rFonts w:ascii="Times New Roman" w:hAnsi="Times New Roman"/>
          <w:sz w:val="28"/>
          <w:szCs w:val="28"/>
        </w:rPr>
      </w:pPr>
      <w:r w:rsidRPr="00A3133C">
        <w:rPr>
          <w:rFonts w:ascii="Times New Roman" w:hAnsi="Times New Roman"/>
          <w:sz w:val="28"/>
          <w:szCs w:val="28"/>
        </w:rPr>
        <w:t>3.</w:t>
      </w:r>
      <w:r w:rsidRPr="00A3133C">
        <w:rPr>
          <w:rFonts w:ascii="Times New Roman" w:hAnsi="Times New Roman"/>
          <w:b/>
          <w:sz w:val="28"/>
          <w:szCs w:val="28"/>
        </w:rPr>
        <w:t xml:space="preserve"> </w:t>
      </w:r>
      <w:r w:rsidRPr="00A3133C">
        <w:rPr>
          <w:rFonts w:ascii="Times New Roman" w:hAnsi="Times New Roman"/>
          <w:sz w:val="28"/>
          <w:szCs w:val="28"/>
        </w:rPr>
        <w:t>Показатели инвестиционной привлекательности региона</w:t>
      </w:r>
    </w:p>
    <w:p w:rsidR="00A3133C" w:rsidRDefault="00A3133C" w:rsidP="00A3133C">
      <w:pPr>
        <w:widowControl w:val="0"/>
        <w:shd w:val="clear" w:color="000000" w:fill="auto"/>
        <w:spacing w:after="0" w:line="360" w:lineRule="auto"/>
        <w:rPr>
          <w:rFonts w:ascii="Times New Roman" w:hAnsi="Times New Roman"/>
          <w:sz w:val="28"/>
          <w:szCs w:val="28"/>
        </w:rPr>
      </w:pPr>
      <w:r>
        <w:rPr>
          <w:rFonts w:ascii="Times New Roman" w:hAnsi="Times New Roman"/>
          <w:sz w:val="28"/>
          <w:szCs w:val="28"/>
        </w:rPr>
        <w:t>4. Задача</w:t>
      </w:r>
    </w:p>
    <w:p w:rsidR="00A3133C" w:rsidRDefault="009024E2" w:rsidP="00A3133C">
      <w:pPr>
        <w:widowControl w:val="0"/>
        <w:shd w:val="clear" w:color="000000" w:fill="auto"/>
        <w:spacing w:after="0" w:line="360" w:lineRule="auto"/>
        <w:rPr>
          <w:rFonts w:ascii="Times New Roman" w:hAnsi="Times New Roman"/>
          <w:sz w:val="28"/>
          <w:szCs w:val="28"/>
        </w:rPr>
      </w:pPr>
      <w:r w:rsidRPr="00A3133C">
        <w:rPr>
          <w:rFonts w:ascii="Times New Roman" w:hAnsi="Times New Roman"/>
          <w:sz w:val="28"/>
          <w:szCs w:val="28"/>
        </w:rPr>
        <w:t>Литература</w:t>
      </w:r>
    </w:p>
    <w:p w:rsidR="00B226FC" w:rsidRPr="00A3133C" w:rsidRDefault="00B226FC" w:rsidP="00A3133C">
      <w:pPr>
        <w:widowControl w:val="0"/>
        <w:shd w:val="clear" w:color="000000" w:fill="auto"/>
        <w:spacing w:after="0" w:line="360" w:lineRule="auto"/>
        <w:ind w:firstLine="709"/>
        <w:jc w:val="both"/>
        <w:rPr>
          <w:rFonts w:ascii="Times New Roman" w:hAnsi="Times New Roman"/>
          <w:b/>
          <w:sz w:val="28"/>
          <w:szCs w:val="28"/>
        </w:rPr>
      </w:pPr>
    </w:p>
    <w:p w:rsidR="00B226FC" w:rsidRPr="00A3133C" w:rsidRDefault="00B226FC" w:rsidP="00A3133C">
      <w:pPr>
        <w:widowControl w:val="0"/>
        <w:shd w:val="clear" w:color="000000" w:fill="auto"/>
        <w:spacing w:after="0" w:line="360" w:lineRule="auto"/>
        <w:ind w:firstLine="709"/>
        <w:jc w:val="both"/>
        <w:rPr>
          <w:rFonts w:ascii="Times New Roman" w:hAnsi="Times New Roman"/>
          <w:b/>
          <w:sz w:val="28"/>
          <w:szCs w:val="28"/>
        </w:rPr>
      </w:pPr>
      <w:r w:rsidRPr="00A3133C">
        <w:rPr>
          <w:rFonts w:ascii="Times New Roman" w:hAnsi="Times New Roman"/>
          <w:b/>
          <w:sz w:val="28"/>
          <w:szCs w:val="28"/>
        </w:rPr>
        <w:br w:type="page"/>
      </w:r>
    </w:p>
    <w:p w:rsidR="0012089F" w:rsidRPr="00A3133C" w:rsidRDefault="00A3133C" w:rsidP="00A3133C">
      <w:pPr>
        <w:widowControl w:val="0"/>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t xml:space="preserve">1. </w:t>
      </w:r>
      <w:r w:rsidR="0054223D" w:rsidRPr="00A3133C">
        <w:rPr>
          <w:rFonts w:ascii="Times New Roman" w:hAnsi="Times New Roman"/>
          <w:b/>
          <w:sz w:val="28"/>
          <w:szCs w:val="28"/>
        </w:rPr>
        <w:t>Этапы разработки и развития инвестиционной стратегии</w:t>
      </w:r>
    </w:p>
    <w:p w:rsidR="00A3133C" w:rsidRDefault="00A3133C" w:rsidP="00A3133C">
      <w:pPr>
        <w:widowControl w:val="0"/>
        <w:shd w:val="clear" w:color="000000" w:fill="auto"/>
        <w:spacing w:after="0" w:line="360" w:lineRule="auto"/>
        <w:ind w:firstLine="709"/>
        <w:jc w:val="both"/>
        <w:rPr>
          <w:rFonts w:ascii="Times New Roman" w:hAnsi="Times New Roman"/>
          <w:sz w:val="28"/>
          <w:szCs w:val="28"/>
        </w:rPr>
      </w:pPr>
    </w:p>
    <w:p w:rsidR="0054223D" w:rsidRPr="00A3133C" w:rsidRDefault="00A84541"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Инвестиционная стратегия - это формирование системы долгосрочных целей инвестиционной деятельности и выбор наиболее эффективных путей их достижения.</w:t>
      </w:r>
    </w:p>
    <w:p w:rsidR="00A84541" w:rsidRPr="00A3133C" w:rsidRDefault="00A84541"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 xml:space="preserve">Начальным этапом разработки инвестиционной стратегии компании (фирмы) является </w:t>
      </w:r>
      <w:r w:rsidRPr="00A3133C">
        <w:rPr>
          <w:rFonts w:ascii="Times New Roman" w:hAnsi="Times New Roman"/>
          <w:b/>
          <w:i/>
          <w:sz w:val="28"/>
          <w:szCs w:val="28"/>
        </w:rPr>
        <w:t>определение общего периода ее формирования</w:t>
      </w:r>
      <w:r w:rsidRPr="00A3133C">
        <w:rPr>
          <w:rFonts w:ascii="Times New Roman" w:hAnsi="Times New Roman"/>
          <w:sz w:val="28"/>
          <w:szCs w:val="28"/>
        </w:rPr>
        <w:t>. Этот период зависит от ряда условий.</w:t>
      </w:r>
    </w:p>
    <w:p w:rsidR="00A84541" w:rsidRPr="00A3133C" w:rsidRDefault="00A84541"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 xml:space="preserve">Главным условием определения периода формирования инвестиционной стратегии является предсказуемость развития экономики в целом и инвестиционного рынка, в частности. </w:t>
      </w:r>
      <w:r w:rsidR="003572EA" w:rsidRPr="00A3133C">
        <w:rPr>
          <w:rFonts w:ascii="Times New Roman" w:hAnsi="Times New Roman"/>
          <w:sz w:val="28"/>
          <w:szCs w:val="28"/>
        </w:rPr>
        <w:t>Одним из условий определения периода формирования инвестиционной стратегии компании является и ее отраслевая принадлежность.</w:t>
      </w:r>
    </w:p>
    <w:p w:rsidR="00D54279" w:rsidRPr="00A3133C" w:rsidRDefault="00496EB2"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Важным условием определения периода формирования инвестиционной стратегии является продолжительность периода, принятого для формирования общей экономической стратегии компании.</w:t>
      </w:r>
      <w:r w:rsidR="003572EA" w:rsidRPr="00A3133C">
        <w:rPr>
          <w:rFonts w:ascii="Times New Roman" w:hAnsi="Times New Roman"/>
          <w:sz w:val="28"/>
          <w:szCs w:val="28"/>
        </w:rPr>
        <w:t xml:space="preserve"> </w:t>
      </w:r>
      <w:r w:rsidR="00D54279" w:rsidRPr="00A3133C">
        <w:rPr>
          <w:rFonts w:ascii="Times New Roman" w:hAnsi="Times New Roman"/>
          <w:sz w:val="28"/>
          <w:szCs w:val="28"/>
        </w:rPr>
        <w:t>Так как инвестиционная стратегия носит по отношению к ней подчиненный характер, она не может выходить за пределы этого период периода (более короткий период формирования инвестиционной стратегии допустим, т.к. заключительные этапы экономической стратегии компании могут не требовать изменений инвестиционной деятельности).</w:t>
      </w:r>
    </w:p>
    <w:p w:rsidR="00D54279" w:rsidRPr="00A3133C" w:rsidRDefault="0091292B"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И, наконец, одним из условий определения период периода формирования инвестиционной стратегии является размер компании. Инвестиционная деятельность крупных компаний обычно прогнозируется на более длительный период.</w:t>
      </w:r>
    </w:p>
    <w:p w:rsidR="001D55D5" w:rsidRPr="00A3133C" w:rsidRDefault="00DD3329"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b/>
          <w:i/>
          <w:sz w:val="28"/>
          <w:szCs w:val="28"/>
        </w:rPr>
        <w:t>Формирование стратегических целей инвестиционной деятельности</w:t>
      </w:r>
      <w:r w:rsidRPr="00A3133C">
        <w:rPr>
          <w:rFonts w:ascii="Times New Roman" w:hAnsi="Times New Roman"/>
          <w:sz w:val="28"/>
          <w:szCs w:val="28"/>
        </w:rPr>
        <w:t xml:space="preserve"> должно исходить прежде всего из системы целей общей стратегии экономического развития. Эти цели могут быть сформированы в виде обеспечения прироста капитала; роста уровня прибыльности инвестиций и суммы дохода от инвестиционной деятельности, изменения пропорций в формах реального и финансового инвестирования; изменения технологической и воспроизводственной структуры капитальных вложений; изменения отраслевой и региональной направленности инвестиционных программ и т.п.</w:t>
      </w:r>
    </w:p>
    <w:p w:rsidR="00DD3329" w:rsidRPr="00A3133C" w:rsidRDefault="00D72A09"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При этом формирование стратегических целей инвестиционной деятельности должно увязываться со стадиями жизненного цикла и целями хозяйственной деятельности компании (фирмы). Разработка наиболее эффективных путей реализации стратегических целей инвестиционной деятельности осуществляется по двум направлениям. Одно из них охватывает разработку стратегических направлений инвестиционной деятельности, другое – разработку стратегии формирования инвестиционных ресурсов. Этот этап является наиболее ответственным и сложным.</w:t>
      </w:r>
    </w:p>
    <w:p w:rsidR="00D72A09" w:rsidRPr="00A3133C" w:rsidRDefault="00D72A09"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b/>
          <w:i/>
          <w:sz w:val="28"/>
          <w:szCs w:val="28"/>
        </w:rPr>
        <w:t>Конкретизация инвестиционной стратегии по периодам ее реализации</w:t>
      </w:r>
      <w:r w:rsidRPr="00A3133C">
        <w:rPr>
          <w:rFonts w:ascii="Times New Roman" w:hAnsi="Times New Roman"/>
          <w:sz w:val="28"/>
          <w:szCs w:val="28"/>
        </w:rPr>
        <w:t xml:space="preserve"> предусматривает установление последовательности и сроков достижения отдельных целей и стратегических задач. В процессе этой конкретизации обеспечивается внешняя и внутренняя синхронизация во времени. Внешняя синхронизация предусматривает согласование во времени реализации инвестиционной стратегии с общей стратегией экономического развития компании, а также с прогнозируемыми изменениями конъюнктуры инвестиционного рынка. Внутренняя синхронизация предусматривает согласование во времени реализации отдельных направлений инвестирования между собой, а также с формированием необходимых для этого инвестиционных ресурсов.</w:t>
      </w:r>
    </w:p>
    <w:p w:rsidR="00904723" w:rsidRPr="00A3133C" w:rsidRDefault="00904723"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b/>
          <w:i/>
          <w:sz w:val="28"/>
          <w:szCs w:val="28"/>
        </w:rPr>
        <w:t>Разработка стратегических направлений инвестиционной деятельности</w:t>
      </w:r>
      <w:r w:rsidRPr="00A3133C">
        <w:rPr>
          <w:rFonts w:ascii="Times New Roman" w:hAnsi="Times New Roman"/>
          <w:sz w:val="28"/>
          <w:szCs w:val="28"/>
        </w:rPr>
        <w:t xml:space="preserve"> базируется на системе целей этой деятельности. В процессе разработки последовательно решаются следующие задачи:</w:t>
      </w:r>
    </w:p>
    <w:p w:rsidR="00904723" w:rsidRPr="00A3133C" w:rsidRDefault="00904723"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1. Определение соотношения различных форм инвестирования на отдельны</w:t>
      </w:r>
      <w:r w:rsidR="00716721" w:rsidRPr="00A3133C">
        <w:rPr>
          <w:rFonts w:ascii="Times New Roman" w:hAnsi="Times New Roman"/>
          <w:sz w:val="28"/>
          <w:szCs w:val="28"/>
        </w:rPr>
        <w:t>х этапах перспективного периода;</w:t>
      </w:r>
    </w:p>
    <w:p w:rsidR="00904723" w:rsidRPr="00A3133C" w:rsidRDefault="00904723"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2. Определение отраслевой направленности инвестиционной деятельности</w:t>
      </w:r>
      <w:r w:rsidR="00716721" w:rsidRPr="00A3133C">
        <w:rPr>
          <w:rFonts w:ascii="Times New Roman" w:hAnsi="Times New Roman"/>
          <w:sz w:val="28"/>
          <w:szCs w:val="28"/>
        </w:rPr>
        <w:t>;</w:t>
      </w:r>
    </w:p>
    <w:p w:rsidR="00904723" w:rsidRPr="00A3133C" w:rsidRDefault="00904723"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3. Определение региональной направленности инвестиционной деятельности.</w:t>
      </w:r>
    </w:p>
    <w:p w:rsidR="00904723" w:rsidRPr="00A3133C" w:rsidRDefault="00904723"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 xml:space="preserve">Определение соотношения различных форм инвестирования на отдельных этапах перспективного периода связано, прежде всего, с функциональной направленностью деятельности компании (фирмы). </w:t>
      </w:r>
    </w:p>
    <w:p w:rsidR="00904723" w:rsidRPr="00A3133C" w:rsidRDefault="007B4799"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Соотношение различных форм инвестирования в длительной перспективе существенно колеблется в зависимости от стадий жизненного цикла компании или фирмы (за исключением институциональных инвесторов, для которых установлены пределы этого соотношения). Так, на стадиях «рождения» и «детства» подавляющая доля инвестиций носит реальную форму; на стадии «юности» эти инвестиции также преобладают, и лишь на более поздних стадиях жизненного цикла компании (фирмы) могут позволить себе существенное расширение удельного веса финансовых инвестиций.</w:t>
      </w:r>
    </w:p>
    <w:p w:rsidR="007B0EDE" w:rsidRPr="00A3133C" w:rsidRDefault="003F116B"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Определение отраслевой направленности инвестиционной деятельности является наиболее сложной задачей разработки инвестиционной стратегии. Она требует поэтапного подхода к прогнозированию инвестиционной деятельности в увязке с общей стратегией экономического развития компании.</w:t>
      </w:r>
    </w:p>
    <w:p w:rsidR="00E11C44" w:rsidRPr="00A3133C" w:rsidRDefault="00667545"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b/>
          <w:i/>
          <w:sz w:val="28"/>
          <w:szCs w:val="28"/>
        </w:rPr>
        <w:t>Разработка стратегии</w:t>
      </w:r>
      <w:r w:rsidR="00E11C44" w:rsidRPr="00A3133C">
        <w:rPr>
          <w:rFonts w:ascii="Times New Roman" w:hAnsi="Times New Roman"/>
          <w:b/>
          <w:i/>
          <w:sz w:val="28"/>
          <w:szCs w:val="28"/>
        </w:rPr>
        <w:t xml:space="preserve"> формир</w:t>
      </w:r>
      <w:r w:rsidRPr="00A3133C">
        <w:rPr>
          <w:rFonts w:ascii="Times New Roman" w:hAnsi="Times New Roman"/>
          <w:b/>
          <w:i/>
          <w:sz w:val="28"/>
          <w:szCs w:val="28"/>
        </w:rPr>
        <w:t>ования инвестиционных ресурсов</w:t>
      </w:r>
      <w:r w:rsidRPr="00A3133C">
        <w:rPr>
          <w:rFonts w:ascii="Times New Roman" w:hAnsi="Times New Roman"/>
          <w:sz w:val="28"/>
          <w:szCs w:val="28"/>
        </w:rPr>
        <w:t xml:space="preserve">. </w:t>
      </w:r>
      <w:r w:rsidR="00E11C44" w:rsidRPr="00A3133C">
        <w:rPr>
          <w:rFonts w:ascii="Times New Roman" w:hAnsi="Times New Roman"/>
          <w:sz w:val="28"/>
          <w:szCs w:val="28"/>
        </w:rPr>
        <w:t>Все направления и формы инвестиционной</w:t>
      </w:r>
      <w:r w:rsidRPr="00A3133C">
        <w:rPr>
          <w:rFonts w:ascii="Times New Roman" w:hAnsi="Times New Roman"/>
          <w:sz w:val="28"/>
          <w:szCs w:val="28"/>
        </w:rPr>
        <w:t xml:space="preserve"> деятельности компании (фирмы) </w:t>
      </w:r>
      <w:r w:rsidR="00E11C44" w:rsidRPr="00A3133C">
        <w:rPr>
          <w:rFonts w:ascii="Times New Roman" w:hAnsi="Times New Roman"/>
          <w:sz w:val="28"/>
          <w:szCs w:val="28"/>
        </w:rPr>
        <w:t>осуществляются за счет формируем</w:t>
      </w:r>
      <w:r w:rsidRPr="00A3133C">
        <w:rPr>
          <w:rFonts w:ascii="Times New Roman" w:hAnsi="Times New Roman"/>
          <w:sz w:val="28"/>
          <w:szCs w:val="28"/>
        </w:rPr>
        <w:t xml:space="preserve">ых ею инвестиционных ресурсов. </w:t>
      </w:r>
      <w:r w:rsidR="00E11C44" w:rsidRPr="00A3133C">
        <w:rPr>
          <w:rFonts w:ascii="Times New Roman" w:hAnsi="Times New Roman"/>
          <w:sz w:val="28"/>
          <w:szCs w:val="28"/>
        </w:rPr>
        <w:t xml:space="preserve">Инвестиционные ресурсы представляют </w:t>
      </w:r>
      <w:r w:rsidRPr="00A3133C">
        <w:rPr>
          <w:rFonts w:ascii="Times New Roman" w:hAnsi="Times New Roman"/>
          <w:sz w:val="28"/>
          <w:szCs w:val="28"/>
        </w:rPr>
        <w:t xml:space="preserve">собой все виды денежных и иных </w:t>
      </w:r>
      <w:r w:rsidR="00E11C44" w:rsidRPr="00A3133C">
        <w:rPr>
          <w:rFonts w:ascii="Times New Roman" w:hAnsi="Times New Roman"/>
          <w:sz w:val="28"/>
          <w:szCs w:val="28"/>
        </w:rPr>
        <w:t>активов, привлекаемых для осуществления вложений в объекты инвестирования.</w:t>
      </w:r>
    </w:p>
    <w:p w:rsidR="00E11C44" w:rsidRPr="00A3133C" w:rsidRDefault="00E11C44"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Стратегия формирования инвестиционных ресу</w:t>
      </w:r>
      <w:r w:rsidR="00667545" w:rsidRPr="00A3133C">
        <w:rPr>
          <w:rFonts w:ascii="Times New Roman" w:hAnsi="Times New Roman"/>
          <w:sz w:val="28"/>
          <w:szCs w:val="28"/>
        </w:rPr>
        <w:t xml:space="preserve">рсов является важным составным </w:t>
      </w:r>
      <w:r w:rsidRPr="00A3133C">
        <w:rPr>
          <w:rFonts w:ascii="Times New Roman" w:hAnsi="Times New Roman"/>
          <w:sz w:val="28"/>
          <w:szCs w:val="28"/>
        </w:rPr>
        <w:t>элементом не только инвестиционной, но и</w:t>
      </w:r>
      <w:r w:rsidR="00667545" w:rsidRPr="00A3133C">
        <w:rPr>
          <w:rFonts w:ascii="Times New Roman" w:hAnsi="Times New Roman"/>
          <w:sz w:val="28"/>
          <w:szCs w:val="28"/>
        </w:rPr>
        <w:t xml:space="preserve"> финансовой стратегии компании</w:t>
      </w:r>
      <w:r w:rsidR="00A3133C" w:rsidRPr="00A3133C">
        <w:rPr>
          <w:rFonts w:ascii="Times New Roman" w:hAnsi="Times New Roman"/>
          <w:sz w:val="28"/>
          <w:szCs w:val="28"/>
        </w:rPr>
        <w:t xml:space="preserve"> </w:t>
      </w:r>
      <w:r w:rsidRPr="00A3133C">
        <w:rPr>
          <w:rFonts w:ascii="Times New Roman" w:hAnsi="Times New Roman"/>
          <w:sz w:val="28"/>
          <w:szCs w:val="28"/>
        </w:rPr>
        <w:t>(фирмы). Разработка такой стратегии при</w:t>
      </w:r>
      <w:r w:rsidR="00667545" w:rsidRPr="00A3133C">
        <w:rPr>
          <w:rFonts w:ascii="Times New Roman" w:hAnsi="Times New Roman"/>
          <w:sz w:val="28"/>
          <w:szCs w:val="28"/>
        </w:rPr>
        <w:t xml:space="preserve">звана обеспечить бесперебойную </w:t>
      </w:r>
      <w:r w:rsidRPr="00A3133C">
        <w:rPr>
          <w:rFonts w:ascii="Times New Roman" w:hAnsi="Times New Roman"/>
          <w:sz w:val="28"/>
          <w:szCs w:val="28"/>
        </w:rPr>
        <w:t>инвестиционную деятельность в предусмотренных объемах; наиболее эффективное использование собственных финансовых средств, направляемых на эти цели, а также финансовую устойчивость компании (фирмы) в долгосрочной перспективе.</w:t>
      </w:r>
    </w:p>
    <w:p w:rsidR="00083EF2" w:rsidRPr="00A3133C" w:rsidRDefault="00E11C44"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Методические подходы к разработке стратег</w:t>
      </w:r>
      <w:r w:rsidR="00667545" w:rsidRPr="00A3133C">
        <w:rPr>
          <w:rFonts w:ascii="Times New Roman" w:hAnsi="Times New Roman"/>
          <w:sz w:val="28"/>
          <w:szCs w:val="28"/>
        </w:rPr>
        <w:t xml:space="preserve">ии формирования инвестиционных </w:t>
      </w:r>
      <w:r w:rsidRPr="00A3133C">
        <w:rPr>
          <w:rFonts w:ascii="Times New Roman" w:hAnsi="Times New Roman"/>
          <w:sz w:val="28"/>
          <w:szCs w:val="28"/>
        </w:rPr>
        <w:t>ресурсов суще</w:t>
      </w:r>
      <w:r w:rsidR="00667545" w:rsidRPr="00A3133C">
        <w:rPr>
          <w:rFonts w:ascii="Times New Roman" w:hAnsi="Times New Roman"/>
          <w:sz w:val="28"/>
          <w:szCs w:val="28"/>
        </w:rPr>
        <w:t>ственно различаются в компаниях, являющихся институци</w:t>
      </w:r>
      <w:r w:rsidRPr="00A3133C">
        <w:rPr>
          <w:rFonts w:ascii="Times New Roman" w:hAnsi="Times New Roman"/>
          <w:sz w:val="28"/>
          <w:szCs w:val="28"/>
        </w:rPr>
        <w:t>ональными инвесторами, формирующим</w:t>
      </w:r>
      <w:r w:rsidR="00667545" w:rsidRPr="00A3133C">
        <w:rPr>
          <w:rFonts w:ascii="Times New Roman" w:hAnsi="Times New Roman"/>
          <w:sz w:val="28"/>
          <w:szCs w:val="28"/>
        </w:rPr>
        <w:t xml:space="preserve">и эти ресурсы исключительно за </w:t>
      </w:r>
      <w:r w:rsidRPr="00A3133C">
        <w:rPr>
          <w:rFonts w:ascii="Times New Roman" w:hAnsi="Times New Roman"/>
          <w:sz w:val="28"/>
          <w:szCs w:val="28"/>
        </w:rPr>
        <w:t>счет эмиссии собственных акций и ин</w:t>
      </w:r>
      <w:r w:rsidR="00667545" w:rsidRPr="00A3133C">
        <w:rPr>
          <w:rFonts w:ascii="Times New Roman" w:hAnsi="Times New Roman"/>
          <w:sz w:val="28"/>
          <w:szCs w:val="28"/>
        </w:rPr>
        <w:t xml:space="preserve">вестиционных сертификатов, и в </w:t>
      </w:r>
      <w:r w:rsidRPr="00A3133C">
        <w:rPr>
          <w:rFonts w:ascii="Times New Roman" w:hAnsi="Times New Roman"/>
          <w:sz w:val="28"/>
          <w:szCs w:val="28"/>
        </w:rPr>
        <w:t>компаниях, осуществляющих реальную инвестици</w:t>
      </w:r>
      <w:r w:rsidR="00667545" w:rsidRPr="00A3133C">
        <w:rPr>
          <w:rFonts w:ascii="Times New Roman" w:hAnsi="Times New Roman"/>
          <w:sz w:val="28"/>
          <w:szCs w:val="28"/>
        </w:rPr>
        <w:t xml:space="preserve">онную деятельность в различных </w:t>
      </w:r>
      <w:r w:rsidRPr="00A3133C">
        <w:rPr>
          <w:rFonts w:ascii="Times New Roman" w:hAnsi="Times New Roman"/>
          <w:sz w:val="28"/>
          <w:szCs w:val="28"/>
        </w:rPr>
        <w:t>отраслях экономики.</w:t>
      </w:r>
    </w:p>
    <w:p w:rsidR="00667545" w:rsidRPr="00A3133C" w:rsidRDefault="00667545"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Прогнозирование потребности в общем объеме инвестиционных ресурсов осуществляется в такой последовательности:</w:t>
      </w:r>
    </w:p>
    <w:p w:rsidR="00667545" w:rsidRPr="00A3133C" w:rsidRDefault="00667545"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На первой стадии определяется необходимый объем финансовых средств для реального инвестирования. В этих целях в разрезе предусмотренных направлениями инвестиционной стратегии отраслей подбираются необходимые объекты-аналоги, по которым рассчитывается стоимость нового строительства или приобретения.</w:t>
      </w:r>
    </w:p>
    <w:p w:rsidR="00667545" w:rsidRPr="00A3133C" w:rsidRDefault="00667545"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На второй стадии прогнозирования потребности определяется необходимый объём инвестиционных ресурсов для осуществления финансовых инвестиций. Расчет этой потребности основывается на установленных ранее соотношениях различных форм инвестирования в прогнозируемом периоде.</w:t>
      </w:r>
    </w:p>
    <w:p w:rsidR="00667545" w:rsidRPr="00A3133C" w:rsidRDefault="00667545"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Общая потребность в инвестиционных ресурсах для осуществления финансовых инвестиций определяется путем суммирования потребности в них в первом</w:t>
      </w:r>
      <w:r w:rsidR="00A3133C" w:rsidRPr="00A3133C">
        <w:rPr>
          <w:rFonts w:ascii="Times New Roman" w:hAnsi="Times New Roman"/>
          <w:sz w:val="28"/>
          <w:szCs w:val="28"/>
        </w:rPr>
        <w:t xml:space="preserve"> </w:t>
      </w:r>
      <w:r w:rsidRPr="00A3133C">
        <w:rPr>
          <w:rFonts w:ascii="Times New Roman" w:hAnsi="Times New Roman"/>
          <w:sz w:val="28"/>
          <w:szCs w:val="28"/>
        </w:rPr>
        <w:t>(начальном) периоде и размеров прироста этих ресурсов в каждом последующем периоде.</w:t>
      </w:r>
    </w:p>
    <w:p w:rsidR="00667545" w:rsidRPr="00A3133C" w:rsidRDefault="00667545"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На третьей стадии прогнозирования потребности определяется общий объём необходимых инвестиционных ресурсов. Он рассчитывается путем суммирования потребности в инвестиционных ресурсах для реального инвестирования, потребности в этих ресурсах для осуществления финансовых инвестиций и суммы резер</w:t>
      </w:r>
      <w:r w:rsidR="006074E4" w:rsidRPr="00A3133C">
        <w:rPr>
          <w:rFonts w:ascii="Times New Roman" w:hAnsi="Times New Roman"/>
          <w:sz w:val="28"/>
          <w:szCs w:val="28"/>
        </w:rPr>
        <w:t>ва капитала</w:t>
      </w:r>
      <w:r w:rsidRPr="00A3133C">
        <w:rPr>
          <w:rFonts w:ascii="Times New Roman" w:hAnsi="Times New Roman"/>
          <w:sz w:val="28"/>
          <w:szCs w:val="28"/>
        </w:rPr>
        <w:t>.</w:t>
      </w:r>
    </w:p>
    <w:p w:rsidR="00667545" w:rsidRPr="00A3133C" w:rsidRDefault="00667545"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Изучение возможностей формирования инвестиционных ресурсов за сч</w:t>
      </w:r>
      <w:r w:rsidR="006074E4" w:rsidRPr="00A3133C">
        <w:rPr>
          <w:rFonts w:ascii="Times New Roman" w:hAnsi="Times New Roman"/>
          <w:sz w:val="28"/>
          <w:szCs w:val="28"/>
        </w:rPr>
        <w:t xml:space="preserve">ет </w:t>
      </w:r>
      <w:r w:rsidRPr="00A3133C">
        <w:rPr>
          <w:rFonts w:ascii="Times New Roman" w:hAnsi="Times New Roman"/>
          <w:sz w:val="28"/>
          <w:szCs w:val="28"/>
        </w:rPr>
        <w:t xml:space="preserve">различных источников является вторым </w:t>
      </w:r>
      <w:r w:rsidR="006074E4" w:rsidRPr="00A3133C">
        <w:rPr>
          <w:rFonts w:ascii="Times New Roman" w:hAnsi="Times New Roman"/>
          <w:sz w:val="28"/>
          <w:szCs w:val="28"/>
        </w:rPr>
        <w:t xml:space="preserve">этапом разработки стратегии. В </w:t>
      </w:r>
      <w:r w:rsidRPr="00A3133C">
        <w:rPr>
          <w:rFonts w:ascii="Times New Roman" w:hAnsi="Times New Roman"/>
          <w:sz w:val="28"/>
          <w:szCs w:val="28"/>
        </w:rPr>
        <w:t>процессе э</w:t>
      </w:r>
      <w:r w:rsidR="006074E4" w:rsidRPr="00A3133C">
        <w:rPr>
          <w:rFonts w:ascii="Times New Roman" w:hAnsi="Times New Roman"/>
          <w:sz w:val="28"/>
          <w:szCs w:val="28"/>
        </w:rPr>
        <w:t xml:space="preserve">того этапа работ рассматриваются возможные источники </w:t>
      </w:r>
      <w:r w:rsidRPr="00A3133C">
        <w:rPr>
          <w:rFonts w:ascii="Times New Roman" w:hAnsi="Times New Roman"/>
          <w:sz w:val="28"/>
          <w:szCs w:val="28"/>
        </w:rPr>
        <w:t>формирования инвестиционных ресурсов с учетом</w:t>
      </w:r>
      <w:r w:rsidR="006074E4" w:rsidRPr="00A3133C">
        <w:rPr>
          <w:rFonts w:ascii="Times New Roman" w:hAnsi="Times New Roman"/>
          <w:sz w:val="28"/>
          <w:szCs w:val="28"/>
        </w:rPr>
        <w:t xml:space="preserve"> специфики </w:t>
      </w:r>
      <w:r w:rsidRPr="00A3133C">
        <w:rPr>
          <w:rFonts w:ascii="Times New Roman" w:hAnsi="Times New Roman"/>
          <w:sz w:val="28"/>
          <w:szCs w:val="28"/>
        </w:rPr>
        <w:t>деятельности той или иной компании (фирмы).</w:t>
      </w:r>
    </w:p>
    <w:p w:rsidR="006074E4" w:rsidRPr="00A3133C" w:rsidRDefault="006074E4"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Все источники формирования инвестиционных ресурсов подразделяются на три основные группы, - 1)собственные, 2)заёмные 3) привлеченные.</w:t>
      </w:r>
    </w:p>
    <w:p w:rsidR="006074E4" w:rsidRPr="00A3133C" w:rsidRDefault="00B60F9B"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Из всего многообразия источников формирования инвестиционных ресурсов при разработке инвестиционной стратегии компании (фирмы) могут быть учтены лишь основные из них.</w:t>
      </w:r>
    </w:p>
    <w:p w:rsidR="00B60F9B" w:rsidRPr="00A3133C" w:rsidRDefault="00B60F9B"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 xml:space="preserve">Определение методов финансирования отдельных инвестиционных программ и проектов позволяет рассчитать пропорции в структуре источников инвестиционных ресурсов. </w:t>
      </w:r>
    </w:p>
    <w:p w:rsidR="00B60F9B" w:rsidRPr="00A3133C" w:rsidRDefault="00B60F9B"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Оптимизация структуры источников формирования инвестиционных ресурсов является заключительным этапом разработки стратегии их формирования. Необходимость такой оптимизации определяется тем, что рассчитанное соотношение внутренних и внешних источников формирования инвестиционных ресурсов может не соответствовать требованиям финансовой стратегии компании и существенно снижать уровень ее финансовой устойчивости.</w:t>
      </w:r>
    </w:p>
    <w:p w:rsidR="00B60F9B" w:rsidRPr="00A3133C" w:rsidRDefault="00B60F9B"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Главными критериями оптимизации соотношения внутренних и внешних источников финансирования инвестиционной деятельности выступают:</w:t>
      </w:r>
    </w:p>
    <w:p w:rsidR="00B60F9B" w:rsidRPr="00A3133C" w:rsidRDefault="00B60F9B"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1) необходимость обеспечения высокой финансовой устойчивости компании</w:t>
      </w:r>
      <w:r w:rsidR="00A3133C" w:rsidRPr="00A3133C">
        <w:rPr>
          <w:rFonts w:ascii="Times New Roman" w:hAnsi="Times New Roman"/>
          <w:sz w:val="28"/>
          <w:szCs w:val="28"/>
        </w:rPr>
        <w:t xml:space="preserve"> </w:t>
      </w:r>
      <w:r w:rsidRPr="00A3133C">
        <w:rPr>
          <w:rFonts w:ascii="Times New Roman" w:hAnsi="Times New Roman"/>
          <w:sz w:val="28"/>
          <w:szCs w:val="28"/>
        </w:rPr>
        <w:t>(фирмы);</w:t>
      </w:r>
    </w:p>
    <w:p w:rsidR="00B60F9B" w:rsidRPr="00A3133C" w:rsidRDefault="00B60F9B"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2) максимизация суммы прибыли от инвестиционной деятельности, остающаяся в распоряжении первоначальных учредителей компании (фирмы), при различных соотношениях внутренних и внешних источников финансирования этой деятельности.</w:t>
      </w:r>
    </w:p>
    <w:p w:rsidR="00A3133C" w:rsidRDefault="00A3133C">
      <w:pPr>
        <w:rPr>
          <w:rFonts w:ascii="Times New Roman" w:hAnsi="Times New Roman"/>
          <w:sz w:val="28"/>
          <w:szCs w:val="28"/>
        </w:rPr>
      </w:pPr>
      <w:r>
        <w:rPr>
          <w:rFonts w:ascii="Times New Roman" w:hAnsi="Times New Roman"/>
          <w:sz w:val="28"/>
          <w:szCs w:val="28"/>
        </w:rPr>
        <w:br w:type="page"/>
      </w:r>
    </w:p>
    <w:p w:rsidR="00423FC1" w:rsidRPr="00A3133C" w:rsidRDefault="00A3133C" w:rsidP="00A3133C">
      <w:pPr>
        <w:widowControl w:val="0"/>
        <w:shd w:val="clear" w:color="000000" w:fill="auto"/>
        <w:spacing w:after="0" w:line="360" w:lineRule="auto"/>
        <w:ind w:firstLine="709"/>
        <w:jc w:val="both"/>
        <w:rPr>
          <w:rFonts w:ascii="Times New Roman" w:hAnsi="Times New Roman"/>
          <w:b/>
          <w:sz w:val="28"/>
          <w:szCs w:val="28"/>
        </w:rPr>
      </w:pPr>
      <w:r w:rsidRPr="00A3133C">
        <w:rPr>
          <w:rFonts w:ascii="Times New Roman" w:hAnsi="Times New Roman"/>
          <w:b/>
          <w:sz w:val="28"/>
          <w:szCs w:val="28"/>
        </w:rPr>
        <w:t xml:space="preserve">2. </w:t>
      </w:r>
      <w:r w:rsidR="00423FC1" w:rsidRPr="00A3133C">
        <w:rPr>
          <w:rFonts w:ascii="Times New Roman" w:hAnsi="Times New Roman"/>
          <w:b/>
          <w:sz w:val="28"/>
          <w:szCs w:val="28"/>
        </w:rPr>
        <w:t>Классификация инструментов рынка ценных бумаг. Их характеристика</w:t>
      </w:r>
    </w:p>
    <w:p w:rsidR="00A3133C" w:rsidRDefault="00A3133C" w:rsidP="00A3133C">
      <w:pPr>
        <w:widowControl w:val="0"/>
        <w:shd w:val="clear" w:color="000000" w:fill="auto"/>
        <w:spacing w:after="0" w:line="360" w:lineRule="auto"/>
        <w:ind w:firstLine="709"/>
        <w:jc w:val="both"/>
        <w:rPr>
          <w:rFonts w:ascii="Times New Roman" w:hAnsi="Times New Roman"/>
          <w:b/>
          <w:bCs/>
          <w:i/>
          <w:sz w:val="28"/>
          <w:szCs w:val="28"/>
        </w:rPr>
      </w:pPr>
    </w:p>
    <w:p w:rsidR="00423FC1" w:rsidRPr="00A3133C" w:rsidRDefault="0065371B"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b/>
          <w:bCs/>
          <w:i/>
          <w:sz w:val="28"/>
          <w:szCs w:val="28"/>
        </w:rPr>
        <w:t>Инструменты рынка ценных бумаг</w:t>
      </w:r>
      <w:r w:rsidRPr="00A3133C">
        <w:rPr>
          <w:rFonts w:ascii="Times New Roman" w:hAnsi="Times New Roman"/>
          <w:sz w:val="28"/>
          <w:szCs w:val="28"/>
        </w:rPr>
        <w:t xml:space="preserve"> — это различные формы финансовых обязательств (для краткосрочного и долгосрочного инвестирования), торговля которыми осуществляется на рынке ценных бумаг. </w:t>
      </w:r>
    </w:p>
    <w:p w:rsidR="00966612" w:rsidRPr="00A3133C" w:rsidRDefault="00966612"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b/>
          <w:bCs/>
          <w:sz w:val="28"/>
          <w:szCs w:val="28"/>
        </w:rPr>
        <w:t xml:space="preserve">Ценная бумага </w:t>
      </w:r>
      <w:r w:rsidRPr="00A3133C">
        <w:rPr>
          <w:rFonts w:ascii="Times New Roman" w:hAnsi="Times New Roman"/>
          <w:sz w:val="28"/>
          <w:szCs w:val="28"/>
        </w:rPr>
        <w:t>-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r w:rsidRPr="00A3133C">
        <w:rPr>
          <w:rFonts w:ascii="Times New Roman" w:hAnsi="Times New Roman"/>
          <w:sz w:val="28"/>
        </w:rPr>
        <w:t xml:space="preserve"> </w:t>
      </w:r>
      <w:r w:rsidRPr="00A3133C">
        <w:rPr>
          <w:rFonts w:ascii="Times New Roman" w:hAnsi="Times New Roman"/>
          <w:sz w:val="28"/>
          <w:szCs w:val="28"/>
        </w:rPr>
        <w:t>С юридической точки зрения ценная бумага может рассматриваться как титул имущественных прав, а также как движимое имущество. С экономической точки зрения ценная бумага - представитель капитала. Ценные бумаги можно классифицировать по следующим признакам:</w:t>
      </w:r>
    </w:p>
    <w:p w:rsidR="00966612" w:rsidRPr="00A3133C" w:rsidRDefault="00966612"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b/>
          <w:bCs/>
          <w:i/>
          <w:iCs/>
          <w:sz w:val="28"/>
          <w:szCs w:val="28"/>
        </w:rPr>
        <w:t>- срок существования:</w:t>
      </w:r>
      <w:r w:rsidRPr="00A3133C">
        <w:rPr>
          <w:rFonts w:ascii="Times New Roman" w:hAnsi="Times New Roman"/>
          <w:sz w:val="28"/>
          <w:szCs w:val="28"/>
        </w:rPr>
        <w:t xml:space="preserve"> срочные (краткосрочные, среднесрочные, долгосрочные и отзывные) и бессрочные; </w:t>
      </w:r>
    </w:p>
    <w:p w:rsidR="00966612" w:rsidRPr="00A3133C" w:rsidRDefault="00966612"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b/>
          <w:bCs/>
          <w:i/>
          <w:iCs/>
          <w:sz w:val="28"/>
          <w:szCs w:val="28"/>
        </w:rPr>
        <w:t>- форма существования:</w:t>
      </w:r>
      <w:r w:rsidRPr="00A3133C">
        <w:rPr>
          <w:rFonts w:ascii="Times New Roman" w:hAnsi="Times New Roman"/>
          <w:sz w:val="28"/>
          <w:szCs w:val="28"/>
        </w:rPr>
        <w:t xml:space="preserve"> бумажная (документарная) или безбумажная (бездокументарная); </w:t>
      </w:r>
    </w:p>
    <w:p w:rsidR="00966612" w:rsidRPr="00A3133C" w:rsidRDefault="00966612"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b/>
          <w:bCs/>
          <w:i/>
          <w:iCs/>
          <w:sz w:val="28"/>
          <w:szCs w:val="28"/>
        </w:rPr>
        <w:t>- порядок фиксации владельца:</w:t>
      </w:r>
      <w:r w:rsidRPr="00A3133C">
        <w:rPr>
          <w:rFonts w:ascii="Times New Roman" w:hAnsi="Times New Roman"/>
          <w:sz w:val="28"/>
          <w:szCs w:val="28"/>
        </w:rPr>
        <w:t xml:space="preserve"> именные или предъявительские; </w:t>
      </w:r>
    </w:p>
    <w:p w:rsidR="00966612" w:rsidRPr="00A3133C" w:rsidRDefault="00966612"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b/>
          <w:bCs/>
          <w:i/>
          <w:iCs/>
          <w:sz w:val="28"/>
          <w:szCs w:val="28"/>
        </w:rPr>
        <w:t>- форма обращения (порядок передачи):</w:t>
      </w:r>
      <w:r w:rsidRPr="00A3133C">
        <w:rPr>
          <w:rFonts w:ascii="Times New Roman" w:hAnsi="Times New Roman"/>
          <w:sz w:val="28"/>
          <w:szCs w:val="28"/>
        </w:rPr>
        <w:t xml:space="preserve"> передаваемые по соглашению сторон (путем вручения, путем цессии) или ордерные (передаваемые путем приказа владельца - индоссамента);</w:t>
      </w:r>
    </w:p>
    <w:p w:rsidR="00966612" w:rsidRPr="00A3133C" w:rsidRDefault="00966612"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b/>
          <w:bCs/>
          <w:i/>
          <w:iCs/>
          <w:sz w:val="28"/>
          <w:szCs w:val="28"/>
        </w:rPr>
        <w:t>- форма выпуска:</w:t>
      </w:r>
      <w:r w:rsidRPr="00A3133C">
        <w:rPr>
          <w:rFonts w:ascii="Times New Roman" w:hAnsi="Times New Roman"/>
          <w:sz w:val="28"/>
          <w:szCs w:val="28"/>
        </w:rPr>
        <w:t xml:space="preserve"> эмиссионные или неэмиссионные; </w:t>
      </w:r>
    </w:p>
    <w:p w:rsidR="00966612" w:rsidRPr="00A3133C" w:rsidRDefault="00966612"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b/>
          <w:bCs/>
          <w:i/>
          <w:iCs/>
          <w:sz w:val="28"/>
          <w:szCs w:val="28"/>
        </w:rPr>
        <w:t>- регистрируемость:</w:t>
      </w:r>
      <w:r w:rsidRPr="00A3133C">
        <w:rPr>
          <w:rFonts w:ascii="Times New Roman" w:hAnsi="Times New Roman"/>
          <w:sz w:val="28"/>
          <w:szCs w:val="28"/>
        </w:rPr>
        <w:t xml:space="preserve"> регистрируемые (государственная регистрация или регистрация ЦБ РФ) и нерегистрируемые; </w:t>
      </w:r>
    </w:p>
    <w:p w:rsidR="00966612" w:rsidRPr="00A3133C" w:rsidRDefault="00966612"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b/>
          <w:bCs/>
          <w:i/>
          <w:iCs/>
          <w:sz w:val="28"/>
          <w:szCs w:val="28"/>
        </w:rPr>
        <w:t>- национальная принадлежность:</w:t>
      </w:r>
      <w:r w:rsidRPr="00A3133C">
        <w:rPr>
          <w:rFonts w:ascii="Times New Roman" w:hAnsi="Times New Roman"/>
          <w:sz w:val="28"/>
          <w:szCs w:val="28"/>
        </w:rPr>
        <w:t xml:space="preserve"> российские или иностранные; </w:t>
      </w:r>
    </w:p>
    <w:p w:rsidR="00966612" w:rsidRPr="00A3133C" w:rsidRDefault="00966612"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b/>
          <w:bCs/>
          <w:i/>
          <w:iCs/>
          <w:sz w:val="28"/>
          <w:szCs w:val="28"/>
        </w:rPr>
        <w:t>- вид эмитента:</w:t>
      </w:r>
      <w:r w:rsidRPr="00A3133C">
        <w:rPr>
          <w:rFonts w:ascii="Times New Roman" w:hAnsi="Times New Roman"/>
          <w:sz w:val="28"/>
          <w:szCs w:val="28"/>
        </w:rPr>
        <w:t xml:space="preserve"> государственный (федеральный или муниципальный) и негосударственный (корпоративный или частный); </w:t>
      </w:r>
    </w:p>
    <w:p w:rsidR="00966612" w:rsidRPr="00A3133C" w:rsidRDefault="00966612"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b/>
          <w:bCs/>
          <w:i/>
          <w:iCs/>
          <w:sz w:val="28"/>
          <w:szCs w:val="28"/>
        </w:rPr>
        <w:t>- обращаемость:</w:t>
      </w:r>
      <w:r w:rsidRPr="00A3133C">
        <w:rPr>
          <w:rFonts w:ascii="Times New Roman" w:hAnsi="Times New Roman"/>
          <w:sz w:val="28"/>
          <w:szCs w:val="28"/>
        </w:rPr>
        <w:t xml:space="preserve"> рыночные или нерыночные; </w:t>
      </w:r>
    </w:p>
    <w:p w:rsidR="00966612" w:rsidRPr="00A3133C" w:rsidRDefault="00966612"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b/>
          <w:bCs/>
          <w:i/>
          <w:iCs/>
          <w:sz w:val="28"/>
          <w:szCs w:val="28"/>
        </w:rPr>
        <w:t>- цели использования:</w:t>
      </w:r>
      <w:r w:rsidRPr="00A3133C">
        <w:rPr>
          <w:rFonts w:ascii="Times New Roman" w:hAnsi="Times New Roman"/>
          <w:sz w:val="28"/>
          <w:szCs w:val="28"/>
        </w:rPr>
        <w:t xml:space="preserve"> инвестиционные (цель - получение дохода) или неинвестиционные (обслуживают оборот на товарных рынках); </w:t>
      </w:r>
    </w:p>
    <w:p w:rsidR="00966612" w:rsidRPr="00A3133C" w:rsidRDefault="00966612"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b/>
          <w:bCs/>
          <w:i/>
          <w:iCs/>
          <w:sz w:val="28"/>
          <w:szCs w:val="28"/>
        </w:rPr>
        <w:t>- уровень риска:</w:t>
      </w:r>
      <w:r w:rsidRPr="00A3133C">
        <w:rPr>
          <w:rFonts w:ascii="Times New Roman" w:hAnsi="Times New Roman"/>
          <w:sz w:val="28"/>
          <w:szCs w:val="28"/>
        </w:rPr>
        <w:t xml:space="preserve"> безрисковые или рисковые (низкорисковые, среднерисковые или высокорисковые); </w:t>
      </w:r>
    </w:p>
    <w:p w:rsidR="00966612" w:rsidRPr="00A3133C" w:rsidRDefault="00966612"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b/>
          <w:bCs/>
          <w:i/>
          <w:iCs/>
          <w:sz w:val="28"/>
          <w:szCs w:val="28"/>
        </w:rPr>
        <w:t>- наличие начисляемого дохода:</w:t>
      </w:r>
      <w:r w:rsidRPr="00A3133C">
        <w:rPr>
          <w:rFonts w:ascii="Times New Roman" w:hAnsi="Times New Roman"/>
          <w:sz w:val="28"/>
          <w:szCs w:val="28"/>
        </w:rPr>
        <w:t xml:space="preserve"> бездоходные или доходные (процентные, дивидендные, дисконтные); </w:t>
      </w:r>
    </w:p>
    <w:p w:rsidR="00966612" w:rsidRPr="00A3133C" w:rsidRDefault="00966612"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b/>
          <w:bCs/>
          <w:i/>
          <w:iCs/>
          <w:sz w:val="28"/>
          <w:szCs w:val="28"/>
        </w:rPr>
        <w:t>- номинал:</w:t>
      </w:r>
      <w:r w:rsidRPr="00A3133C">
        <w:rPr>
          <w:rFonts w:ascii="Times New Roman" w:hAnsi="Times New Roman"/>
          <w:sz w:val="28"/>
          <w:szCs w:val="28"/>
        </w:rPr>
        <w:t xml:space="preserve"> постоянный или переменный.</w:t>
      </w:r>
    </w:p>
    <w:p w:rsidR="0065371B" w:rsidRPr="00A3133C" w:rsidRDefault="00254AE3"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 xml:space="preserve">Инструменты рынка ценных бумаг могут быть </w:t>
      </w:r>
      <w:r w:rsidRPr="00A3133C">
        <w:rPr>
          <w:rFonts w:ascii="Times New Roman" w:hAnsi="Times New Roman"/>
          <w:b/>
          <w:sz w:val="28"/>
          <w:szCs w:val="28"/>
        </w:rPr>
        <w:t>основными</w:t>
      </w:r>
      <w:r w:rsidRPr="00A3133C">
        <w:rPr>
          <w:rFonts w:ascii="Times New Roman" w:hAnsi="Times New Roman"/>
          <w:sz w:val="28"/>
          <w:szCs w:val="28"/>
        </w:rPr>
        <w:t xml:space="preserve"> и </w:t>
      </w:r>
      <w:r w:rsidRPr="00A3133C">
        <w:rPr>
          <w:rFonts w:ascii="Times New Roman" w:hAnsi="Times New Roman"/>
          <w:b/>
          <w:sz w:val="28"/>
          <w:szCs w:val="28"/>
        </w:rPr>
        <w:t>производными</w:t>
      </w:r>
      <w:r w:rsidRPr="00A3133C">
        <w:rPr>
          <w:rFonts w:ascii="Times New Roman" w:hAnsi="Times New Roman"/>
          <w:sz w:val="28"/>
          <w:szCs w:val="28"/>
        </w:rPr>
        <w:t>.</w:t>
      </w:r>
    </w:p>
    <w:p w:rsidR="00254AE3" w:rsidRPr="00A3133C" w:rsidRDefault="00254AE3"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 xml:space="preserve">Основные ценные бумаги — это ценные бумаги, в основе которых лежат имущественные права на какой-либо актив (товар, деньги, капитал, имущество, ресурсы и т.д.). Основные ценные бумаги подразделяются на </w:t>
      </w:r>
      <w:r w:rsidRPr="00A3133C">
        <w:rPr>
          <w:rFonts w:ascii="Times New Roman" w:hAnsi="Times New Roman"/>
          <w:b/>
          <w:sz w:val="28"/>
          <w:szCs w:val="28"/>
        </w:rPr>
        <w:t>первичные</w:t>
      </w:r>
      <w:r w:rsidRPr="00A3133C">
        <w:rPr>
          <w:rFonts w:ascii="Times New Roman" w:hAnsi="Times New Roman"/>
          <w:sz w:val="28"/>
          <w:szCs w:val="28"/>
        </w:rPr>
        <w:t xml:space="preserve"> и </w:t>
      </w:r>
      <w:r w:rsidRPr="00A3133C">
        <w:rPr>
          <w:rFonts w:ascii="Times New Roman" w:hAnsi="Times New Roman"/>
          <w:b/>
          <w:sz w:val="28"/>
          <w:szCs w:val="28"/>
        </w:rPr>
        <w:t>вторичные</w:t>
      </w:r>
      <w:r w:rsidRPr="00A3133C">
        <w:rPr>
          <w:rFonts w:ascii="Times New Roman" w:hAnsi="Times New Roman"/>
          <w:sz w:val="28"/>
          <w:szCs w:val="28"/>
        </w:rPr>
        <w:t>.</w:t>
      </w:r>
    </w:p>
    <w:p w:rsidR="00254AE3" w:rsidRPr="00A3133C" w:rsidRDefault="00254AE3"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Первичные основаны на активах, в число которых не входят сами ценные бумаги. Это акции, облигации, векселя, банковские сертификаты, чеки, закладные, коносаменты и т.д.</w:t>
      </w:r>
    </w:p>
    <w:p w:rsidR="00254AE3" w:rsidRPr="00A3133C" w:rsidRDefault="00254AE3"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Вторичные выпускаются на основе первичных ценных бумаг, то есть это ценные бумаги на сами ценные бумаги. Сюда относятся варранты на ценные бумаги, депозитарные расписки и т.д.</w:t>
      </w:r>
    </w:p>
    <w:p w:rsidR="00254AE3" w:rsidRPr="00A3133C" w:rsidRDefault="00254AE3"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К производным ценным бумагам относятся те, в основе которых лежит какой-либо ценовой актив. Это могут быть цены товаров (обычно биржевых товаров: зерна, мяса, нефти, золота и т.д.), цены основных ценных бумаг (индексы акций, облигаций), цены валютного рынка (валютные курсы), цены кредитного рынка (процентные ставки) и т.д.</w:t>
      </w:r>
    </w:p>
    <w:p w:rsidR="00254AE3" w:rsidRPr="00A3133C" w:rsidRDefault="00254AE3"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Производные ценные бумаги удостоверяют право или обязанность инвестора продать или купить определенное количество базисного актива (валюты, акций, облигаций, золота и т.д.) в определенное время или по определенной цене.</w:t>
      </w:r>
    </w:p>
    <w:p w:rsidR="00254AE3" w:rsidRPr="00A3133C" w:rsidRDefault="00254AE3"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К производным ценным бумагам относятся варрант</w:t>
      </w:r>
      <w:r w:rsidR="00230E90" w:rsidRPr="00A3133C">
        <w:rPr>
          <w:rFonts w:ascii="Times New Roman" w:hAnsi="Times New Roman"/>
          <w:sz w:val="28"/>
          <w:szCs w:val="28"/>
        </w:rPr>
        <w:t>ы, опционы, форварды, фьючерсы и т.д</w:t>
      </w:r>
      <w:r w:rsidRPr="00A3133C">
        <w:rPr>
          <w:rFonts w:ascii="Times New Roman" w:hAnsi="Times New Roman"/>
          <w:sz w:val="28"/>
          <w:szCs w:val="28"/>
        </w:rPr>
        <w:t>.</w:t>
      </w:r>
    </w:p>
    <w:p w:rsidR="00F80A0A" w:rsidRPr="00A3133C" w:rsidRDefault="00F80A0A"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Выделяют следующие виды финансовых инструментов, в соответствие с их функциями:</w:t>
      </w:r>
    </w:p>
    <w:p w:rsidR="00F80A0A" w:rsidRPr="00A3133C" w:rsidRDefault="00F80A0A"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 инструменты займа (облигаций), государственных казначейских обязательств, векселей;</w:t>
      </w:r>
    </w:p>
    <w:p w:rsidR="00F80A0A" w:rsidRPr="00A3133C" w:rsidRDefault="00F80A0A"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 инструменты недвижимости (акции открытых АО, созданных в процессе приватизации);</w:t>
      </w:r>
    </w:p>
    <w:p w:rsidR="00F80A0A" w:rsidRPr="00A3133C" w:rsidRDefault="00F80A0A"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 инструменты инвестиций (акции; инвестиционные, сберегательные, депозитные сертификаты);</w:t>
      </w:r>
    </w:p>
    <w:p w:rsidR="00F80A0A" w:rsidRPr="00A3133C" w:rsidRDefault="00F80A0A"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 производные финансовые инструменты.</w:t>
      </w:r>
    </w:p>
    <w:p w:rsidR="003449E2" w:rsidRPr="00A3133C" w:rsidRDefault="00DC2898"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b/>
          <w:bCs/>
          <w:sz w:val="28"/>
          <w:szCs w:val="28"/>
        </w:rPr>
        <w:t>Акция</w:t>
      </w:r>
      <w:r w:rsidRPr="00A3133C">
        <w:rPr>
          <w:rFonts w:ascii="Times New Roman" w:hAnsi="Times New Roman"/>
          <w:sz w:val="28"/>
          <w:szCs w:val="28"/>
        </w:rPr>
        <w:t xml:space="preserve"> (от лат.</w:t>
      </w:r>
      <w:r w:rsidR="00A3133C" w:rsidRPr="00A3133C">
        <w:rPr>
          <w:rFonts w:ascii="Times New Roman" w:hAnsi="Times New Roman"/>
          <w:sz w:val="28"/>
          <w:szCs w:val="28"/>
        </w:rPr>
        <w:t xml:space="preserve"> </w:t>
      </w:r>
      <w:r w:rsidRPr="00A3133C">
        <w:rPr>
          <w:rFonts w:ascii="Times New Roman" w:hAnsi="Times New Roman"/>
          <w:i/>
          <w:iCs/>
          <w:sz w:val="28"/>
          <w:szCs w:val="28"/>
          <w:lang w:val="la-Latn"/>
        </w:rPr>
        <w:t>actio</w:t>
      </w:r>
      <w:r w:rsidR="00A3133C" w:rsidRPr="00A3133C">
        <w:rPr>
          <w:rFonts w:ascii="Times New Roman" w:hAnsi="Times New Roman"/>
          <w:sz w:val="28"/>
          <w:szCs w:val="28"/>
        </w:rPr>
        <w:t xml:space="preserve"> </w:t>
      </w:r>
      <w:r w:rsidRPr="00A3133C">
        <w:rPr>
          <w:rFonts w:ascii="Times New Roman" w:hAnsi="Times New Roman"/>
          <w:sz w:val="28"/>
          <w:szCs w:val="28"/>
        </w:rPr>
        <w:t>— действие, претензия)</w:t>
      </w:r>
      <w:r w:rsidR="00A3133C" w:rsidRPr="00A3133C">
        <w:rPr>
          <w:rFonts w:ascii="Times New Roman" w:hAnsi="Times New Roman"/>
          <w:sz w:val="28"/>
          <w:szCs w:val="28"/>
        </w:rPr>
        <w:t xml:space="preserve"> </w:t>
      </w:r>
      <w:r w:rsidRPr="00A3133C">
        <w:rPr>
          <w:rFonts w:ascii="Times New Roman" w:hAnsi="Times New Roman"/>
          <w:sz w:val="28"/>
          <w:szCs w:val="28"/>
        </w:rPr>
        <w:t>—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p>
    <w:p w:rsidR="0096096E" w:rsidRPr="00A3133C" w:rsidRDefault="0096096E"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Акция может быть выпущена как в документарной (бумажной, материальной) форме, так и в бездокументарной форме - в виде соответствующих записей на счетах. При документарной форме выпуска акций возможна замена акции сертификатом, который предоставляет собой свидетельство о владении названным в нем лицом определенного количества акций.</w:t>
      </w:r>
    </w:p>
    <w:p w:rsidR="00941A90" w:rsidRPr="00A3133C" w:rsidRDefault="00F5146F"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Акции акционерного общества можно разделить на размещенные и объявленные. Размещенными считаются акции, уже приобретенные акционерами. Объявленными являются акции, которые акционерное общество может выпустить дополнительно к размещенным акциям.</w:t>
      </w:r>
      <w:r w:rsidRPr="00A3133C">
        <w:rPr>
          <w:rFonts w:ascii="Times New Roman" w:hAnsi="Times New Roman"/>
          <w:sz w:val="28"/>
        </w:rPr>
        <w:t xml:space="preserve"> </w:t>
      </w:r>
      <w:r w:rsidRPr="00A3133C">
        <w:rPr>
          <w:rFonts w:ascii="Times New Roman" w:hAnsi="Times New Roman"/>
          <w:sz w:val="28"/>
          <w:szCs w:val="28"/>
        </w:rPr>
        <w:t>В зависимости от объема прав акции принято делить на обыкновенные и привилегированные.</w:t>
      </w:r>
    </w:p>
    <w:p w:rsidR="00F5146F" w:rsidRPr="00A3133C" w:rsidRDefault="008A6413"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b/>
          <w:bCs/>
          <w:sz w:val="28"/>
          <w:szCs w:val="28"/>
        </w:rPr>
        <w:t>Облигация</w:t>
      </w:r>
      <w:r w:rsidRPr="00A3133C">
        <w:rPr>
          <w:rFonts w:ascii="Times New Roman" w:hAnsi="Times New Roman"/>
          <w:sz w:val="28"/>
          <w:szCs w:val="28"/>
        </w:rPr>
        <w:t xml:space="preserve"> (лат.</w:t>
      </w:r>
      <w:r w:rsidR="00A3133C" w:rsidRPr="00A3133C">
        <w:rPr>
          <w:rFonts w:ascii="Times New Roman" w:hAnsi="Times New Roman"/>
          <w:sz w:val="28"/>
          <w:szCs w:val="28"/>
        </w:rPr>
        <w:t xml:space="preserve"> </w:t>
      </w:r>
      <w:r w:rsidRPr="00A3133C">
        <w:rPr>
          <w:rFonts w:ascii="Times New Roman" w:hAnsi="Times New Roman"/>
          <w:i/>
          <w:iCs/>
          <w:sz w:val="28"/>
          <w:szCs w:val="28"/>
          <w:lang w:val="la-Latn"/>
        </w:rPr>
        <w:t>obligatio</w:t>
      </w:r>
      <w:r w:rsidR="00A3133C" w:rsidRPr="00A3133C">
        <w:rPr>
          <w:rFonts w:ascii="Times New Roman" w:hAnsi="Times New Roman"/>
          <w:sz w:val="28"/>
          <w:szCs w:val="28"/>
        </w:rPr>
        <w:t xml:space="preserve"> </w:t>
      </w:r>
      <w:r w:rsidRPr="00A3133C">
        <w:rPr>
          <w:rFonts w:ascii="Times New Roman" w:hAnsi="Times New Roman"/>
          <w:sz w:val="28"/>
          <w:szCs w:val="28"/>
        </w:rPr>
        <w:t>— обязательство)</w:t>
      </w:r>
      <w:r w:rsidR="00A3133C" w:rsidRPr="00A3133C">
        <w:rPr>
          <w:rFonts w:ascii="Times New Roman" w:hAnsi="Times New Roman"/>
          <w:sz w:val="28"/>
          <w:szCs w:val="28"/>
        </w:rPr>
        <w:t xml:space="preserve"> </w:t>
      </w:r>
      <w:r w:rsidRPr="00A3133C">
        <w:rPr>
          <w:rFonts w:ascii="Times New Roman" w:hAnsi="Times New Roman"/>
          <w:sz w:val="28"/>
          <w:szCs w:val="28"/>
        </w:rPr>
        <w:t>— эмиссионная долговая ценная бумага, закрепляющая право её владельца на получение от эмитента облигации в предусмотренный в ней срок её номинальную стоимость или иного имущественного эквивалента. Облигация может также предусматривать право её владельца на получение фиксированного в ней процента от номинальной стоимости облигации либо иные имущественные права. Доходом по облигации являются процент и/или дисконт.</w:t>
      </w:r>
    </w:p>
    <w:p w:rsidR="00F32FB9" w:rsidRPr="00A3133C" w:rsidRDefault="00F32FB9"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b/>
          <w:bCs/>
          <w:sz w:val="28"/>
          <w:szCs w:val="28"/>
        </w:rPr>
        <w:t>Вексель</w:t>
      </w:r>
      <w:r w:rsidRPr="00A3133C">
        <w:rPr>
          <w:rFonts w:ascii="Times New Roman" w:hAnsi="Times New Roman"/>
          <w:sz w:val="28"/>
          <w:szCs w:val="28"/>
        </w:rPr>
        <w:t xml:space="preserve"> (от нем. </w:t>
      </w:r>
      <w:r w:rsidRPr="00A3133C">
        <w:rPr>
          <w:rFonts w:ascii="Times New Roman" w:hAnsi="Times New Roman"/>
          <w:i/>
          <w:iCs/>
          <w:sz w:val="28"/>
          <w:szCs w:val="28"/>
          <w:lang w:val="de-DE"/>
        </w:rPr>
        <w:t>Wechsel</w:t>
      </w:r>
      <w:r w:rsidRPr="00A3133C">
        <w:rPr>
          <w:rFonts w:ascii="Times New Roman" w:hAnsi="Times New Roman"/>
          <w:sz w:val="28"/>
          <w:szCs w:val="28"/>
        </w:rPr>
        <w:t>)</w:t>
      </w:r>
      <w:r w:rsidR="00A3133C" w:rsidRPr="00A3133C">
        <w:rPr>
          <w:rFonts w:ascii="Times New Roman" w:hAnsi="Times New Roman"/>
          <w:sz w:val="28"/>
          <w:szCs w:val="28"/>
        </w:rPr>
        <w:t xml:space="preserve"> </w:t>
      </w:r>
      <w:r w:rsidRPr="00A3133C">
        <w:rPr>
          <w:rFonts w:ascii="Times New Roman" w:hAnsi="Times New Roman"/>
          <w:sz w:val="28"/>
          <w:szCs w:val="28"/>
        </w:rPr>
        <w:t>— строго установленная форма, удостоверяющая ничем не обусловленное обязательство векселедателя (</w:t>
      </w:r>
      <w:r w:rsidRPr="00A3133C">
        <w:rPr>
          <w:rFonts w:ascii="Times New Roman" w:hAnsi="Times New Roman"/>
          <w:b/>
          <w:bCs/>
          <w:sz w:val="28"/>
          <w:szCs w:val="28"/>
        </w:rPr>
        <w:t>простой вексель</w:t>
      </w:r>
      <w:r w:rsidRPr="00A3133C">
        <w:rPr>
          <w:rFonts w:ascii="Times New Roman" w:hAnsi="Times New Roman"/>
          <w:sz w:val="28"/>
          <w:szCs w:val="28"/>
        </w:rPr>
        <w:t>), либо предложение иному указанному в векселе плательщику (</w:t>
      </w:r>
      <w:r w:rsidRPr="00A3133C">
        <w:rPr>
          <w:rFonts w:ascii="Times New Roman" w:hAnsi="Times New Roman"/>
          <w:b/>
          <w:bCs/>
          <w:sz w:val="28"/>
          <w:szCs w:val="28"/>
        </w:rPr>
        <w:t>переводный вексель</w:t>
      </w:r>
      <w:r w:rsidRPr="00A3133C">
        <w:rPr>
          <w:rFonts w:ascii="Times New Roman" w:hAnsi="Times New Roman"/>
          <w:sz w:val="28"/>
          <w:szCs w:val="28"/>
        </w:rPr>
        <w:t xml:space="preserve">) уплатить по наступлении предусмотренного векселем срока определенную денежную сумму в конкретном месте. Вексель может быть ордерным (на предъявителя) или именным. </w:t>
      </w:r>
    </w:p>
    <w:p w:rsidR="00F32FB9" w:rsidRPr="00A3133C" w:rsidRDefault="00F32FB9"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В векселе, который подлежит оплате по предъявлении или во столько-то времени от предъявления, можно оговорить, что на вексельную сумму будут начисляться проценты. Во всяком другом векселе не допускается начисление процентов. Процентная ставка должна быть указана в векселе. Проценты начисляются со дня составления векселя или с указанной даты.</w:t>
      </w:r>
    </w:p>
    <w:p w:rsidR="00CD691D" w:rsidRPr="00A3133C" w:rsidRDefault="00CD691D"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b/>
          <w:bCs/>
          <w:sz w:val="28"/>
          <w:szCs w:val="28"/>
        </w:rPr>
        <w:t>Чек</w:t>
      </w:r>
      <w:r w:rsidRPr="00A3133C">
        <w:rPr>
          <w:rFonts w:ascii="Times New Roman" w:hAnsi="Times New Roman"/>
          <w:sz w:val="28"/>
          <w:szCs w:val="28"/>
        </w:rPr>
        <w:t xml:space="preserve"> (англ. </w:t>
      </w:r>
      <w:r w:rsidRPr="00A3133C">
        <w:rPr>
          <w:rFonts w:ascii="Times New Roman" w:hAnsi="Times New Roman"/>
          <w:i/>
          <w:iCs/>
          <w:sz w:val="28"/>
          <w:szCs w:val="28"/>
        </w:rPr>
        <w:t>cheque</w:t>
      </w:r>
      <w:r w:rsidRPr="00A3133C">
        <w:rPr>
          <w:rFonts w:ascii="Times New Roman" w:hAnsi="Times New Roman"/>
          <w:sz w:val="28"/>
          <w:szCs w:val="28"/>
        </w:rPr>
        <w:t>)</w:t>
      </w:r>
      <w:r w:rsidR="00A3133C" w:rsidRPr="00A3133C">
        <w:rPr>
          <w:rFonts w:ascii="Times New Roman" w:hAnsi="Times New Roman"/>
          <w:sz w:val="28"/>
          <w:szCs w:val="28"/>
        </w:rPr>
        <w:t xml:space="preserve"> </w:t>
      </w:r>
      <w:r w:rsidRPr="00A3133C">
        <w:rPr>
          <w:rFonts w:ascii="Times New Roman" w:hAnsi="Times New Roman"/>
          <w:sz w:val="28"/>
          <w:szCs w:val="28"/>
        </w:rPr>
        <w:t>— это ценная бумага, содержащая ничем не обусловленное распоряжение чекодателя банку произвести платеж указанной в нем суммы чекодержателю. Чекодателем является лицо, имеющее денежные средства в банке, которыми он вправе распоряжаться путем выставления чеков, чекодержателем</w:t>
      </w:r>
      <w:r w:rsidR="00A3133C" w:rsidRPr="00A3133C">
        <w:rPr>
          <w:rFonts w:ascii="Times New Roman" w:hAnsi="Times New Roman"/>
          <w:sz w:val="28"/>
          <w:szCs w:val="28"/>
        </w:rPr>
        <w:t xml:space="preserve"> </w:t>
      </w:r>
      <w:r w:rsidRPr="00A3133C">
        <w:rPr>
          <w:rFonts w:ascii="Times New Roman" w:hAnsi="Times New Roman"/>
          <w:sz w:val="28"/>
          <w:szCs w:val="28"/>
        </w:rPr>
        <w:t>— лицо, в пользу которого выдан чек, плательщиком</w:t>
      </w:r>
      <w:r w:rsidR="00A3133C" w:rsidRPr="00A3133C">
        <w:rPr>
          <w:rFonts w:ascii="Times New Roman" w:hAnsi="Times New Roman"/>
          <w:sz w:val="28"/>
          <w:szCs w:val="28"/>
        </w:rPr>
        <w:t xml:space="preserve"> </w:t>
      </w:r>
      <w:r w:rsidRPr="00A3133C">
        <w:rPr>
          <w:rFonts w:ascii="Times New Roman" w:hAnsi="Times New Roman"/>
          <w:sz w:val="28"/>
          <w:szCs w:val="28"/>
        </w:rPr>
        <w:t>— банк, в котором находятся денежные средства чекодателя. Чекодатель не вправе отозвать чек до истечения установленного срока для предъявления его к оплате.</w:t>
      </w:r>
    </w:p>
    <w:p w:rsidR="00C82911" w:rsidRPr="00A3133C" w:rsidRDefault="00C82911"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b/>
          <w:bCs/>
          <w:sz w:val="28"/>
          <w:szCs w:val="28"/>
        </w:rPr>
        <w:t>Депозитный сертификат</w:t>
      </w:r>
      <w:r w:rsidRPr="00A3133C">
        <w:rPr>
          <w:rFonts w:ascii="Times New Roman" w:hAnsi="Times New Roman"/>
          <w:sz w:val="28"/>
          <w:szCs w:val="28"/>
        </w:rPr>
        <w:t xml:space="preserve"> - это именная ценная бумага, удостоверяющая сумму депозита, внесенного в банк, и права вкладчика (держателя сертификата) на получение по истечении установленного срока суммы депозита и обусловленных в сертификате процентов.</w:t>
      </w:r>
    </w:p>
    <w:p w:rsidR="00C82911" w:rsidRPr="00A3133C" w:rsidRDefault="00C82911"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b/>
          <w:bCs/>
          <w:sz w:val="28"/>
          <w:szCs w:val="28"/>
        </w:rPr>
        <w:t>Закладная</w:t>
      </w:r>
      <w:r w:rsidRPr="00A3133C">
        <w:rPr>
          <w:rFonts w:ascii="Times New Roman" w:hAnsi="Times New Roman"/>
          <w:sz w:val="28"/>
          <w:szCs w:val="28"/>
        </w:rPr>
        <w:t xml:space="preserve"> — это именная ценная бумага, которая удостоверяет право ее законного владельца на получение исполнения по денежному обязательству, обеспеченному ипотекой, а также право залога на имущество, обремененное ипотекой. Кроме того, наличие закладной, выданной в установленном законом порядке, подтверждает права ее законного владельца без предоставления других доказательств существования этого обязательства.</w:t>
      </w:r>
    </w:p>
    <w:p w:rsidR="00C82911" w:rsidRPr="00A3133C" w:rsidRDefault="00C82911"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b/>
          <w:bCs/>
          <w:sz w:val="28"/>
          <w:szCs w:val="28"/>
        </w:rPr>
        <w:t>Коносамент</w:t>
      </w:r>
      <w:r w:rsidRPr="00A3133C">
        <w:rPr>
          <w:rFonts w:ascii="Times New Roman" w:hAnsi="Times New Roman"/>
          <w:sz w:val="28"/>
          <w:szCs w:val="28"/>
        </w:rPr>
        <w:t xml:space="preserve"> — документ, выдаваемый перевозчиком груза грузовладельцу. Удостоверяет право собственности на отгруженный товар.</w:t>
      </w:r>
    </w:p>
    <w:p w:rsidR="00C82911" w:rsidRPr="00A3133C" w:rsidRDefault="00C82911"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Коносамент выполняет одновременно несколько функций:</w:t>
      </w:r>
    </w:p>
    <w:p w:rsidR="00C82911" w:rsidRPr="00A3133C" w:rsidRDefault="00C82911" w:rsidP="00A3133C">
      <w:pPr>
        <w:widowControl w:val="0"/>
        <w:numPr>
          <w:ilvl w:val="0"/>
          <w:numId w:val="1"/>
        </w:numPr>
        <w:shd w:val="clear" w:color="000000" w:fill="auto"/>
        <w:spacing w:after="0" w:line="360" w:lineRule="auto"/>
        <w:ind w:left="0" w:firstLine="709"/>
        <w:jc w:val="both"/>
        <w:rPr>
          <w:rFonts w:ascii="Times New Roman" w:hAnsi="Times New Roman"/>
          <w:sz w:val="28"/>
          <w:szCs w:val="28"/>
        </w:rPr>
      </w:pPr>
      <w:r w:rsidRPr="00A3133C">
        <w:rPr>
          <w:rFonts w:ascii="Times New Roman" w:hAnsi="Times New Roman"/>
          <w:sz w:val="28"/>
          <w:szCs w:val="28"/>
        </w:rPr>
        <w:t xml:space="preserve">расписка перевозчика в получении груза для перевозки, с одновременным описанием видимого состояния груза </w:t>
      </w:r>
    </w:p>
    <w:p w:rsidR="00C82911" w:rsidRPr="00A3133C" w:rsidRDefault="00C82911" w:rsidP="00A3133C">
      <w:pPr>
        <w:widowControl w:val="0"/>
        <w:numPr>
          <w:ilvl w:val="0"/>
          <w:numId w:val="1"/>
        </w:numPr>
        <w:shd w:val="clear" w:color="000000" w:fill="auto"/>
        <w:spacing w:after="0" w:line="360" w:lineRule="auto"/>
        <w:ind w:left="0" w:firstLine="709"/>
        <w:jc w:val="both"/>
        <w:rPr>
          <w:rFonts w:ascii="Times New Roman" w:hAnsi="Times New Roman"/>
          <w:sz w:val="28"/>
          <w:szCs w:val="28"/>
        </w:rPr>
      </w:pPr>
      <w:r w:rsidRPr="00A3133C">
        <w:rPr>
          <w:rFonts w:ascii="Times New Roman" w:hAnsi="Times New Roman"/>
          <w:sz w:val="28"/>
          <w:szCs w:val="28"/>
        </w:rPr>
        <w:t xml:space="preserve">товарно-транспортная накладная </w:t>
      </w:r>
    </w:p>
    <w:p w:rsidR="00C82911" w:rsidRPr="00A3133C" w:rsidRDefault="00C82911" w:rsidP="00A3133C">
      <w:pPr>
        <w:widowControl w:val="0"/>
        <w:numPr>
          <w:ilvl w:val="0"/>
          <w:numId w:val="1"/>
        </w:numPr>
        <w:shd w:val="clear" w:color="000000" w:fill="auto"/>
        <w:spacing w:after="0" w:line="360" w:lineRule="auto"/>
        <w:ind w:left="0" w:firstLine="709"/>
        <w:jc w:val="both"/>
        <w:rPr>
          <w:rFonts w:ascii="Times New Roman" w:hAnsi="Times New Roman"/>
          <w:sz w:val="28"/>
          <w:szCs w:val="28"/>
        </w:rPr>
      </w:pPr>
      <w:r w:rsidRPr="00A3133C">
        <w:rPr>
          <w:rFonts w:ascii="Times New Roman" w:hAnsi="Times New Roman"/>
          <w:sz w:val="28"/>
          <w:szCs w:val="28"/>
        </w:rPr>
        <w:t xml:space="preserve">подтверждение договора перевозки груза </w:t>
      </w:r>
    </w:p>
    <w:p w:rsidR="00C82911" w:rsidRPr="00A3133C" w:rsidRDefault="00C82911" w:rsidP="00A3133C">
      <w:pPr>
        <w:widowControl w:val="0"/>
        <w:numPr>
          <w:ilvl w:val="0"/>
          <w:numId w:val="1"/>
        </w:numPr>
        <w:shd w:val="clear" w:color="000000" w:fill="auto"/>
        <w:spacing w:after="0" w:line="360" w:lineRule="auto"/>
        <w:ind w:left="0" w:firstLine="709"/>
        <w:jc w:val="both"/>
        <w:rPr>
          <w:rFonts w:ascii="Times New Roman" w:hAnsi="Times New Roman"/>
          <w:sz w:val="28"/>
          <w:szCs w:val="28"/>
        </w:rPr>
      </w:pPr>
      <w:r w:rsidRPr="00A3133C">
        <w:rPr>
          <w:rFonts w:ascii="Times New Roman" w:hAnsi="Times New Roman"/>
          <w:sz w:val="28"/>
          <w:szCs w:val="28"/>
        </w:rPr>
        <w:t xml:space="preserve">товарораспорядительный документ </w:t>
      </w:r>
    </w:p>
    <w:p w:rsidR="00C82911" w:rsidRPr="00A3133C" w:rsidRDefault="00C82911"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Может служить обеспечением кредита под отгруженные товары.</w:t>
      </w:r>
    </w:p>
    <w:p w:rsidR="008A6413" w:rsidRPr="00A3133C" w:rsidRDefault="00421DC2"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b/>
          <w:bCs/>
          <w:sz w:val="28"/>
          <w:szCs w:val="28"/>
        </w:rPr>
        <w:t>Депозитарная расписка</w:t>
      </w:r>
      <w:r w:rsidRPr="00A3133C">
        <w:rPr>
          <w:rFonts w:ascii="Times New Roman" w:hAnsi="Times New Roman"/>
          <w:sz w:val="28"/>
          <w:szCs w:val="28"/>
        </w:rPr>
        <w:t xml:space="preserve"> (англ. </w:t>
      </w:r>
      <w:r w:rsidRPr="00A3133C">
        <w:rPr>
          <w:rFonts w:ascii="Times New Roman" w:hAnsi="Times New Roman"/>
          <w:i/>
          <w:iCs/>
          <w:sz w:val="28"/>
          <w:szCs w:val="28"/>
        </w:rPr>
        <w:t>Depositary Receipt</w:t>
      </w:r>
      <w:r w:rsidRPr="00A3133C">
        <w:rPr>
          <w:rFonts w:ascii="Times New Roman" w:hAnsi="Times New Roman"/>
          <w:sz w:val="28"/>
          <w:szCs w:val="28"/>
        </w:rPr>
        <w:t>) — документ, удостоверяющий, что ценные бумаги помещены на хранение в банке-кастодиане в стране эмитента акций на имя банка-депозитария, и дающий право его владельцу пользоваться выгодами от этих ценных бумаг. За исключением разницы из-за изменения курса валюты цена на эти расписки меняется пункт в пункт с изменением цены на базовые ценные бумаги, кроме тех случаев, когда на местном рынке ограничено участие зарубежных инвесторов.</w:t>
      </w:r>
    </w:p>
    <w:p w:rsidR="00230E90" w:rsidRPr="00A3133C" w:rsidRDefault="00230E90"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b/>
          <w:bCs/>
          <w:sz w:val="28"/>
          <w:szCs w:val="28"/>
        </w:rPr>
        <w:t>Варрант</w:t>
      </w:r>
      <w:r w:rsidRPr="00A3133C">
        <w:rPr>
          <w:rFonts w:ascii="Times New Roman" w:hAnsi="Times New Roman"/>
          <w:sz w:val="28"/>
          <w:szCs w:val="28"/>
        </w:rPr>
        <w:t xml:space="preserve"> (англ. </w:t>
      </w:r>
      <w:r w:rsidRPr="00A3133C">
        <w:rPr>
          <w:rFonts w:ascii="Times New Roman" w:hAnsi="Times New Roman"/>
          <w:i/>
          <w:iCs/>
          <w:sz w:val="28"/>
          <w:szCs w:val="28"/>
        </w:rPr>
        <w:t>warrant</w:t>
      </w:r>
      <w:r w:rsidRPr="00A3133C">
        <w:rPr>
          <w:rFonts w:ascii="Times New Roman" w:hAnsi="Times New Roman"/>
          <w:sz w:val="28"/>
          <w:szCs w:val="28"/>
        </w:rPr>
        <w:t xml:space="preserve"> — полномочие, доверенность) — это:</w:t>
      </w:r>
    </w:p>
    <w:p w:rsidR="00230E90" w:rsidRPr="00A3133C" w:rsidRDefault="00230E90" w:rsidP="00A3133C">
      <w:pPr>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A3133C">
        <w:rPr>
          <w:rFonts w:ascii="Times New Roman" w:hAnsi="Times New Roman"/>
          <w:sz w:val="28"/>
          <w:szCs w:val="28"/>
        </w:rPr>
        <w:t xml:space="preserve">сертификат, дающий держателю право покупать ценные бумаги по оговорённой цене в течение определённого промежутка времени; </w:t>
      </w:r>
    </w:p>
    <w:p w:rsidR="00230E90" w:rsidRPr="00A3133C" w:rsidRDefault="00230E90" w:rsidP="00A3133C">
      <w:pPr>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A3133C">
        <w:rPr>
          <w:rFonts w:ascii="Times New Roman" w:hAnsi="Times New Roman"/>
          <w:sz w:val="28"/>
          <w:szCs w:val="28"/>
        </w:rPr>
        <w:t>свидетельство товарного склада о приёме на хранение определённого товара, то есть варрант — это товарораспределительный документ, который используется при продаже и залоге товара.</w:t>
      </w:r>
    </w:p>
    <w:p w:rsidR="00230E90" w:rsidRPr="00A3133C" w:rsidRDefault="00230E90" w:rsidP="00A3133C">
      <w:pPr>
        <w:pStyle w:val="a8"/>
        <w:widowControl w:val="0"/>
        <w:shd w:val="clear" w:color="000000" w:fill="auto"/>
        <w:spacing w:after="0" w:line="360" w:lineRule="auto"/>
        <w:ind w:firstLine="709"/>
        <w:jc w:val="both"/>
        <w:rPr>
          <w:sz w:val="28"/>
          <w:szCs w:val="28"/>
        </w:rPr>
      </w:pPr>
      <w:r w:rsidRPr="00A3133C">
        <w:rPr>
          <w:sz w:val="28"/>
          <w:szCs w:val="28"/>
        </w:rPr>
        <w:t>Варрант - ценная бумага, дающая ее владельцу право на покупку некоторого количества акций на определенную будущую дату по определенной цене. Обычно варранты используются при новой эмиссии ценных бумаг. Варрант торгуется как ценная бумага, цена которой отражает стоимость лежащих в его основе ценных бумаг. Варранты приобрели популярность среди биржевых спекулянтов, потому что курс варранта на покупку акции, по которому он котируется на бирже, существенно ниже курса самой акции, поэтому для сохранения заданной позиции нужно меньше денег. Срок действия варрантов достаточно велик, возможен выпуск бессрочного варранта.</w:t>
      </w:r>
    </w:p>
    <w:p w:rsidR="00230E90" w:rsidRPr="00A3133C" w:rsidRDefault="00230E90"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b/>
          <w:bCs/>
          <w:sz w:val="28"/>
          <w:szCs w:val="28"/>
        </w:rPr>
        <w:t>Опцион</w:t>
      </w:r>
      <w:r w:rsidRPr="00A3133C">
        <w:rPr>
          <w:rFonts w:ascii="Times New Roman" w:hAnsi="Times New Roman"/>
          <w:sz w:val="28"/>
          <w:szCs w:val="28"/>
        </w:rPr>
        <w:t xml:space="preserve"> (англ. </w:t>
      </w:r>
      <w:r w:rsidRPr="00A3133C">
        <w:rPr>
          <w:rFonts w:ascii="Times New Roman" w:hAnsi="Times New Roman"/>
          <w:i/>
          <w:iCs/>
          <w:sz w:val="28"/>
          <w:szCs w:val="28"/>
        </w:rPr>
        <w:t>option</w:t>
      </w:r>
      <w:r w:rsidRPr="00A3133C">
        <w:rPr>
          <w:rFonts w:ascii="Times New Roman" w:hAnsi="Times New Roman"/>
          <w:sz w:val="28"/>
          <w:szCs w:val="28"/>
        </w:rPr>
        <w:t xml:space="preserve"> ) — договор, по которому покупатель опциона получает право (но не обязанность) совершить покупку или продажу актива по заранее оговорённой цене в определенный договором момент в будущем или на протяжении определенного отрезка времени.</w:t>
      </w:r>
    </w:p>
    <w:p w:rsidR="00421DC2" w:rsidRPr="00A3133C" w:rsidRDefault="00230E90"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b/>
          <w:bCs/>
          <w:sz w:val="28"/>
          <w:szCs w:val="28"/>
        </w:rPr>
        <w:t>Форвард (форвардный контракт)</w:t>
      </w:r>
      <w:r w:rsidRPr="00A3133C">
        <w:rPr>
          <w:rFonts w:ascii="Times New Roman" w:hAnsi="Times New Roman"/>
          <w:sz w:val="28"/>
          <w:szCs w:val="28"/>
        </w:rPr>
        <w:t xml:space="preserve"> — договор, по которому одна сторона (продавец) обязуется в определенный договором срок передать товар (базовый актив) другой стороне (покупателю) или исполнить альтернативное денежное обязательство, а покупатель обязуется принять и оплатить этот базовый актив, и (или) по условиям которого у сторон возникают встречные денежные обязательства в размере, зависящем от значения показателя базового актива на момент исполнения обязательств, в порядке и в течение срока или в срок, установленный договором.</w:t>
      </w:r>
    </w:p>
    <w:p w:rsidR="00AE0E62" w:rsidRPr="00A3133C" w:rsidRDefault="00AE0E62"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b/>
          <w:bCs/>
          <w:sz w:val="28"/>
          <w:szCs w:val="28"/>
        </w:rPr>
        <w:t>Фью́черс</w:t>
      </w:r>
      <w:r w:rsidRPr="00A3133C">
        <w:rPr>
          <w:rFonts w:ascii="Times New Roman" w:hAnsi="Times New Roman"/>
          <w:sz w:val="28"/>
          <w:szCs w:val="28"/>
        </w:rPr>
        <w:t xml:space="preserve"> (фьючерсный контракт) (от англ. </w:t>
      </w:r>
      <w:r w:rsidRPr="00A3133C">
        <w:rPr>
          <w:rFonts w:ascii="Times New Roman" w:hAnsi="Times New Roman"/>
          <w:i/>
          <w:iCs/>
          <w:sz w:val="28"/>
          <w:szCs w:val="28"/>
        </w:rPr>
        <w:t>futures</w:t>
      </w:r>
      <w:r w:rsidRPr="00A3133C">
        <w:rPr>
          <w:rFonts w:ascii="Times New Roman" w:hAnsi="Times New Roman"/>
          <w:sz w:val="28"/>
          <w:szCs w:val="28"/>
        </w:rPr>
        <w:t>) —стандартный срочный биржевой контракт купли-продажи базового актива, при заключении которого стороны (продавец и покупатель) договариваются только об уровне цены и сроке поставки. Остальные параметры актива (количество, качество, упаковка, маркировка и т.п.) оговорены заранее в спецификации биржевого контракта. Стороны несут обязательства перед биржей вплоть до исполнения фьючерса. Фьючерс можно рассматривать как стандартизированную разновидность форварда, который обращается на организованном рынке и взаимными расчётами, централизованными внутри биржи.</w:t>
      </w:r>
    </w:p>
    <w:p w:rsidR="00A3133C" w:rsidRDefault="00A3133C">
      <w:pPr>
        <w:rPr>
          <w:rFonts w:ascii="Times New Roman" w:hAnsi="Times New Roman"/>
          <w:sz w:val="28"/>
          <w:szCs w:val="28"/>
        </w:rPr>
      </w:pPr>
      <w:r>
        <w:rPr>
          <w:rFonts w:ascii="Times New Roman" w:hAnsi="Times New Roman"/>
          <w:sz w:val="28"/>
          <w:szCs w:val="28"/>
        </w:rPr>
        <w:br w:type="page"/>
      </w:r>
    </w:p>
    <w:p w:rsidR="00E712D6" w:rsidRPr="00A3133C" w:rsidRDefault="00A3133C" w:rsidP="00A3133C">
      <w:pPr>
        <w:widowControl w:val="0"/>
        <w:shd w:val="clear" w:color="000000" w:fill="auto"/>
        <w:spacing w:after="0" w:line="360" w:lineRule="auto"/>
        <w:ind w:firstLine="709"/>
        <w:jc w:val="both"/>
        <w:rPr>
          <w:rFonts w:ascii="Times New Roman" w:hAnsi="Times New Roman"/>
          <w:b/>
          <w:sz w:val="28"/>
          <w:szCs w:val="28"/>
        </w:rPr>
      </w:pPr>
      <w:r w:rsidRPr="00A3133C">
        <w:rPr>
          <w:rFonts w:ascii="Times New Roman" w:hAnsi="Times New Roman"/>
          <w:b/>
          <w:sz w:val="28"/>
          <w:szCs w:val="28"/>
        </w:rPr>
        <w:t xml:space="preserve">3. </w:t>
      </w:r>
      <w:r w:rsidR="002621EA" w:rsidRPr="00A3133C">
        <w:rPr>
          <w:rFonts w:ascii="Times New Roman" w:hAnsi="Times New Roman"/>
          <w:b/>
          <w:sz w:val="28"/>
          <w:szCs w:val="28"/>
        </w:rPr>
        <w:t>Показатели инвестиционной привлекательности региона</w:t>
      </w:r>
    </w:p>
    <w:p w:rsidR="00A3133C" w:rsidRDefault="00A3133C" w:rsidP="00A3133C">
      <w:pPr>
        <w:widowControl w:val="0"/>
        <w:shd w:val="clear" w:color="000000" w:fill="auto"/>
        <w:spacing w:after="0" w:line="360" w:lineRule="auto"/>
        <w:ind w:firstLine="709"/>
        <w:jc w:val="both"/>
        <w:rPr>
          <w:rFonts w:ascii="Times New Roman" w:hAnsi="Times New Roman"/>
          <w:sz w:val="28"/>
          <w:szCs w:val="28"/>
        </w:rPr>
      </w:pPr>
    </w:p>
    <w:p w:rsidR="00903BD9" w:rsidRPr="00A3133C" w:rsidRDefault="00903BD9"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 xml:space="preserve">Инвестиционная привлекательность региона представляет собой совокупность различных объективных признаков, средств, возможностей и ограничений, обусловливающих интенсивность привлечения инвестиций в основной капитал региона. Инвестиционная привлекательность региона формируется двумя комплексными факторами – инвестиционным потенциалом региона и региональными инвестиционными рисками (уровнем инвестиционной безопасности). Инвестиционный потенциал региона представляет собой совокупность объективных экономических, социальных и природно-географических свойств региона, имеющих высокую значимость для привлечения инвестиций. Региональные инвестиционные риски являются некоммерческими рисками, обусловленными внешними по отношению к инвестиционной деятельности факторами регионального характера. </w:t>
      </w:r>
    </w:p>
    <w:p w:rsidR="00903BD9" w:rsidRPr="00A3133C" w:rsidRDefault="00903BD9"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Комплексная количественная оценка текущей инвестиционной привлекательности регионов может быть произведена с помощью сводного, интегрального показателя, который формируется множеством частных факториальных признаков, измеряемых соответствующими показателями.</w:t>
      </w:r>
      <w:r w:rsidRPr="00A3133C">
        <w:rPr>
          <w:rFonts w:ascii="Times New Roman" w:hAnsi="Times New Roman"/>
          <w:sz w:val="28"/>
          <w:szCs w:val="28"/>
          <w:vertAlign w:val="superscript"/>
        </w:rPr>
        <w:t xml:space="preserve"> </w:t>
      </w:r>
      <w:r w:rsidRPr="00A3133C">
        <w:rPr>
          <w:rFonts w:ascii="Times New Roman" w:hAnsi="Times New Roman"/>
          <w:sz w:val="28"/>
          <w:szCs w:val="28"/>
        </w:rPr>
        <w:t xml:space="preserve">Интегральный показатель определяется путем свода числовых значений отдельных частных показателей инвестиционной привлекательности. Числовое значение интегрального показателя инвестиционной привлекательности по России в целом принимается за единицу, а значения интегральных показателей для регионов РФ определяются по отношению к среднероссийскому уровню. Интегральные уровни инвестиционной привлекательности регионов являются относительными показателями (коэффициентами), следовательно, не зависят от размеров территории или численности населения региона. Все частные признаки инвестиционной привлекательности включаются в расчет интегральных значений с единицами измерения, выраженными относительными величинами (душевыми, темповыми, долевыми). </w:t>
      </w:r>
    </w:p>
    <w:p w:rsidR="002621EA" w:rsidRPr="00A3133C" w:rsidRDefault="00903BD9"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 xml:space="preserve">Совокупный инвестиционный потенциал региона складывается из шести частных потенциалов: производственно-финансового, трудового, социального, ресурсного, инфраструктурного и потребительского (таблица 1), каждый из которых характеризуется группой показателей. </w:t>
      </w:r>
    </w:p>
    <w:p w:rsidR="00A3133C" w:rsidRDefault="00A3133C" w:rsidP="00A3133C">
      <w:pPr>
        <w:widowControl w:val="0"/>
        <w:shd w:val="clear" w:color="000000" w:fill="auto"/>
        <w:spacing w:after="0" w:line="360" w:lineRule="auto"/>
        <w:ind w:firstLine="709"/>
        <w:jc w:val="both"/>
        <w:rPr>
          <w:rFonts w:ascii="Times New Roman" w:hAnsi="Times New Roman"/>
          <w:sz w:val="28"/>
          <w:szCs w:val="20"/>
        </w:rPr>
      </w:pPr>
    </w:p>
    <w:p w:rsidR="00513A7F" w:rsidRPr="00A3133C" w:rsidRDefault="00513A7F" w:rsidP="00A3133C">
      <w:pPr>
        <w:widowControl w:val="0"/>
        <w:shd w:val="clear" w:color="000000" w:fill="auto"/>
        <w:spacing w:after="0" w:line="360" w:lineRule="auto"/>
        <w:ind w:firstLine="709"/>
        <w:jc w:val="both"/>
        <w:rPr>
          <w:rFonts w:ascii="Times New Roman" w:hAnsi="Times New Roman"/>
          <w:sz w:val="28"/>
          <w:szCs w:val="20"/>
        </w:rPr>
      </w:pPr>
      <w:r w:rsidRPr="00A3133C">
        <w:rPr>
          <w:rFonts w:ascii="Times New Roman" w:hAnsi="Times New Roman"/>
          <w:sz w:val="28"/>
          <w:szCs w:val="20"/>
        </w:rPr>
        <w:t>Таблица 1. Состав инвестиционно-значимых показателей для определения интегрального уровня инвестиционной привлекательности регионов РФ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2802"/>
        <w:gridCol w:w="4477"/>
      </w:tblGrid>
      <w:tr w:rsidR="00513A7F" w:rsidRPr="00A3483E" w:rsidTr="00A3483E">
        <w:trPr>
          <w:trHeight w:val="23"/>
        </w:trPr>
        <w:tc>
          <w:tcPr>
            <w:tcW w:w="0" w:type="auto"/>
            <w:shd w:val="clear" w:color="auto" w:fill="auto"/>
          </w:tcPr>
          <w:p w:rsidR="00513A7F" w:rsidRPr="00A3483E" w:rsidRDefault="00513A7F" w:rsidP="00A3483E">
            <w:pPr>
              <w:pStyle w:val="Default"/>
              <w:widowControl w:val="0"/>
              <w:shd w:val="clear" w:color="000000" w:fill="auto"/>
              <w:spacing w:line="360" w:lineRule="auto"/>
              <w:rPr>
                <w:color w:val="auto"/>
                <w:sz w:val="20"/>
              </w:rPr>
            </w:pPr>
          </w:p>
          <w:tbl>
            <w:tblPr>
              <w:tblW w:w="0" w:type="auto"/>
              <w:tblLook w:val="0000" w:firstRow="0" w:lastRow="0" w:firstColumn="0" w:lastColumn="0" w:noHBand="0" w:noVBand="0"/>
            </w:tblPr>
            <w:tblGrid>
              <w:gridCol w:w="727"/>
            </w:tblGrid>
            <w:tr w:rsidR="00513A7F" w:rsidRPr="00A3133C">
              <w:trPr>
                <w:trHeight w:val="674"/>
              </w:trPr>
              <w:tc>
                <w:tcPr>
                  <w:tcW w:w="0" w:type="auto"/>
                  <w:tcBorders>
                    <w:top w:val="nil"/>
                    <w:left w:val="nil"/>
                    <w:bottom w:val="nil"/>
                    <w:right w:val="nil"/>
                  </w:tcBorders>
                </w:tcPr>
                <w:p w:rsidR="00513A7F" w:rsidRPr="00A3133C" w:rsidRDefault="00513A7F" w:rsidP="00A3133C">
                  <w:pPr>
                    <w:pStyle w:val="aa"/>
                    <w:widowControl w:val="0"/>
                    <w:shd w:val="clear" w:color="000000" w:fill="auto"/>
                    <w:spacing w:line="360" w:lineRule="auto"/>
                    <w:rPr>
                      <w:sz w:val="20"/>
                    </w:rPr>
                  </w:pPr>
                  <w:r w:rsidRPr="00A3133C">
                    <w:rPr>
                      <w:sz w:val="20"/>
                    </w:rPr>
                    <w:t xml:space="preserve">№ п/п </w:t>
                  </w:r>
                </w:p>
              </w:tc>
            </w:tr>
          </w:tbl>
          <w:p w:rsidR="00513A7F" w:rsidRPr="00A3483E" w:rsidRDefault="00513A7F" w:rsidP="00A3483E">
            <w:pPr>
              <w:widowControl w:val="0"/>
              <w:shd w:val="clear" w:color="000000" w:fill="auto"/>
              <w:spacing w:after="0" w:line="360" w:lineRule="auto"/>
              <w:rPr>
                <w:rFonts w:ascii="Times New Roman" w:hAnsi="Times New Roman"/>
                <w:sz w:val="20"/>
                <w:szCs w:val="28"/>
              </w:rPr>
            </w:pPr>
          </w:p>
        </w:tc>
        <w:tc>
          <w:tcPr>
            <w:tcW w:w="2802" w:type="dxa"/>
            <w:shd w:val="clear" w:color="auto" w:fill="auto"/>
          </w:tcPr>
          <w:tbl>
            <w:tblPr>
              <w:tblpPr w:leftFromText="180" w:rightFromText="180" w:vertAnchor="text" w:horzAnchor="margin" w:tblpY="123"/>
              <w:tblOverlap w:val="never"/>
              <w:tblW w:w="0" w:type="auto"/>
              <w:tblLook w:val="0000" w:firstRow="0" w:lastRow="0" w:firstColumn="0" w:lastColumn="0" w:noHBand="0" w:noVBand="0"/>
            </w:tblPr>
            <w:tblGrid>
              <w:gridCol w:w="2586"/>
            </w:tblGrid>
            <w:tr w:rsidR="00513A7F" w:rsidRPr="00A3133C" w:rsidTr="00513A7F">
              <w:trPr>
                <w:trHeight w:val="537"/>
              </w:trPr>
              <w:tc>
                <w:tcPr>
                  <w:tcW w:w="0" w:type="auto"/>
                  <w:tcBorders>
                    <w:top w:val="nil"/>
                    <w:left w:val="nil"/>
                    <w:bottom w:val="nil"/>
                    <w:right w:val="nil"/>
                  </w:tcBorders>
                </w:tcPr>
                <w:p w:rsidR="00513A7F" w:rsidRPr="00A3133C" w:rsidRDefault="00513A7F" w:rsidP="00A3133C">
                  <w:pPr>
                    <w:pStyle w:val="aa"/>
                    <w:widowControl w:val="0"/>
                    <w:shd w:val="clear" w:color="000000" w:fill="auto"/>
                    <w:spacing w:line="360" w:lineRule="auto"/>
                    <w:rPr>
                      <w:sz w:val="20"/>
                    </w:rPr>
                  </w:pPr>
                  <w:r w:rsidRPr="00A3133C">
                    <w:rPr>
                      <w:sz w:val="20"/>
                    </w:rPr>
                    <w:t xml:space="preserve">Наименование частных показателей </w:t>
                  </w:r>
                </w:p>
              </w:tc>
            </w:tr>
          </w:tbl>
          <w:p w:rsidR="00513A7F" w:rsidRPr="00A3483E" w:rsidRDefault="00513A7F" w:rsidP="00A3483E">
            <w:pPr>
              <w:widowControl w:val="0"/>
              <w:shd w:val="clear" w:color="000000" w:fill="auto"/>
              <w:spacing w:after="0" w:line="360" w:lineRule="auto"/>
              <w:rPr>
                <w:rFonts w:ascii="Times New Roman" w:hAnsi="Times New Roman"/>
                <w:sz w:val="20"/>
                <w:szCs w:val="28"/>
              </w:rPr>
            </w:pPr>
          </w:p>
        </w:tc>
        <w:tc>
          <w:tcPr>
            <w:tcW w:w="4477" w:type="dxa"/>
            <w:shd w:val="clear" w:color="auto" w:fill="auto"/>
          </w:tcPr>
          <w:tbl>
            <w:tblPr>
              <w:tblpPr w:leftFromText="180" w:rightFromText="180" w:vertAnchor="text" w:horzAnchor="margin" w:tblpXSpec="center" w:tblpY="256"/>
              <w:tblOverlap w:val="never"/>
              <w:tblW w:w="0" w:type="auto"/>
              <w:tblLook w:val="0000" w:firstRow="0" w:lastRow="0" w:firstColumn="0" w:lastColumn="0" w:noHBand="0" w:noVBand="0"/>
            </w:tblPr>
            <w:tblGrid>
              <w:gridCol w:w="1904"/>
            </w:tblGrid>
            <w:tr w:rsidR="00513A7F" w:rsidRPr="00A3133C" w:rsidTr="00513A7F">
              <w:trPr>
                <w:trHeight w:val="316"/>
              </w:trPr>
              <w:tc>
                <w:tcPr>
                  <w:tcW w:w="0" w:type="auto"/>
                  <w:tcBorders>
                    <w:top w:val="nil"/>
                    <w:left w:val="nil"/>
                    <w:bottom w:val="nil"/>
                    <w:right w:val="nil"/>
                  </w:tcBorders>
                </w:tcPr>
                <w:p w:rsidR="00513A7F" w:rsidRPr="00A3133C" w:rsidRDefault="00513A7F" w:rsidP="00A3133C">
                  <w:pPr>
                    <w:pStyle w:val="aa"/>
                    <w:widowControl w:val="0"/>
                    <w:shd w:val="clear" w:color="000000" w:fill="auto"/>
                    <w:spacing w:line="360" w:lineRule="auto"/>
                    <w:rPr>
                      <w:sz w:val="20"/>
                    </w:rPr>
                  </w:pPr>
                  <w:r w:rsidRPr="00A3133C">
                    <w:rPr>
                      <w:sz w:val="20"/>
                    </w:rPr>
                    <w:t>Единица измерения</w:t>
                  </w:r>
                </w:p>
              </w:tc>
            </w:tr>
          </w:tbl>
          <w:p w:rsidR="00513A7F" w:rsidRPr="00A3483E" w:rsidRDefault="00513A7F" w:rsidP="00A3483E">
            <w:pPr>
              <w:widowControl w:val="0"/>
              <w:shd w:val="clear" w:color="000000" w:fill="auto"/>
              <w:spacing w:after="0" w:line="360" w:lineRule="auto"/>
              <w:rPr>
                <w:rFonts w:ascii="Times New Roman" w:hAnsi="Times New Roman"/>
                <w:sz w:val="20"/>
                <w:szCs w:val="28"/>
              </w:rPr>
            </w:pPr>
          </w:p>
        </w:tc>
      </w:tr>
      <w:tr w:rsidR="00513A7F" w:rsidRPr="00A3483E" w:rsidTr="00A3483E">
        <w:trPr>
          <w:trHeight w:val="23"/>
        </w:trPr>
        <w:tc>
          <w:tcPr>
            <w:tcW w:w="8222" w:type="dxa"/>
            <w:gridSpan w:val="3"/>
            <w:shd w:val="clear" w:color="auto" w:fill="auto"/>
          </w:tcPr>
          <w:tbl>
            <w:tblPr>
              <w:tblpPr w:leftFromText="180" w:rightFromText="180" w:vertAnchor="text" w:horzAnchor="margin" w:tblpXSpec="center" w:tblpY="105"/>
              <w:tblOverlap w:val="never"/>
              <w:tblW w:w="0" w:type="auto"/>
              <w:tblLook w:val="0000" w:firstRow="0" w:lastRow="0" w:firstColumn="0" w:lastColumn="0" w:noHBand="0" w:noVBand="0"/>
            </w:tblPr>
            <w:tblGrid>
              <w:gridCol w:w="4738"/>
            </w:tblGrid>
            <w:tr w:rsidR="002F3D96" w:rsidRPr="00A3133C" w:rsidTr="002F3D96">
              <w:trPr>
                <w:trHeight w:val="432"/>
              </w:trPr>
              <w:tc>
                <w:tcPr>
                  <w:tcW w:w="0" w:type="auto"/>
                  <w:tcBorders>
                    <w:top w:val="nil"/>
                    <w:left w:val="nil"/>
                    <w:bottom w:val="nil"/>
                    <w:right w:val="nil"/>
                  </w:tcBorders>
                </w:tcPr>
                <w:p w:rsidR="002F3D96" w:rsidRPr="00A3133C" w:rsidRDefault="002F3D96" w:rsidP="00A3133C">
                  <w:pPr>
                    <w:pStyle w:val="aa"/>
                    <w:widowControl w:val="0"/>
                    <w:shd w:val="clear" w:color="000000" w:fill="auto"/>
                    <w:spacing w:line="360" w:lineRule="auto"/>
                    <w:rPr>
                      <w:sz w:val="20"/>
                    </w:rPr>
                  </w:pPr>
                  <w:r w:rsidRPr="00A3133C">
                    <w:rPr>
                      <w:sz w:val="20"/>
                    </w:rPr>
                    <w:t xml:space="preserve">А. Показатели инвестиционного потенциала региона </w:t>
                  </w:r>
                </w:p>
              </w:tc>
            </w:tr>
          </w:tbl>
          <w:p w:rsidR="00513A7F" w:rsidRPr="00A3483E" w:rsidRDefault="00513A7F" w:rsidP="00A3483E">
            <w:pPr>
              <w:widowControl w:val="0"/>
              <w:shd w:val="clear" w:color="000000" w:fill="auto"/>
              <w:spacing w:after="0" w:line="360" w:lineRule="auto"/>
              <w:rPr>
                <w:rFonts w:ascii="Times New Roman" w:hAnsi="Times New Roman"/>
                <w:sz w:val="20"/>
                <w:szCs w:val="28"/>
              </w:rPr>
            </w:pPr>
          </w:p>
        </w:tc>
      </w:tr>
      <w:tr w:rsidR="00513A7F" w:rsidRPr="00A3483E" w:rsidTr="00A3483E">
        <w:trPr>
          <w:trHeight w:val="23"/>
        </w:trPr>
        <w:tc>
          <w:tcPr>
            <w:tcW w:w="8222" w:type="dxa"/>
            <w:gridSpan w:val="3"/>
            <w:shd w:val="clear" w:color="auto" w:fill="auto"/>
          </w:tcPr>
          <w:tbl>
            <w:tblPr>
              <w:tblpPr w:leftFromText="180" w:rightFromText="180" w:vertAnchor="text" w:horzAnchor="margin" w:tblpXSpec="center" w:tblpY="-214"/>
              <w:tblOverlap w:val="never"/>
              <w:tblW w:w="0" w:type="auto"/>
              <w:tblLook w:val="0000" w:firstRow="0" w:lastRow="0" w:firstColumn="0" w:lastColumn="0" w:noHBand="0" w:noVBand="0"/>
            </w:tblPr>
            <w:tblGrid>
              <w:gridCol w:w="5837"/>
            </w:tblGrid>
            <w:tr w:rsidR="002F3D96" w:rsidRPr="00A3133C" w:rsidTr="002F3D96">
              <w:trPr>
                <w:trHeight w:val="316"/>
              </w:trPr>
              <w:tc>
                <w:tcPr>
                  <w:tcW w:w="0" w:type="auto"/>
                  <w:tcBorders>
                    <w:top w:val="nil"/>
                    <w:left w:val="nil"/>
                    <w:bottom w:val="nil"/>
                    <w:right w:val="nil"/>
                  </w:tcBorders>
                </w:tcPr>
                <w:p w:rsidR="002F3D96" w:rsidRPr="00A3133C" w:rsidRDefault="002F3D96" w:rsidP="00A3133C">
                  <w:pPr>
                    <w:widowControl w:val="0"/>
                    <w:shd w:val="clear" w:color="000000" w:fill="auto"/>
                    <w:autoSpaceDE w:val="0"/>
                    <w:autoSpaceDN w:val="0"/>
                    <w:adjustRightInd w:val="0"/>
                    <w:spacing w:after="0" w:line="360" w:lineRule="auto"/>
                    <w:rPr>
                      <w:rFonts w:ascii="Times New Roman" w:hAnsi="Times New Roman"/>
                      <w:sz w:val="20"/>
                      <w:szCs w:val="24"/>
                    </w:rPr>
                  </w:pPr>
                  <w:r w:rsidRPr="00A3133C">
                    <w:rPr>
                      <w:rFonts w:ascii="Times New Roman" w:hAnsi="Times New Roman"/>
                      <w:sz w:val="20"/>
                      <w:szCs w:val="24"/>
                    </w:rPr>
                    <w:t xml:space="preserve">1. Показатели производственно-финансового потенциала региона </w:t>
                  </w:r>
                </w:p>
              </w:tc>
            </w:tr>
          </w:tbl>
          <w:p w:rsidR="00513A7F" w:rsidRPr="00A3483E" w:rsidRDefault="00513A7F" w:rsidP="00A3483E">
            <w:pPr>
              <w:widowControl w:val="0"/>
              <w:shd w:val="clear" w:color="000000" w:fill="auto"/>
              <w:spacing w:after="0" w:line="360" w:lineRule="auto"/>
              <w:rPr>
                <w:rFonts w:ascii="Times New Roman" w:hAnsi="Times New Roman"/>
                <w:sz w:val="20"/>
                <w:szCs w:val="28"/>
              </w:rPr>
            </w:pPr>
          </w:p>
        </w:tc>
      </w:tr>
      <w:tr w:rsidR="00513A7F" w:rsidRPr="00A3483E" w:rsidTr="00A3483E">
        <w:trPr>
          <w:trHeight w:val="23"/>
        </w:trPr>
        <w:tc>
          <w:tcPr>
            <w:tcW w:w="0" w:type="auto"/>
            <w:shd w:val="clear" w:color="auto" w:fill="auto"/>
          </w:tcPr>
          <w:p w:rsidR="00513A7F" w:rsidRPr="00A3483E" w:rsidRDefault="002F3D96"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1</w:t>
            </w:r>
          </w:p>
        </w:tc>
        <w:tc>
          <w:tcPr>
            <w:tcW w:w="2802" w:type="dxa"/>
            <w:shd w:val="clear" w:color="auto" w:fill="auto"/>
          </w:tcPr>
          <w:p w:rsidR="00513A7F" w:rsidRPr="00A3483E" w:rsidRDefault="00407234"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Объем производства</w:t>
            </w:r>
          </w:p>
        </w:tc>
        <w:tc>
          <w:tcPr>
            <w:tcW w:w="4477" w:type="dxa"/>
            <w:shd w:val="clear" w:color="auto" w:fill="auto"/>
          </w:tcPr>
          <w:p w:rsidR="00513A7F" w:rsidRPr="00A3483E" w:rsidRDefault="00407234"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Валовой региональный продукт на душу населения региона (с учетом покупательной способности)</w:t>
            </w:r>
          </w:p>
        </w:tc>
      </w:tr>
      <w:tr w:rsidR="00513A7F" w:rsidRPr="00A3483E" w:rsidTr="00A3483E">
        <w:trPr>
          <w:trHeight w:val="23"/>
        </w:trPr>
        <w:tc>
          <w:tcPr>
            <w:tcW w:w="0" w:type="auto"/>
            <w:shd w:val="clear" w:color="auto" w:fill="auto"/>
          </w:tcPr>
          <w:p w:rsidR="00513A7F" w:rsidRPr="00A3483E" w:rsidRDefault="002F3D96"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2</w:t>
            </w:r>
          </w:p>
        </w:tc>
        <w:tc>
          <w:tcPr>
            <w:tcW w:w="2802" w:type="dxa"/>
            <w:shd w:val="clear" w:color="auto" w:fill="auto"/>
          </w:tcPr>
          <w:p w:rsidR="00513A7F" w:rsidRPr="00A3483E" w:rsidRDefault="00407234"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Объем инвестиционных ресурсов</w:t>
            </w:r>
          </w:p>
        </w:tc>
        <w:tc>
          <w:tcPr>
            <w:tcW w:w="4477" w:type="dxa"/>
            <w:shd w:val="clear" w:color="auto" w:fill="auto"/>
          </w:tcPr>
          <w:p w:rsidR="00513A7F" w:rsidRPr="00A3483E" w:rsidRDefault="00407234"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Сумма инвестиций в расчете на душу населения региона</w:t>
            </w:r>
          </w:p>
        </w:tc>
      </w:tr>
      <w:tr w:rsidR="00513A7F" w:rsidRPr="00A3483E" w:rsidTr="00A3483E">
        <w:trPr>
          <w:trHeight w:val="23"/>
        </w:trPr>
        <w:tc>
          <w:tcPr>
            <w:tcW w:w="0" w:type="auto"/>
            <w:shd w:val="clear" w:color="auto" w:fill="auto"/>
          </w:tcPr>
          <w:p w:rsidR="00513A7F" w:rsidRPr="00A3483E" w:rsidRDefault="002F3D96"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3</w:t>
            </w:r>
          </w:p>
        </w:tc>
        <w:tc>
          <w:tcPr>
            <w:tcW w:w="2802" w:type="dxa"/>
            <w:shd w:val="clear" w:color="auto" w:fill="auto"/>
          </w:tcPr>
          <w:p w:rsidR="00513A7F" w:rsidRPr="00A3483E" w:rsidRDefault="00407234"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Суммарный объем финансовых средств</w:t>
            </w:r>
          </w:p>
        </w:tc>
        <w:tc>
          <w:tcPr>
            <w:tcW w:w="4477" w:type="dxa"/>
            <w:shd w:val="clear" w:color="auto" w:fill="auto"/>
          </w:tcPr>
          <w:p w:rsidR="00513A7F" w:rsidRPr="00A3483E" w:rsidRDefault="00407234"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Финансовая обеспеченность региона на душу населения (с учетом покупательной способности)</w:t>
            </w:r>
          </w:p>
        </w:tc>
      </w:tr>
      <w:tr w:rsidR="00513A7F" w:rsidRPr="00A3483E" w:rsidTr="00A3483E">
        <w:trPr>
          <w:trHeight w:val="23"/>
        </w:trPr>
        <w:tc>
          <w:tcPr>
            <w:tcW w:w="0" w:type="auto"/>
            <w:shd w:val="clear" w:color="auto" w:fill="auto"/>
          </w:tcPr>
          <w:p w:rsidR="00513A7F" w:rsidRPr="00A3483E" w:rsidRDefault="002F3D96"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4</w:t>
            </w:r>
          </w:p>
        </w:tc>
        <w:tc>
          <w:tcPr>
            <w:tcW w:w="2802" w:type="dxa"/>
            <w:shd w:val="clear" w:color="auto" w:fill="auto"/>
          </w:tcPr>
          <w:p w:rsidR="00513A7F" w:rsidRPr="00A3483E" w:rsidRDefault="00407234"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Уровень развития малого предпринимательства</w:t>
            </w:r>
          </w:p>
        </w:tc>
        <w:tc>
          <w:tcPr>
            <w:tcW w:w="4477" w:type="dxa"/>
            <w:shd w:val="clear" w:color="auto" w:fill="auto"/>
          </w:tcPr>
          <w:p w:rsidR="00513A7F" w:rsidRPr="00A3483E" w:rsidRDefault="00407234"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Доля занятых на малых предприятиях в общей численности занятых в экономике (% к общей числен.)</w:t>
            </w:r>
          </w:p>
        </w:tc>
      </w:tr>
      <w:tr w:rsidR="00513A7F" w:rsidRPr="00A3483E" w:rsidTr="00A3483E">
        <w:trPr>
          <w:trHeight w:val="23"/>
        </w:trPr>
        <w:tc>
          <w:tcPr>
            <w:tcW w:w="0" w:type="auto"/>
            <w:shd w:val="clear" w:color="auto" w:fill="auto"/>
          </w:tcPr>
          <w:p w:rsidR="00513A7F" w:rsidRPr="00A3483E" w:rsidRDefault="002F3D96"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5</w:t>
            </w:r>
          </w:p>
        </w:tc>
        <w:tc>
          <w:tcPr>
            <w:tcW w:w="2802" w:type="dxa"/>
            <w:shd w:val="clear" w:color="auto" w:fill="auto"/>
          </w:tcPr>
          <w:p w:rsidR="00513A7F" w:rsidRPr="00A3483E" w:rsidRDefault="00407234"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Совокупный объем капитальных вложений</w:t>
            </w:r>
          </w:p>
        </w:tc>
        <w:tc>
          <w:tcPr>
            <w:tcW w:w="4477" w:type="dxa"/>
            <w:shd w:val="clear" w:color="auto" w:fill="auto"/>
          </w:tcPr>
          <w:p w:rsidR="00513A7F" w:rsidRPr="00A3483E" w:rsidRDefault="00407234"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Основные фонды отраслей экономики (по полной балансовой стоимости) на душу населения</w:t>
            </w:r>
          </w:p>
        </w:tc>
      </w:tr>
      <w:tr w:rsidR="00513A7F" w:rsidRPr="00A3483E" w:rsidTr="00A3483E">
        <w:trPr>
          <w:trHeight w:val="23"/>
        </w:trPr>
        <w:tc>
          <w:tcPr>
            <w:tcW w:w="0" w:type="auto"/>
            <w:shd w:val="clear" w:color="auto" w:fill="auto"/>
          </w:tcPr>
          <w:p w:rsidR="00513A7F" w:rsidRPr="00A3483E" w:rsidRDefault="002F3D96"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6</w:t>
            </w:r>
          </w:p>
        </w:tc>
        <w:tc>
          <w:tcPr>
            <w:tcW w:w="2802" w:type="dxa"/>
            <w:shd w:val="clear" w:color="auto" w:fill="auto"/>
          </w:tcPr>
          <w:p w:rsidR="00513A7F" w:rsidRPr="00A3483E" w:rsidRDefault="00407234"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 xml:space="preserve">Объем </w:t>
            </w:r>
            <w:r w:rsidR="004F4DAA" w:rsidRPr="00A3483E">
              <w:rPr>
                <w:rFonts w:ascii="Times New Roman" w:hAnsi="Times New Roman"/>
                <w:sz w:val="20"/>
                <w:szCs w:val="24"/>
              </w:rPr>
              <w:t xml:space="preserve">промышленного </w:t>
            </w:r>
            <w:r w:rsidRPr="00A3483E">
              <w:rPr>
                <w:rFonts w:ascii="Times New Roman" w:hAnsi="Times New Roman"/>
                <w:sz w:val="20"/>
                <w:szCs w:val="24"/>
              </w:rPr>
              <w:t>производства</w:t>
            </w:r>
          </w:p>
        </w:tc>
        <w:tc>
          <w:tcPr>
            <w:tcW w:w="4477" w:type="dxa"/>
            <w:shd w:val="clear" w:color="auto" w:fill="auto"/>
          </w:tcPr>
          <w:p w:rsidR="00513A7F" w:rsidRPr="00A3483E" w:rsidRDefault="00407234"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 xml:space="preserve">Объем </w:t>
            </w:r>
            <w:r w:rsidR="004F4DAA" w:rsidRPr="00A3483E">
              <w:rPr>
                <w:rFonts w:ascii="Times New Roman" w:hAnsi="Times New Roman"/>
                <w:sz w:val="20"/>
                <w:szCs w:val="24"/>
              </w:rPr>
              <w:t xml:space="preserve">промышленного </w:t>
            </w:r>
            <w:r w:rsidRPr="00A3483E">
              <w:rPr>
                <w:rFonts w:ascii="Times New Roman" w:hAnsi="Times New Roman"/>
                <w:sz w:val="20"/>
                <w:szCs w:val="24"/>
              </w:rPr>
              <w:t>производства на душу населения</w:t>
            </w:r>
          </w:p>
        </w:tc>
      </w:tr>
      <w:tr w:rsidR="00513A7F" w:rsidRPr="00A3483E" w:rsidTr="00A3483E">
        <w:trPr>
          <w:trHeight w:val="23"/>
        </w:trPr>
        <w:tc>
          <w:tcPr>
            <w:tcW w:w="0" w:type="auto"/>
            <w:shd w:val="clear" w:color="auto" w:fill="auto"/>
          </w:tcPr>
          <w:p w:rsidR="00513A7F" w:rsidRPr="00A3483E" w:rsidRDefault="002F3D96"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7</w:t>
            </w:r>
          </w:p>
        </w:tc>
        <w:tc>
          <w:tcPr>
            <w:tcW w:w="2802" w:type="dxa"/>
            <w:shd w:val="clear" w:color="auto" w:fill="auto"/>
          </w:tcPr>
          <w:p w:rsidR="00513A7F" w:rsidRPr="00A3483E" w:rsidRDefault="00407234"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Темпы изменения объемов производства</w:t>
            </w:r>
          </w:p>
        </w:tc>
        <w:tc>
          <w:tcPr>
            <w:tcW w:w="4477" w:type="dxa"/>
            <w:shd w:val="clear" w:color="auto" w:fill="auto"/>
          </w:tcPr>
          <w:p w:rsidR="00513A7F" w:rsidRPr="00A3483E" w:rsidRDefault="00407234"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Годовой темп изменения, исходя из объемов производства в сопоставимых ценах</w:t>
            </w:r>
          </w:p>
        </w:tc>
      </w:tr>
      <w:tr w:rsidR="002F3D96" w:rsidRPr="00A3483E" w:rsidTr="00A3483E">
        <w:trPr>
          <w:trHeight w:val="23"/>
        </w:trPr>
        <w:tc>
          <w:tcPr>
            <w:tcW w:w="8222" w:type="dxa"/>
            <w:gridSpan w:val="3"/>
            <w:shd w:val="clear" w:color="auto" w:fill="auto"/>
          </w:tcPr>
          <w:tbl>
            <w:tblPr>
              <w:tblpPr w:leftFromText="180" w:rightFromText="180" w:vertAnchor="text" w:horzAnchor="margin" w:tblpXSpec="center" w:tblpY="-153"/>
              <w:tblOverlap w:val="never"/>
              <w:tblW w:w="0" w:type="auto"/>
              <w:tblLook w:val="0000" w:firstRow="0" w:lastRow="0" w:firstColumn="0" w:lastColumn="0" w:noHBand="0" w:noVBand="0"/>
            </w:tblPr>
            <w:tblGrid>
              <w:gridCol w:w="4275"/>
            </w:tblGrid>
            <w:tr w:rsidR="002F3D96" w:rsidRPr="00A3133C" w:rsidTr="002F3D96">
              <w:trPr>
                <w:trHeight w:val="316"/>
              </w:trPr>
              <w:tc>
                <w:tcPr>
                  <w:tcW w:w="0" w:type="auto"/>
                  <w:tcBorders>
                    <w:top w:val="nil"/>
                    <w:left w:val="nil"/>
                    <w:bottom w:val="nil"/>
                    <w:right w:val="nil"/>
                  </w:tcBorders>
                </w:tcPr>
                <w:p w:rsidR="002F3D96" w:rsidRPr="00A3133C" w:rsidRDefault="002F3D96" w:rsidP="00A3133C">
                  <w:pPr>
                    <w:widowControl w:val="0"/>
                    <w:shd w:val="clear" w:color="000000" w:fill="auto"/>
                    <w:autoSpaceDE w:val="0"/>
                    <w:autoSpaceDN w:val="0"/>
                    <w:adjustRightInd w:val="0"/>
                    <w:spacing w:after="0" w:line="360" w:lineRule="auto"/>
                    <w:rPr>
                      <w:rFonts w:ascii="Times New Roman" w:hAnsi="Times New Roman"/>
                      <w:sz w:val="20"/>
                      <w:szCs w:val="24"/>
                    </w:rPr>
                  </w:pPr>
                  <w:r w:rsidRPr="00A3133C">
                    <w:rPr>
                      <w:rFonts w:ascii="Times New Roman" w:hAnsi="Times New Roman"/>
                      <w:sz w:val="20"/>
                      <w:szCs w:val="24"/>
                    </w:rPr>
                    <w:t xml:space="preserve">2. Показатели социального потенциала региона </w:t>
                  </w:r>
                </w:p>
              </w:tc>
            </w:tr>
          </w:tbl>
          <w:p w:rsidR="002F3D96" w:rsidRPr="00A3483E" w:rsidRDefault="002F3D96" w:rsidP="00A3483E">
            <w:pPr>
              <w:widowControl w:val="0"/>
              <w:shd w:val="clear" w:color="000000" w:fill="auto"/>
              <w:spacing w:after="0" w:line="360" w:lineRule="auto"/>
              <w:rPr>
                <w:rFonts w:ascii="Times New Roman" w:hAnsi="Times New Roman"/>
                <w:sz w:val="20"/>
                <w:szCs w:val="28"/>
              </w:rPr>
            </w:pPr>
          </w:p>
        </w:tc>
      </w:tr>
      <w:tr w:rsidR="00513A7F" w:rsidRPr="00A3483E" w:rsidTr="00A3483E">
        <w:trPr>
          <w:trHeight w:val="23"/>
        </w:trPr>
        <w:tc>
          <w:tcPr>
            <w:tcW w:w="0" w:type="auto"/>
            <w:shd w:val="clear" w:color="auto" w:fill="auto"/>
          </w:tcPr>
          <w:p w:rsidR="00513A7F" w:rsidRPr="00A3483E" w:rsidRDefault="002F3D96"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8</w:t>
            </w:r>
          </w:p>
        </w:tc>
        <w:tc>
          <w:tcPr>
            <w:tcW w:w="2802" w:type="dxa"/>
            <w:shd w:val="clear" w:color="auto" w:fill="auto"/>
          </w:tcPr>
          <w:p w:rsidR="00513A7F" w:rsidRPr="00A3483E" w:rsidRDefault="00407234"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Уровень жизни населения региона</w:t>
            </w:r>
          </w:p>
        </w:tc>
        <w:tc>
          <w:tcPr>
            <w:tcW w:w="4477" w:type="dxa"/>
            <w:shd w:val="clear" w:color="auto" w:fill="auto"/>
          </w:tcPr>
          <w:p w:rsidR="00513A7F" w:rsidRPr="00A3483E" w:rsidRDefault="00407234"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Соотношение среднедушевого дохода и среднедушевого прожиточного минимума</w:t>
            </w:r>
          </w:p>
        </w:tc>
      </w:tr>
      <w:tr w:rsidR="00513A7F" w:rsidRPr="00A3483E" w:rsidTr="00A3483E">
        <w:trPr>
          <w:trHeight w:val="23"/>
        </w:trPr>
        <w:tc>
          <w:tcPr>
            <w:tcW w:w="0" w:type="auto"/>
            <w:shd w:val="clear" w:color="auto" w:fill="auto"/>
          </w:tcPr>
          <w:p w:rsidR="00513A7F" w:rsidRPr="00A3483E" w:rsidRDefault="002F3D96"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9</w:t>
            </w:r>
          </w:p>
        </w:tc>
        <w:tc>
          <w:tcPr>
            <w:tcW w:w="2802" w:type="dxa"/>
            <w:shd w:val="clear" w:color="auto" w:fill="auto"/>
          </w:tcPr>
          <w:p w:rsidR="00513A7F" w:rsidRPr="00A3483E" w:rsidRDefault="00407234"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Обеспеченность населения легковыми автомобилями</w:t>
            </w:r>
          </w:p>
        </w:tc>
        <w:tc>
          <w:tcPr>
            <w:tcW w:w="4477" w:type="dxa"/>
            <w:shd w:val="clear" w:color="auto" w:fill="auto"/>
          </w:tcPr>
          <w:p w:rsidR="00513A7F" w:rsidRPr="00A3483E" w:rsidRDefault="00407234"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Количество легковых автомобилей в собственности граждан на 1000 человек населения</w:t>
            </w:r>
          </w:p>
        </w:tc>
      </w:tr>
      <w:tr w:rsidR="002F3D96" w:rsidRPr="00A3483E" w:rsidTr="00A3483E">
        <w:trPr>
          <w:trHeight w:val="23"/>
        </w:trPr>
        <w:tc>
          <w:tcPr>
            <w:tcW w:w="8222" w:type="dxa"/>
            <w:gridSpan w:val="3"/>
            <w:shd w:val="clear" w:color="auto" w:fill="auto"/>
          </w:tcPr>
          <w:tbl>
            <w:tblPr>
              <w:tblpPr w:leftFromText="180" w:rightFromText="180" w:vertAnchor="text" w:horzAnchor="margin" w:tblpXSpec="center" w:tblpY="-139"/>
              <w:tblOverlap w:val="never"/>
              <w:tblW w:w="0" w:type="auto"/>
              <w:tblLook w:val="0000" w:firstRow="0" w:lastRow="0" w:firstColumn="0" w:lastColumn="0" w:noHBand="0" w:noVBand="0"/>
            </w:tblPr>
            <w:tblGrid>
              <w:gridCol w:w="4158"/>
            </w:tblGrid>
            <w:tr w:rsidR="002F3D96" w:rsidRPr="00A3133C" w:rsidTr="002F3D96">
              <w:trPr>
                <w:trHeight w:val="316"/>
              </w:trPr>
              <w:tc>
                <w:tcPr>
                  <w:tcW w:w="0" w:type="auto"/>
                  <w:tcBorders>
                    <w:top w:val="nil"/>
                    <w:left w:val="nil"/>
                    <w:bottom w:val="nil"/>
                    <w:right w:val="nil"/>
                  </w:tcBorders>
                </w:tcPr>
                <w:p w:rsidR="002F3D96" w:rsidRPr="00A3133C" w:rsidRDefault="002F3D96" w:rsidP="00A3133C">
                  <w:pPr>
                    <w:widowControl w:val="0"/>
                    <w:shd w:val="clear" w:color="000000" w:fill="auto"/>
                    <w:autoSpaceDE w:val="0"/>
                    <w:autoSpaceDN w:val="0"/>
                    <w:adjustRightInd w:val="0"/>
                    <w:spacing w:after="0" w:line="360" w:lineRule="auto"/>
                    <w:rPr>
                      <w:rFonts w:ascii="Times New Roman" w:hAnsi="Times New Roman"/>
                      <w:sz w:val="20"/>
                      <w:szCs w:val="24"/>
                    </w:rPr>
                  </w:pPr>
                  <w:r w:rsidRPr="00A3133C">
                    <w:rPr>
                      <w:rFonts w:ascii="Times New Roman" w:hAnsi="Times New Roman"/>
                      <w:sz w:val="20"/>
                      <w:szCs w:val="24"/>
                    </w:rPr>
                    <w:t xml:space="preserve">3. Показатели ресурсного потенциала региона </w:t>
                  </w:r>
                </w:p>
              </w:tc>
            </w:tr>
          </w:tbl>
          <w:p w:rsidR="002F3D96" w:rsidRPr="00A3483E" w:rsidRDefault="002F3D96" w:rsidP="00A3483E">
            <w:pPr>
              <w:widowControl w:val="0"/>
              <w:shd w:val="clear" w:color="000000" w:fill="auto"/>
              <w:spacing w:after="0" w:line="360" w:lineRule="auto"/>
              <w:rPr>
                <w:rFonts w:ascii="Times New Roman" w:hAnsi="Times New Roman"/>
                <w:sz w:val="20"/>
                <w:szCs w:val="28"/>
              </w:rPr>
            </w:pPr>
          </w:p>
        </w:tc>
      </w:tr>
      <w:tr w:rsidR="00F42500" w:rsidRPr="00A3483E" w:rsidTr="00A3483E">
        <w:trPr>
          <w:trHeight w:val="23"/>
        </w:trPr>
        <w:tc>
          <w:tcPr>
            <w:tcW w:w="0" w:type="auto"/>
            <w:shd w:val="clear" w:color="auto" w:fill="auto"/>
          </w:tcPr>
          <w:p w:rsidR="00F42500" w:rsidRPr="00A3483E" w:rsidRDefault="00F42500"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10</w:t>
            </w:r>
          </w:p>
        </w:tc>
        <w:tc>
          <w:tcPr>
            <w:tcW w:w="2802" w:type="dxa"/>
            <w:shd w:val="clear" w:color="auto" w:fill="auto"/>
          </w:tcPr>
          <w:p w:rsidR="00F42500" w:rsidRPr="00A3483E" w:rsidRDefault="00F42500"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Объем природных запасов нефти и газа (углеводородных ресурсов)</w:t>
            </w:r>
          </w:p>
        </w:tc>
        <w:tc>
          <w:tcPr>
            <w:tcW w:w="4477" w:type="dxa"/>
            <w:shd w:val="clear" w:color="auto" w:fill="auto"/>
          </w:tcPr>
          <w:p w:rsidR="00F42500" w:rsidRPr="00A3483E" w:rsidRDefault="00F42500"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Объем природных запасов нефти и газа, с учетом рентабельности разработки месторождений в расчете на единицу показателя Э. Энгеля</w:t>
            </w:r>
          </w:p>
        </w:tc>
      </w:tr>
      <w:tr w:rsidR="00F42500" w:rsidRPr="00A3483E" w:rsidTr="00A3483E">
        <w:trPr>
          <w:trHeight w:val="23"/>
        </w:trPr>
        <w:tc>
          <w:tcPr>
            <w:tcW w:w="0" w:type="auto"/>
            <w:shd w:val="clear" w:color="auto" w:fill="auto"/>
          </w:tcPr>
          <w:p w:rsidR="00F42500" w:rsidRPr="00A3483E" w:rsidRDefault="00F42500"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11</w:t>
            </w:r>
          </w:p>
        </w:tc>
        <w:tc>
          <w:tcPr>
            <w:tcW w:w="2802" w:type="dxa"/>
            <w:shd w:val="clear" w:color="auto" w:fill="auto"/>
          </w:tcPr>
          <w:p w:rsidR="00F42500" w:rsidRPr="00A3483E" w:rsidRDefault="00CA3753"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 xml:space="preserve">Наличие </w:t>
            </w:r>
            <w:r w:rsidR="00F42500" w:rsidRPr="00A3483E">
              <w:rPr>
                <w:rFonts w:ascii="Times New Roman" w:hAnsi="Times New Roman"/>
                <w:sz w:val="20"/>
                <w:szCs w:val="24"/>
              </w:rPr>
              <w:t>природных запасов минерально-сырьевых ресурсов кроме углеводородных</w:t>
            </w:r>
          </w:p>
        </w:tc>
        <w:tc>
          <w:tcPr>
            <w:tcW w:w="4477" w:type="dxa"/>
            <w:shd w:val="clear" w:color="auto" w:fill="auto"/>
          </w:tcPr>
          <w:p w:rsidR="00F42500" w:rsidRPr="00A3483E" w:rsidRDefault="00F42500"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Объем природных запасов минерально-сырьевых ресурсов кроме углеводородных, в расчете на единицу показателя Э. Энгеля</w:t>
            </w:r>
          </w:p>
        </w:tc>
      </w:tr>
      <w:tr w:rsidR="00513A7F" w:rsidRPr="00A3483E" w:rsidTr="00A3483E">
        <w:trPr>
          <w:trHeight w:val="23"/>
        </w:trPr>
        <w:tc>
          <w:tcPr>
            <w:tcW w:w="0" w:type="auto"/>
            <w:shd w:val="clear" w:color="auto" w:fill="auto"/>
          </w:tcPr>
          <w:p w:rsidR="00513A7F" w:rsidRPr="00A3483E" w:rsidRDefault="002F3D96"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1</w:t>
            </w:r>
            <w:r w:rsidR="00F42500" w:rsidRPr="00A3483E">
              <w:rPr>
                <w:rFonts w:ascii="Times New Roman" w:hAnsi="Times New Roman"/>
                <w:sz w:val="20"/>
                <w:szCs w:val="24"/>
              </w:rPr>
              <w:t>2</w:t>
            </w:r>
          </w:p>
        </w:tc>
        <w:tc>
          <w:tcPr>
            <w:tcW w:w="2802" w:type="dxa"/>
            <w:shd w:val="clear" w:color="auto" w:fill="auto"/>
          </w:tcPr>
          <w:p w:rsidR="00513A7F" w:rsidRPr="00A3483E" w:rsidRDefault="00407234"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 xml:space="preserve">Объем добычи </w:t>
            </w:r>
            <w:r w:rsidR="00E11B1F" w:rsidRPr="00A3483E">
              <w:rPr>
                <w:rFonts w:ascii="Times New Roman" w:hAnsi="Times New Roman"/>
                <w:sz w:val="20"/>
                <w:szCs w:val="24"/>
              </w:rPr>
              <w:t>природных ресурсов</w:t>
            </w:r>
          </w:p>
        </w:tc>
        <w:tc>
          <w:tcPr>
            <w:tcW w:w="4477" w:type="dxa"/>
            <w:shd w:val="clear" w:color="auto" w:fill="auto"/>
          </w:tcPr>
          <w:p w:rsidR="00513A7F" w:rsidRPr="00A3483E" w:rsidRDefault="00407234"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 xml:space="preserve">Объемы добычи </w:t>
            </w:r>
            <w:r w:rsidR="00E11B1F" w:rsidRPr="00A3483E">
              <w:rPr>
                <w:rFonts w:ascii="Times New Roman" w:hAnsi="Times New Roman"/>
                <w:sz w:val="20"/>
                <w:szCs w:val="24"/>
              </w:rPr>
              <w:t xml:space="preserve">природных ресурсов </w:t>
            </w:r>
            <w:r w:rsidRPr="00A3483E">
              <w:rPr>
                <w:rFonts w:ascii="Times New Roman" w:hAnsi="Times New Roman"/>
                <w:sz w:val="20"/>
                <w:szCs w:val="24"/>
              </w:rPr>
              <w:t>(% от общероссийского объема добычи)</w:t>
            </w:r>
          </w:p>
        </w:tc>
      </w:tr>
      <w:tr w:rsidR="002F3D96" w:rsidRPr="00A3483E" w:rsidTr="00A3483E">
        <w:trPr>
          <w:trHeight w:val="23"/>
        </w:trPr>
        <w:tc>
          <w:tcPr>
            <w:tcW w:w="8222" w:type="dxa"/>
            <w:gridSpan w:val="3"/>
            <w:shd w:val="clear" w:color="auto" w:fill="auto"/>
          </w:tcPr>
          <w:tbl>
            <w:tblPr>
              <w:tblpPr w:leftFromText="180" w:rightFromText="180" w:vertAnchor="text" w:horzAnchor="margin" w:tblpXSpec="center" w:tblpY="-153"/>
              <w:tblOverlap w:val="never"/>
              <w:tblW w:w="0" w:type="auto"/>
              <w:tblLook w:val="0000" w:firstRow="0" w:lastRow="0" w:firstColumn="0" w:lastColumn="0" w:noHBand="0" w:noVBand="0"/>
            </w:tblPr>
            <w:tblGrid>
              <w:gridCol w:w="4069"/>
            </w:tblGrid>
            <w:tr w:rsidR="002F3D96" w:rsidRPr="00A3133C" w:rsidTr="002F3D96">
              <w:trPr>
                <w:trHeight w:val="316"/>
              </w:trPr>
              <w:tc>
                <w:tcPr>
                  <w:tcW w:w="0" w:type="auto"/>
                  <w:tcBorders>
                    <w:top w:val="nil"/>
                    <w:left w:val="nil"/>
                    <w:bottom w:val="nil"/>
                    <w:right w:val="nil"/>
                  </w:tcBorders>
                </w:tcPr>
                <w:p w:rsidR="002F3D96" w:rsidRPr="00A3133C" w:rsidRDefault="002F3D96" w:rsidP="00A3133C">
                  <w:pPr>
                    <w:widowControl w:val="0"/>
                    <w:shd w:val="clear" w:color="000000" w:fill="auto"/>
                    <w:autoSpaceDE w:val="0"/>
                    <w:autoSpaceDN w:val="0"/>
                    <w:adjustRightInd w:val="0"/>
                    <w:spacing w:after="0" w:line="360" w:lineRule="auto"/>
                    <w:rPr>
                      <w:rFonts w:ascii="Times New Roman" w:hAnsi="Times New Roman"/>
                      <w:sz w:val="20"/>
                      <w:szCs w:val="24"/>
                    </w:rPr>
                  </w:pPr>
                  <w:r w:rsidRPr="00A3133C">
                    <w:rPr>
                      <w:rFonts w:ascii="Times New Roman" w:hAnsi="Times New Roman"/>
                      <w:sz w:val="20"/>
                      <w:szCs w:val="24"/>
                    </w:rPr>
                    <w:t xml:space="preserve">4. Показатели трудового потенциала региона </w:t>
                  </w:r>
                </w:p>
              </w:tc>
            </w:tr>
          </w:tbl>
          <w:p w:rsidR="002F3D96" w:rsidRPr="00A3483E" w:rsidRDefault="002F3D96" w:rsidP="00A3483E">
            <w:pPr>
              <w:widowControl w:val="0"/>
              <w:shd w:val="clear" w:color="000000" w:fill="auto"/>
              <w:spacing w:after="0" w:line="360" w:lineRule="auto"/>
              <w:rPr>
                <w:rFonts w:ascii="Times New Roman" w:hAnsi="Times New Roman"/>
                <w:sz w:val="20"/>
                <w:szCs w:val="28"/>
              </w:rPr>
            </w:pPr>
          </w:p>
        </w:tc>
      </w:tr>
      <w:tr w:rsidR="00513A7F" w:rsidRPr="00A3483E" w:rsidTr="00A3483E">
        <w:trPr>
          <w:trHeight w:val="23"/>
        </w:trPr>
        <w:tc>
          <w:tcPr>
            <w:tcW w:w="0" w:type="auto"/>
            <w:shd w:val="clear" w:color="auto" w:fill="auto"/>
          </w:tcPr>
          <w:p w:rsidR="00513A7F" w:rsidRPr="00A3483E" w:rsidRDefault="002F3D96"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1</w:t>
            </w:r>
            <w:r w:rsidR="00F42500" w:rsidRPr="00A3483E">
              <w:rPr>
                <w:rFonts w:ascii="Times New Roman" w:hAnsi="Times New Roman"/>
                <w:sz w:val="20"/>
                <w:szCs w:val="24"/>
              </w:rPr>
              <w:t>3</w:t>
            </w:r>
          </w:p>
        </w:tc>
        <w:tc>
          <w:tcPr>
            <w:tcW w:w="2802" w:type="dxa"/>
            <w:shd w:val="clear" w:color="auto" w:fill="auto"/>
          </w:tcPr>
          <w:p w:rsidR="00513A7F" w:rsidRPr="00A3483E" w:rsidRDefault="00E11B1F"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Уровень обеспеченности трудовыми ресурсами</w:t>
            </w:r>
          </w:p>
        </w:tc>
        <w:tc>
          <w:tcPr>
            <w:tcW w:w="4477" w:type="dxa"/>
            <w:shd w:val="clear" w:color="auto" w:fill="auto"/>
          </w:tcPr>
          <w:p w:rsidR="00513A7F" w:rsidRPr="00A3483E" w:rsidRDefault="00E11B1F"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Выпуск специалистов (человек на 10 тыс. жителей)</w:t>
            </w:r>
          </w:p>
        </w:tc>
      </w:tr>
      <w:tr w:rsidR="002F3D96" w:rsidRPr="00A3483E" w:rsidTr="00A3483E">
        <w:trPr>
          <w:trHeight w:val="23"/>
        </w:trPr>
        <w:tc>
          <w:tcPr>
            <w:tcW w:w="8222" w:type="dxa"/>
            <w:gridSpan w:val="3"/>
            <w:shd w:val="clear" w:color="auto" w:fill="auto"/>
          </w:tcPr>
          <w:tbl>
            <w:tblPr>
              <w:tblpPr w:leftFromText="180" w:rightFromText="180" w:vertAnchor="text" w:horzAnchor="margin" w:tblpXSpec="center" w:tblpY="-160"/>
              <w:tblOverlap w:val="never"/>
              <w:tblW w:w="0" w:type="auto"/>
              <w:tblLook w:val="0000" w:firstRow="0" w:lastRow="0" w:firstColumn="0" w:lastColumn="0" w:noHBand="0" w:noVBand="0"/>
            </w:tblPr>
            <w:tblGrid>
              <w:gridCol w:w="4885"/>
            </w:tblGrid>
            <w:tr w:rsidR="002F3D96" w:rsidRPr="00A3133C" w:rsidTr="002F3D96">
              <w:trPr>
                <w:trHeight w:val="316"/>
              </w:trPr>
              <w:tc>
                <w:tcPr>
                  <w:tcW w:w="0" w:type="auto"/>
                  <w:tcBorders>
                    <w:top w:val="nil"/>
                    <w:left w:val="nil"/>
                    <w:bottom w:val="nil"/>
                    <w:right w:val="nil"/>
                  </w:tcBorders>
                </w:tcPr>
                <w:p w:rsidR="002F3D96" w:rsidRPr="00A3133C" w:rsidRDefault="002F3D96" w:rsidP="00A3133C">
                  <w:pPr>
                    <w:widowControl w:val="0"/>
                    <w:shd w:val="clear" w:color="000000" w:fill="auto"/>
                    <w:autoSpaceDE w:val="0"/>
                    <w:autoSpaceDN w:val="0"/>
                    <w:adjustRightInd w:val="0"/>
                    <w:spacing w:after="0" w:line="360" w:lineRule="auto"/>
                    <w:rPr>
                      <w:rFonts w:ascii="Times New Roman" w:hAnsi="Times New Roman"/>
                      <w:sz w:val="20"/>
                      <w:szCs w:val="24"/>
                    </w:rPr>
                  </w:pPr>
                  <w:r w:rsidRPr="00A3133C">
                    <w:rPr>
                      <w:rFonts w:ascii="Times New Roman" w:hAnsi="Times New Roman"/>
                      <w:sz w:val="20"/>
                      <w:szCs w:val="24"/>
                    </w:rPr>
                    <w:t xml:space="preserve">5. Показатели инфраструктурного потенциала региона </w:t>
                  </w:r>
                </w:p>
              </w:tc>
            </w:tr>
          </w:tbl>
          <w:p w:rsidR="002F3D96" w:rsidRPr="00A3483E" w:rsidRDefault="002F3D96" w:rsidP="00A3483E">
            <w:pPr>
              <w:widowControl w:val="0"/>
              <w:shd w:val="clear" w:color="000000" w:fill="auto"/>
              <w:spacing w:after="0" w:line="360" w:lineRule="auto"/>
              <w:rPr>
                <w:rFonts w:ascii="Times New Roman" w:hAnsi="Times New Roman"/>
                <w:sz w:val="20"/>
                <w:szCs w:val="28"/>
              </w:rPr>
            </w:pPr>
          </w:p>
        </w:tc>
      </w:tr>
      <w:tr w:rsidR="00513A7F" w:rsidRPr="00A3483E" w:rsidTr="00A3483E">
        <w:trPr>
          <w:trHeight w:val="23"/>
        </w:trPr>
        <w:tc>
          <w:tcPr>
            <w:tcW w:w="0" w:type="auto"/>
            <w:shd w:val="clear" w:color="auto" w:fill="auto"/>
          </w:tcPr>
          <w:p w:rsidR="00513A7F" w:rsidRPr="00A3483E" w:rsidRDefault="00195162"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1</w:t>
            </w:r>
            <w:r w:rsidR="00F42500" w:rsidRPr="00A3483E">
              <w:rPr>
                <w:rFonts w:ascii="Times New Roman" w:hAnsi="Times New Roman"/>
                <w:sz w:val="20"/>
                <w:szCs w:val="24"/>
              </w:rPr>
              <w:t>4</w:t>
            </w:r>
          </w:p>
        </w:tc>
        <w:tc>
          <w:tcPr>
            <w:tcW w:w="2802" w:type="dxa"/>
            <w:shd w:val="clear" w:color="auto" w:fill="auto"/>
          </w:tcPr>
          <w:p w:rsidR="00513A7F" w:rsidRPr="00A3483E" w:rsidRDefault="00E11B1F"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Уровень развития социаль-ной инфраструктуры региона</w:t>
            </w:r>
          </w:p>
        </w:tc>
        <w:tc>
          <w:tcPr>
            <w:tcW w:w="4477" w:type="dxa"/>
            <w:shd w:val="clear" w:color="auto" w:fill="auto"/>
          </w:tcPr>
          <w:p w:rsidR="00513A7F" w:rsidRPr="00A3483E" w:rsidRDefault="00E11B1F"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Сводный показатель уровня развития отраслей социальной инфраструктуры</w:t>
            </w:r>
          </w:p>
        </w:tc>
      </w:tr>
      <w:tr w:rsidR="00195162" w:rsidRPr="00A3483E" w:rsidTr="00A3483E">
        <w:trPr>
          <w:trHeight w:val="23"/>
        </w:trPr>
        <w:tc>
          <w:tcPr>
            <w:tcW w:w="8222" w:type="dxa"/>
            <w:gridSpan w:val="3"/>
            <w:shd w:val="clear" w:color="auto" w:fill="auto"/>
          </w:tcPr>
          <w:tbl>
            <w:tblPr>
              <w:tblpPr w:leftFromText="180" w:rightFromText="180" w:vertAnchor="text" w:horzAnchor="margin" w:tblpXSpec="center" w:tblpY="-182"/>
              <w:tblOverlap w:val="never"/>
              <w:tblW w:w="0" w:type="auto"/>
              <w:tblLook w:val="0000" w:firstRow="0" w:lastRow="0" w:firstColumn="0" w:lastColumn="0" w:noHBand="0" w:noVBand="0"/>
            </w:tblPr>
            <w:tblGrid>
              <w:gridCol w:w="4730"/>
            </w:tblGrid>
            <w:tr w:rsidR="00195162" w:rsidRPr="00A3133C" w:rsidTr="00195162">
              <w:trPr>
                <w:trHeight w:val="316"/>
              </w:trPr>
              <w:tc>
                <w:tcPr>
                  <w:tcW w:w="0" w:type="auto"/>
                  <w:tcBorders>
                    <w:top w:val="nil"/>
                    <w:left w:val="nil"/>
                    <w:bottom w:val="nil"/>
                    <w:right w:val="nil"/>
                  </w:tcBorders>
                </w:tcPr>
                <w:p w:rsidR="00195162" w:rsidRPr="00A3133C" w:rsidRDefault="00195162" w:rsidP="00A3133C">
                  <w:pPr>
                    <w:widowControl w:val="0"/>
                    <w:shd w:val="clear" w:color="000000" w:fill="auto"/>
                    <w:autoSpaceDE w:val="0"/>
                    <w:autoSpaceDN w:val="0"/>
                    <w:adjustRightInd w:val="0"/>
                    <w:spacing w:after="0" w:line="360" w:lineRule="auto"/>
                    <w:rPr>
                      <w:rFonts w:ascii="Times New Roman" w:hAnsi="Times New Roman"/>
                      <w:sz w:val="20"/>
                      <w:szCs w:val="24"/>
                    </w:rPr>
                  </w:pPr>
                  <w:r w:rsidRPr="00A3133C">
                    <w:rPr>
                      <w:rFonts w:ascii="Times New Roman" w:hAnsi="Times New Roman"/>
                      <w:sz w:val="20"/>
                      <w:szCs w:val="24"/>
                    </w:rPr>
                    <w:t xml:space="preserve">6. Показатели потребительского потенциала региона </w:t>
                  </w:r>
                </w:p>
              </w:tc>
            </w:tr>
          </w:tbl>
          <w:p w:rsidR="00195162" w:rsidRPr="00A3483E" w:rsidRDefault="00195162" w:rsidP="00A3483E">
            <w:pPr>
              <w:widowControl w:val="0"/>
              <w:shd w:val="clear" w:color="000000" w:fill="auto"/>
              <w:spacing w:after="0" w:line="360" w:lineRule="auto"/>
              <w:rPr>
                <w:rFonts w:ascii="Times New Roman" w:hAnsi="Times New Roman"/>
                <w:sz w:val="20"/>
                <w:szCs w:val="28"/>
              </w:rPr>
            </w:pPr>
          </w:p>
        </w:tc>
      </w:tr>
      <w:tr w:rsidR="00513A7F" w:rsidRPr="00A3483E" w:rsidTr="00A3483E">
        <w:trPr>
          <w:trHeight w:val="23"/>
        </w:trPr>
        <w:tc>
          <w:tcPr>
            <w:tcW w:w="0" w:type="auto"/>
            <w:shd w:val="clear" w:color="auto" w:fill="auto"/>
          </w:tcPr>
          <w:p w:rsidR="00513A7F" w:rsidRPr="00A3483E" w:rsidRDefault="00195162"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1</w:t>
            </w:r>
            <w:r w:rsidR="00F42500" w:rsidRPr="00A3483E">
              <w:rPr>
                <w:rFonts w:ascii="Times New Roman" w:hAnsi="Times New Roman"/>
                <w:sz w:val="20"/>
                <w:szCs w:val="24"/>
              </w:rPr>
              <w:t>5</w:t>
            </w:r>
          </w:p>
        </w:tc>
        <w:tc>
          <w:tcPr>
            <w:tcW w:w="2802" w:type="dxa"/>
            <w:shd w:val="clear" w:color="auto" w:fill="auto"/>
          </w:tcPr>
          <w:p w:rsidR="00513A7F" w:rsidRPr="00A3483E" w:rsidRDefault="00E11B1F"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Объем спроса на промышленную и с/х продукцию</w:t>
            </w:r>
          </w:p>
        </w:tc>
        <w:tc>
          <w:tcPr>
            <w:tcW w:w="4477" w:type="dxa"/>
            <w:shd w:val="clear" w:color="auto" w:fill="auto"/>
          </w:tcPr>
          <w:p w:rsidR="00513A7F" w:rsidRPr="00A3483E" w:rsidRDefault="00E11B1F"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Спрос на промышленную и с/х продукцию на душу населения</w:t>
            </w:r>
          </w:p>
        </w:tc>
      </w:tr>
      <w:tr w:rsidR="00513A7F" w:rsidRPr="00A3483E" w:rsidTr="00A3483E">
        <w:trPr>
          <w:trHeight w:val="23"/>
        </w:trPr>
        <w:tc>
          <w:tcPr>
            <w:tcW w:w="0" w:type="auto"/>
            <w:shd w:val="clear" w:color="auto" w:fill="auto"/>
          </w:tcPr>
          <w:p w:rsidR="00513A7F" w:rsidRPr="00A3483E" w:rsidRDefault="00195162"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1</w:t>
            </w:r>
            <w:r w:rsidR="00F42500" w:rsidRPr="00A3483E">
              <w:rPr>
                <w:rFonts w:ascii="Times New Roman" w:hAnsi="Times New Roman"/>
                <w:sz w:val="20"/>
                <w:szCs w:val="24"/>
              </w:rPr>
              <w:t>6</w:t>
            </w:r>
          </w:p>
        </w:tc>
        <w:tc>
          <w:tcPr>
            <w:tcW w:w="2802" w:type="dxa"/>
            <w:shd w:val="clear" w:color="auto" w:fill="auto"/>
          </w:tcPr>
          <w:p w:rsidR="00513A7F" w:rsidRPr="00A3483E" w:rsidRDefault="00E11B1F"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Структура расходов населения</w:t>
            </w:r>
          </w:p>
        </w:tc>
        <w:tc>
          <w:tcPr>
            <w:tcW w:w="4477" w:type="dxa"/>
            <w:shd w:val="clear" w:color="auto" w:fill="auto"/>
          </w:tcPr>
          <w:p w:rsidR="00513A7F" w:rsidRPr="00A3483E" w:rsidRDefault="00E11B1F"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Расходы на приобретение промышленной и с/х продукции</w:t>
            </w:r>
          </w:p>
        </w:tc>
      </w:tr>
      <w:tr w:rsidR="00195162" w:rsidRPr="00A3483E" w:rsidTr="00A3483E">
        <w:trPr>
          <w:trHeight w:val="23"/>
        </w:trPr>
        <w:tc>
          <w:tcPr>
            <w:tcW w:w="8222" w:type="dxa"/>
            <w:gridSpan w:val="3"/>
            <w:shd w:val="clear" w:color="auto" w:fill="auto"/>
          </w:tcPr>
          <w:tbl>
            <w:tblPr>
              <w:tblpPr w:leftFromText="180" w:rightFromText="180" w:vertAnchor="text" w:horzAnchor="margin" w:tblpY="138"/>
              <w:tblOverlap w:val="never"/>
              <w:tblW w:w="0" w:type="auto"/>
              <w:tblLook w:val="0000" w:firstRow="0" w:lastRow="0" w:firstColumn="0" w:lastColumn="0" w:noHBand="0" w:noVBand="0"/>
            </w:tblPr>
            <w:tblGrid>
              <w:gridCol w:w="8006"/>
            </w:tblGrid>
            <w:tr w:rsidR="00195162" w:rsidRPr="00A3133C" w:rsidTr="00195162">
              <w:trPr>
                <w:trHeight w:val="674"/>
              </w:trPr>
              <w:tc>
                <w:tcPr>
                  <w:tcW w:w="0" w:type="auto"/>
                  <w:tcBorders>
                    <w:top w:val="nil"/>
                    <w:left w:val="nil"/>
                    <w:bottom w:val="nil"/>
                    <w:right w:val="nil"/>
                  </w:tcBorders>
                </w:tcPr>
                <w:p w:rsidR="00195162" w:rsidRPr="00A3133C" w:rsidRDefault="00195162" w:rsidP="00A3133C">
                  <w:pPr>
                    <w:pStyle w:val="aa"/>
                    <w:widowControl w:val="0"/>
                    <w:shd w:val="clear" w:color="000000" w:fill="auto"/>
                    <w:spacing w:line="360" w:lineRule="auto"/>
                    <w:rPr>
                      <w:sz w:val="20"/>
                    </w:rPr>
                  </w:pPr>
                  <w:r w:rsidRPr="00A3133C">
                    <w:rPr>
                      <w:sz w:val="20"/>
                    </w:rPr>
                    <w:t xml:space="preserve">Б. Показатели, определяющие уровень социально-политической, экологической и экономической безопасности для инвесторов </w:t>
                  </w:r>
                </w:p>
              </w:tc>
            </w:tr>
          </w:tbl>
          <w:p w:rsidR="00195162" w:rsidRPr="00A3483E" w:rsidRDefault="00195162" w:rsidP="00A3483E">
            <w:pPr>
              <w:widowControl w:val="0"/>
              <w:shd w:val="clear" w:color="000000" w:fill="auto"/>
              <w:spacing w:after="0" w:line="360" w:lineRule="auto"/>
              <w:rPr>
                <w:rFonts w:ascii="Times New Roman" w:hAnsi="Times New Roman"/>
                <w:sz w:val="20"/>
                <w:szCs w:val="28"/>
              </w:rPr>
            </w:pPr>
          </w:p>
        </w:tc>
      </w:tr>
      <w:tr w:rsidR="00513A7F" w:rsidRPr="00A3483E" w:rsidTr="00A3483E">
        <w:trPr>
          <w:trHeight w:val="23"/>
        </w:trPr>
        <w:tc>
          <w:tcPr>
            <w:tcW w:w="0" w:type="auto"/>
            <w:shd w:val="clear" w:color="auto" w:fill="auto"/>
          </w:tcPr>
          <w:p w:rsidR="00513A7F" w:rsidRPr="00A3483E" w:rsidRDefault="00195162"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1</w:t>
            </w:r>
            <w:r w:rsidR="00F42500" w:rsidRPr="00A3483E">
              <w:rPr>
                <w:rFonts w:ascii="Times New Roman" w:hAnsi="Times New Roman"/>
                <w:sz w:val="20"/>
                <w:szCs w:val="24"/>
              </w:rPr>
              <w:t>7</w:t>
            </w:r>
          </w:p>
        </w:tc>
        <w:tc>
          <w:tcPr>
            <w:tcW w:w="2802" w:type="dxa"/>
            <w:shd w:val="clear" w:color="auto" w:fill="auto"/>
          </w:tcPr>
          <w:p w:rsidR="00513A7F" w:rsidRPr="00A3483E" w:rsidRDefault="00E11B1F"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Уровень политической стабильности в регионе</w:t>
            </w:r>
          </w:p>
        </w:tc>
        <w:tc>
          <w:tcPr>
            <w:tcW w:w="4477" w:type="dxa"/>
            <w:shd w:val="clear" w:color="auto" w:fill="auto"/>
          </w:tcPr>
          <w:p w:rsidR="00513A7F" w:rsidRPr="00A3483E" w:rsidRDefault="00E11B1F"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По всем регионам России, кроме республик Северного Кавказа и Ставропольского края, принимается на уровне 1,0; по вышеназванным регионам Северного Кавказа дифференцированные бальные отрицательные значения (-1,0).</w:t>
            </w:r>
          </w:p>
        </w:tc>
      </w:tr>
      <w:tr w:rsidR="00513A7F" w:rsidRPr="00A3483E" w:rsidTr="00A3483E">
        <w:trPr>
          <w:trHeight w:val="23"/>
        </w:trPr>
        <w:tc>
          <w:tcPr>
            <w:tcW w:w="0" w:type="auto"/>
            <w:shd w:val="clear" w:color="auto" w:fill="auto"/>
          </w:tcPr>
          <w:p w:rsidR="00513A7F" w:rsidRPr="00A3483E" w:rsidRDefault="00195162"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1</w:t>
            </w:r>
            <w:r w:rsidR="00F42500" w:rsidRPr="00A3483E">
              <w:rPr>
                <w:rFonts w:ascii="Times New Roman" w:hAnsi="Times New Roman"/>
                <w:sz w:val="20"/>
                <w:szCs w:val="24"/>
              </w:rPr>
              <w:t>8</w:t>
            </w:r>
          </w:p>
        </w:tc>
        <w:tc>
          <w:tcPr>
            <w:tcW w:w="2802" w:type="dxa"/>
            <w:shd w:val="clear" w:color="auto" w:fill="auto"/>
          </w:tcPr>
          <w:p w:rsidR="00513A7F" w:rsidRPr="00A3483E" w:rsidRDefault="00E11B1F"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Уровень преступности</w:t>
            </w:r>
          </w:p>
        </w:tc>
        <w:tc>
          <w:tcPr>
            <w:tcW w:w="4477" w:type="dxa"/>
            <w:shd w:val="clear" w:color="auto" w:fill="auto"/>
          </w:tcPr>
          <w:p w:rsidR="00513A7F" w:rsidRPr="00A3483E" w:rsidRDefault="00E11B1F"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Число зарегистрированных преступлений на 100 тыс. человек населения.</w:t>
            </w:r>
          </w:p>
        </w:tc>
      </w:tr>
      <w:tr w:rsidR="00513A7F" w:rsidRPr="00A3483E" w:rsidTr="00A3483E">
        <w:trPr>
          <w:trHeight w:val="23"/>
        </w:trPr>
        <w:tc>
          <w:tcPr>
            <w:tcW w:w="0" w:type="auto"/>
            <w:shd w:val="clear" w:color="auto" w:fill="auto"/>
          </w:tcPr>
          <w:p w:rsidR="00513A7F" w:rsidRPr="00A3483E" w:rsidRDefault="00195162"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1</w:t>
            </w:r>
            <w:r w:rsidR="00F42500" w:rsidRPr="00A3483E">
              <w:rPr>
                <w:rFonts w:ascii="Times New Roman" w:hAnsi="Times New Roman"/>
                <w:sz w:val="20"/>
                <w:szCs w:val="24"/>
              </w:rPr>
              <w:t>9</w:t>
            </w:r>
          </w:p>
        </w:tc>
        <w:tc>
          <w:tcPr>
            <w:tcW w:w="2802" w:type="dxa"/>
            <w:shd w:val="clear" w:color="auto" w:fill="auto"/>
          </w:tcPr>
          <w:p w:rsidR="00513A7F" w:rsidRPr="00A3483E" w:rsidRDefault="00E11B1F"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Уровень безработицы</w:t>
            </w:r>
          </w:p>
        </w:tc>
        <w:tc>
          <w:tcPr>
            <w:tcW w:w="4477" w:type="dxa"/>
            <w:shd w:val="clear" w:color="auto" w:fill="auto"/>
          </w:tcPr>
          <w:p w:rsidR="00513A7F" w:rsidRPr="00A3483E" w:rsidRDefault="00E11B1F"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Численность безработных в % к численности экономически активного населения</w:t>
            </w:r>
          </w:p>
        </w:tc>
      </w:tr>
      <w:tr w:rsidR="00513A7F" w:rsidRPr="00A3483E" w:rsidTr="00A3483E">
        <w:trPr>
          <w:trHeight w:val="23"/>
        </w:trPr>
        <w:tc>
          <w:tcPr>
            <w:tcW w:w="0" w:type="auto"/>
            <w:shd w:val="clear" w:color="auto" w:fill="auto"/>
          </w:tcPr>
          <w:p w:rsidR="00513A7F" w:rsidRPr="00A3483E" w:rsidRDefault="00F42500"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20</w:t>
            </w:r>
          </w:p>
        </w:tc>
        <w:tc>
          <w:tcPr>
            <w:tcW w:w="2802" w:type="dxa"/>
            <w:shd w:val="clear" w:color="auto" w:fill="auto"/>
          </w:tcPr>
          <w:p w:rsidR="00513A7F" w:rsidRPr="00A3483E" w:rsidRDefault="00E11B1F"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Доля малоимущего населения</w:t>
            </w:r>
          </w:p>
        </w:tc>
        <w:tc>
          <w:tcPr>
            <w:tcW w:w="4477" w:type="dxa"/>
            <w:shd w:val="clear" w:color="auto" w:fill="auto"/>
          </w:tcPr>
          <w:p w:rsidR="00513A7F" w:rsidRPr="00A3483E" w:rsidRDefault="00E11B1F"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Доля населения с доходами ниже величины прожиточного минимума</w:t>
            </w:r>
          </w:p>
        </w:tc>
      </w:tr>
      <w:tr w:rsidR="00513A7F" w:rsidRPr="00A3483E" w:rsidTr="00A3483E">
        <w:trPr>
          <w:trHeight w:val="23"/>
        </w:trPr>
        <w:tc>
          <w:tcPr>
            <w:tcW w:w="0" w:type="auto"/>
            <w:shd w:val="clear" w:color="auto" w:fill="auto"/>
          </w:tcPr>
          <w:p w:rsidR="00513A7F" w:rsidRPr="00A3483E" w:rsidRDefault="00F42500"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21</w:t>
            </w:r>
          </w:p>
        </w:tc>
        <w:tc>
          <w:tcPr>
            <w:tcW w:w="2802" w:type="dxa"/>
            <w:shd w:val="clear" w:color="auto" w:fill="auto"/>
          </w:tcPr>
          <w:p w:rsidR="00513A7F" w:rsidRPr="00A3483E" w:rsidRDefault="00E11B1F"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Уровень экологического риска</w:t>
            </w:r>
          </w:p>
        </w:tc>
        <w:tc>
          <w:tcPr>
            <w:tcW w:w="4477" w:type="dxa"/>
            <w:shd w:val="clear" w:color="auto" w:fill="auto"/>
          </w:tcPr>
          <w:p w:rsidR="00513A7F" w:rsidRPr="00A3483E" w:rsidRDefault="00E11B1F" w:rsidP="00A3483E">
            <w:pPr>
              <w:widowControl w:val="0"/>
              <w:shd w:val="clear" w:color="000000" w:fill="auto"/>
              <w:spacing w:after="0" w:line="360" w:lineRule="auto"/>
              <w:rPr>
                <w:rFonts w:ascii="Times New Roman" w:hAnsi="Times New Roman"/>
                <w:sz w:val="20"/>
                <w:szCs w:val="24"/>
              </w:rPr>
            </w:pPr>
            <w:r w:rsidRPr="00A3483E">
              <w:rPr>
                <w:rFonts w:ascii="Times New Roman" w:hAnsi="Times New Roman"/>
                <w:sz w:val="20"/>
                <w:szCs w:val="24"/>
              </w:rPr>
              <w:t>Выбросы загрязняющих веществ в атмосферу от стационарных источников</w:t>
            </w:r>
          </w:p>
        </w:tc>
      </w:tr>
    </w:tbl>
    <w:p w:rsidR="00A3133C" w:rsidRDefault="00A3133C">
      <w:pPr>
        <w:rPr>
          <w:rFonts w:ascii="Times New Roman" w:hAnsi="Times New Roman"/>
          <w:sz w:val="28"/>
          <w:szCs w:val="28"/>
        </w:rPr>
      </w:pPr>
    </w:p>
    <w:p w:rsidR="007D0813" w:rsidRPr="00A3133C" w:rsidRDefault="007D0813"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 xml:space="preserve">Все частные показатели инвестиционной привлекательности регионов подразделяются на позитивные (инвестиционный потенциал) и негативные (инвестиционные риски). Для приведения частных показателей к сопоставимому виду используется процедура стандартизации их значений путем отнесения числового значения каждого частного показателя по данному региону к значению этого показателя по России в целом. В результате указанной процедуры числовые значения всех показателей преобразуются в безразмерные относительные величины, характеризующие отношение числового значения каждого частного показателя по региону к числовому значению этого же показателя по России. Значение каждого стандартизованного показателя в среднем по РФ берется равным единице. По пяти негативным показателям, характеризующим уровень инвестиционного риска в регионе, первоначальные стандартизованные числовые выражения являются отрицательными величинами, а в целом по РФ средняя стандартизованная величина по каждому негативному показателю составляет –1 (минус единица). </w:t>
      </w:r>
    </w:p>
    <w:p w:rsidR="00BC17ED" w:rsidRPr="00A3133C" w:rsidRDefault="00BC17ED"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 xml:space="preserve">Формула определения инвестиционной привлекательности каждого региона: </w:t>
      </w:r>
    </w:p>
    <w:p w:rsidR="00A3133C" w:rsidRDefault="00A3133C" w:rsidP="00A3133C">
      <w:pPr>
        <w:widowControl w:val="0"/>
        <w:shd w:val="clear" w:color="000000" w:fill="auto"/>
        <w:spacing w:after="0" w:line="360" w:lineRule="auto"/>
        <w:ind w:firstLine="709"/>
        <w:jc w:val="both"/>
        <w:rPr>
          <w:rFonts w:ascii="Times New Roman" w:hAnsi="Times New Roman"/>
          <w:sz w:val="28"/>
          <w:szCs w:val="28"/>
          <w:vertAlign w:val="subscript"/>
        </w:rPr>
      </w:pPr>
    </w:p>
    <w:p w:rsidR="00BC17ED" w:rsidRPr="00A3133C" w:rsidRDefault="00BC17ED" w:rsidP="00A3133C">
      <w:pPr>
        <w:widowControl w:val="0"/>
        <w:shd w:val="clear" w:color="000000" w:fill="auto"/>
        <w:spacing w:after="0" w:line="360" w:lineRule="auto"/>
        <w:ind w:firstLine="709"/>
        <w:jc w:val="both"/>
        <w:rPr>
          <w:rFonts w:ascii="Times New Roman" w:hAnsi="Times New Roman"/>
          <w:sz w:val="28"/>
          <w:szCs w:val="28"/>
          <w:lang w:val="en-US"/>
        </w:rPr>
      </w:pPr>
      <w:r w:rsidRPr="00A3133C">
        <w:rPr>
          <w:rFonts w:ascii="Times New Roman" w:hAnsi="Times New Roman"/>
          <w:sz w:val="28"/>
          <w:szCs w:val="28"/>
          <w:vertAlign w:val="subscript"/>
        </w:rPr>
        <w:t>с</w:t>
      </w:r>
      <w:r w:rsidRPr="00A3133C">
        <w:rPr>
          <w:rFonts w:ascii="Times New Roman" w:hAnsi="Times New Roman"/>
          <w:sz w:val="28"/>
          <w:szCs w:val="28"/>
          <w:vertAlign w:val="subscript"/>
          <w:lang w:val="en-US"/>
        </w:rPr>
        <w:t xml:space="preserve"> </w:t>
      </w:r>
    </w:p>
    <w:p w:rsidR="00A3133C" w:rsidRDefault="00BC17ED" w:rsidP="00A3133C">
      <w:pPr>
        <w:widowControl w:val="0"/>
        <w:shd w:val="clear" w:color="000000" w:fill="auto"/>
        <w:spacing w:after="0" w:line="360" w:lineRule="auto"/>
        <w:ind w:firstLine="709"/>
        <w:jc w:val="both"/>
        <w:rPr>
          <w:rFonts w:ascii="Times New Roman" w:hAnsi="Times New Roman"/>
          <w:sz w:val="28"/>
          <w:szCs w:val="28"/>
          <w:lang w:val="en-US"/>
        </w:rPr>
      </w:pPr>
      <w:r w:rsidRPr="00A3133C">
        <w:rPr>
          <w:rFonts w:ascii="Times New Roman" w:hAnsi="Times New Roman"/>
          <w:sz w:val="28"/>
          <w:szCs w:val="28"/>
          <w:lang w:val="en-US"/>
        </w:rPr>
        <w:t>M</w:t>
      </w:r>
      <w:r w:rsidRPr="00A3133C">
        <w:rPr>
          <w:rFonts w:ascii="Times New Roman" w:hAnsi="Times New Roman"/>
          <w:sz w:val="28"/>
          <w:szCs w:val="28"/>
          <w:vertAlign w:val="subscript"/>
          <w:lang w:val="en-US"/>
        </w:rPr>
        <w:t xml:space="preserve">i </w:t>
      </w:r>
      <w:r w:rsidRPr="00A3133C">
        <w:rPr>
          <w:rFonts w:ascii="Times New Roman" w:hAnsi="Times New Roman"/>
          <w:sz w:val="28"/>
          <w:szCs w:val="28"/>
          <w:lang w:val="en-US"/>
        </w:rPr>
        <w:t>= (</w:t>
      </w:r>
      <w:r w:rsidRPr="00A3133C">
        <w:rPr>
          <w:rFonts w:ascii="Times New Roman" w:hAnsi="Times New Roman"/>
          <w:sz w:val="28"/>
          <w:szCs w:val="28"/>
        </w:rPr>
        <w:t>Σ</w:t>
      </w:r>
      <w:r w:rsidRPr="00A3133C">
        <w:rPr>
          <w:rFonts w:ascii="Times New Roman" w:hAnsi="Times New Roman"/>
          <w:sz w:val="28"/>
          <w:szCs w:val="28"/>
          <w:lang w:val="en-US"/>
        </w:rPr>
        <w:t>p</w:t>
      </w:r>
      <w:r w:rsidRPr="00A3133C">
        <w:rPr>
          <w:rFonts w:ascii="Times New Roman" w:hAnsi="Times New Roman"/>
          <w:sz w:val="28"/>
          <w:szCs w:val="28"/>
          <w:vertAlign w:val="subscript"/>
          <w:lang w:val="en-US"/>
        </w:rPr>
        <w:t>si</w:t>
      </w:r>
      <w:r w:rsidRPr="00A3133C">
        <w:rPr>
          <w:rFonts w:ascii="Times New Roman" w:hAnsi="Times New Roman"/>
          <w:sz w:val="28"/>
          <w:szCs w:val="28"/>
          <w:lang w:val="en-US"/>
        </w:rPr>
        <w:t>/p</w:t>
      </w:r>
      <w:r w:rsidRPr="00A3133C">
        <w:rPr>
          <w:rFonts w:ascii="Times New Roman" w:hAnsi="Times New Roman"/>
          <w:sz w:val="28"/>
          <w:szCs w:val="28"/>
          <w:vertAlign w:val="subscript"/>
          <w:lang w:val="en-US"/>
        </w:rPr>
        <w:t>s</w:t>
      </w:r>
      <w:r w:rsidRPr="00A3133C">
        <w:rPr>
          <w:rFonts w:ascii="Times New Roman" w:hAnsi="Times New Roman"/>
          <w:sz w:val="28"/>
          <w:szCs w:val="28"/>
          <w:lang w:val="en-US"/>
        </w:rPr>
        <w:t xml:space="preserve">)/c , </w:t>
      </w:r>
    </w:p>
    <w:p w:rsidR="00BC17ED" w:rsidRPr="00A3133C" w:rsidRDefault="00BC17ED" w:rsidP="00A3133C">
      <w:pPr>
        <w:widowControl w:val="0"/>
        <w:shd w:val="clear" w:color="000000" w:fill="auto"/>
        <w:spacing w:after="0" w:line="360" w:lineRule="auto"/>
        <w:ind w:firstLine="709"/>
        <w:jc w:val="both"/>
        <w:rPr>
          <w:rFonts w:ascii="Times New Roman" w:hAnsi="Times New Roman"/>
          <w:sz w:val="28"/>
          <w:szCs w:val="28"/>
          <w:lang w:val="en-US"/>
        </w:rPr>
      </w:pPr>
      <w:r w:rsidRPr="00A3133C">
        <w:rPr>
          <w:rFonts w:ascii="Times New Roman" w:hAnsi="Times New Roman"/>
          <w:sz w:val="28"/>
          <w:szCs w:val="28"/>
          <w:vertAlign w:val="superscript"/>
          <w:lang w:val="en-US"/>
        </w:rPr>
        <w:t xml:space="preserve">s=1 </w:t>
      </w:r>
    </w:p>
    <w:p w:rsidR="00A3133C" w:rsidRDefault="00A3133C" w:rsidP="00A3133C">
      <w:pPr>
        <w:widowControl w:val="0"/>
        <w:shd w:val="clear" w:color="000000" w:fill="auto"/>
        <w:spacing w:after="0" w:line="360" w:lineRule="auto"/>
        <w:ind w:firstLine="709"/>
        <w:jc w:val="both"/>
        <w:rPr>
          <w:rFonts w:ascii="Times New Roman" w:hAnsi="Times New Roman"/>
          <w:sz w:val="28"/>
          <w:szCs w:val="28"/>
        </w:rPr>
      </w:pPr>
    </w:p>
    <w:p w:rsidR="00BC17ED" w:rsidRPr="00A3133C" w:rsidRDefault="00BC17ED"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где M</w:t>
      </w:r>
      <w:r w:rsidRPr="00A3133C">
        <w:rPr>
          <w:rFonts w:ascii="Times New Roman" w:hAnsi="Times New Roman"/>
          <w:sz w:val="28"/>
          <w:szCs w:val="28"/>
          <w:vertAlign w:val="subscript"/>
        </w:rPr>
        <w:t xml:space="preserve">i </w:t>
      </w:r>
      <w:r w:rsidRPr="00A3133C">
        <w:rPr>
          <w:rFonts w:ascii="Times New Roman" w:hAnsi="Times New Roman"/>
          <w:sz w:val="28"/>
          <w:szCs w:val="28"/>
        </w:rPr>
        <w:t xml:space="preserve">– интегральный уровень инвестиционной привлекательности i-го региона, сопоставимый со среднероссийским уровнем, принятым за единицу; </w:t>
      </w:r>
    </w:p>
    <w:p w:rsidR="00BC17ED" w:rsidRPr="00A3133C" w:rsidRDefault="00BC17ED"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 xml:space="preserve">i = 1, …, r – регионы; </w:t>
      </w:r>
    </w:p>
    <w:p w:rsidR="00BC17ED" w:rsidRPr="00A3133C" w:rsidRDefault="00BC17ED"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 xml:space="preserve">r - количество регионов; </w:t>
      </w:r>
    </w:p>
    <w:p w:rsidR="00BC17ED" w:rsidRPr="00A3133C" w:rsidRDefault="00BC17ED"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 xml:space="preserve">s = 1, …, с – сводимые частные показатели, </w:t>
      </w:r>
    </w:p>
    <w:p w:rsidR="00BC17ED" w:rsidRPr="00A3133C" w:rsidRDefault="00BC17ED"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p</w:t>
      </w:r>
      <w:r w:rsidRPr="00A3133C">
        <w:rPr>
          <w:rFonts w:ascii="Times New Roman" w:hAnsi="Times New Roman"/>
          <w:sz w:val="28"/>
          <w:szCs w:val="28"/>
          <w:vertAlign w:val="subscript"/>
        </w:rPr>
        <w:t xml:space="preserve">si </w:t>
      </w:r>
      <w:r w:rsidRPr="00A3133C">
        <w:rPr>
          <w:rFonts w:ascii="Times New Roman" w:hAnsi="Times New Roman"/>
          <w:sz w:val="28"/>
          <w:szCs w:val="28"/>
        </w:rPr>
        <w:t xml:space="preserve">- числовое значение s-го показателя по i–му региону; </w:t>
      </w:r>
    </w:p>
    <w:p w:rsidR="00BC17ED" w:rsidRPr="00A3133C" w:rsidRDefault="00BC17ED"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p</w:t>
      </w:r>
      <w:r w:rsidRPr="00A3133C">
        <w:rPr>
          <w:rFonts w:ascii="Times New Roman" w:hAnsi="Times New Roman"/>
          <w:sz w:val="28"/>
          <w:szCs w:val="28"/>
          <w:vertAlign w:val="subscript"/>
        </w:rPr>
        <w:t xml:space="preserve">s </w:t>
      </w:r>
      <w:r w:rsidRPr="00A3133C">
        <w:rPr>
          <w:rFonts w:ascii="Times New Roman" w:hAnsi="Times New Roman"/>
          <w:sz w:val="28"/>
          <w:szCs w:val="28"/>
        </w:rPr>
        <w:t xml:space="preserve">- числовое значение s-го показателя в среднем по РФ; </w:t>
      </w:r>
    </w:p>
    <w:p w:rsidR="002F445F" w:rsidRDefault="00BC17ED" w:rsidP="002F445F">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p</w:t>
      </w:r>
      <w:r w:rsidRPr="00A3133C">
        <w:rPr>
          <w:rFonts w:ascii="Times New Roman" w:hAnsi="Times New Roman"/>
          <w:sz w:val="28"/>
          <w:szCs w:val="28"/>
          <w:vertAlign w:val="subscript"/>
        </w:rPr>
        <w:t>si</w:t>
      </w:r>
      <w:r w:rsidRPr="00A3133C">
        <w:rPr>
          <w:rFonts w:ascii="Times New Roman" w:hAnsi="Times New Roman"/>
          <w:sz w:val="28"/>
          <w:szCs w:val="28"/>
        </w:rPr>
        <w:t>/p</w:t>
      </w:r>
      <w:r w:rsidRPr="00A3133C">
        <w:rPr>
          <w:rFonts w:ascii="Times New Roman" w:hAnsi="Times New Roman"/>
          <w:sz w:val="28"/>
          <w:szCs w:val="28"/>
          <w:vertAlign w:val="subscript"/>
        </w:rPr>
        <w:t xml:space="preserve">s </w:t>
      </w:r>
      <w:r w:rsidRPr="00A3133C">
        <w:rPr>
          <w:rFonts w:ascii="Times New Roman" w:hAnsi="Times New Roman"/>
          <w:sz w:val="28"/>
          <w:szCs w:val="28"/>
        </w:rPr>
        <w:t xml:space="preserve">- стандартизованное (нормализованное) числовое значение s-го показателя по i-му региону. </w:t>
      </w:r>
      <w:r w:rsidR="002F445F">
        <w:rPr>
          <w:rFonts w:ascii="Times New Roman" w:hAnsi="Times New Roman"/>
          <w:sz w:val="28"/>
          <w:szCs w:val="28"/>
        </w:rPr>
        <w:br w:type="page"/>
      </w:r>
    </w:p>
    <w:p w:rsidR="00C348D9" w:rsidRPr="00A3133C" w:rsidRDefault="00A3133C" w:rsidP="00A3133C">
      <w:pPr>
        <w:widowControl w:val="0"/>
        <w:shd w:val="clear" w:color="000000" w:fill="auto"/>
        <w:spacing w:after="0" w:line="360" w:lineRule="auto"/>
        <w:ind w:firstLine="709"/>
        <w:jc w:val="both"/>
        <w:rPr>
          <w:rFonts w:ascii="Times New Roman" w:hAnsi="Times New Roman"/>
          <w:b/>
          <w:sz w:val="28"/>
          <w:szCs w:val="28"/>
        </w:rPr>
      </w:pPr>
      <w:r w:rsidRPr="00A3133C">
        <w:rPr>
          <w:rFonts w:ascii="Times New Roman" w:hAnsi="Times New Roman"/>
          <w:b/>
          <w:sz w:val="28"/>
          <w:szCs w:val="28"/>
        </w:rPr>
        <w:t>4. Задача</w:t>
      </w:r>
    </w:p>
    <w:p w:rsidR="00A3133C" w:rsidRPr="00A3133C" w:rsidRDefault="00A3133C" w:rsidP="00A3133C">
      <w:pPr>
        <w:widowControl w:val="0"/>
        <w:shd w:val="clear" w:color="000000" w:fill="auto"/>
        <w:spacing w:after="0" w:line="360" w:lineRule="auto"/>
        <w:ind w:firstLine="709"/>
        <w:jc w:val="both"/>
        <w:rPr>
          <w:rFonts w:ascii="Times New Roman" w:hAnsi="Times New Roman"/>
          <w:b/>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1255"/>
        <w:gridCol w:w="859"/>
        <w:gridCol w:w="859"/>
        <w:gridCol w:w="859"/>
      </w:tblGrid>
      <w:tr w:rsidR="00011AB3" w:rsidRPr="00A3483E" w:rsidTr="00A3483E">
        <w:trPr>
          <w:trHeight w:val="23"/>
        </w:trPr>
        <w:tc>
          <w:tcPr>
            <w:tcW w:w="0" w:type="auto"/>
            <w:vMerge w:val="restart"/>
            <w:shd w:val="clear" w:color="auto" w:fill="auto"/>
          </w:tcPr>
          <w:p w:rsidR="00011AB3" w:rsidRPr="00A3483E" w:rsidRDefault="00011AB3" w:rsidP="00A3483E">
            <w:pPr>
              <w:widowControl w:val="0"/>
              <w:shd w:val="clear" w:color="000000" w:fill="auto"/>
              <w:spacing w:after="0" w:line="360" w:lineRule="auto"/>
              <w:rPr>
                <w:rFonts w:ascii="Times New Roman" w:hAnsi="Times New Roman"/>
                <w:sz w:val="20"/>
                <w:szCs w:val="28"/>
              </w:rPr>
            </w:pPr>
            <w:r w:rsidRPr="00A3483E">
              <w:rPr>
                <w:rFonts w:ascii="Times New Roman" w:hAnsi="Times New Roman"/>
                <w:sz w:val="20"/>
                <w:szCs w:val="28"/>
              </w:rPr>
              <w:t>Варианты</w:t>
            </w:r>
          </w:p>
        </w:tc>
        <w:tc>
          <w:tcPr>
            <w:tcW w:w="0" w:type="auto"/>
            <w:vMerge w:val="restart"/>
            <w:shd w:val="clear" w:color="auto" w:fill="auto"/>
          </w:tcPr>
          <w:p w:rsidR="00011AB3" w:rsidRPr="00A3483E" w:rsidRDefault="00011AB3" w:rsidP="00A3483E">
            <w:pPr>
              <w:widowControl w:val="0"/>
              <w:shd w:val="clear" w:color="000000" w:fill="auto"/>
              <w:spacing w:after="0" w:line="360" w:lineRule="auto"/>
              <w:rPr>
                <w:rFonts w:ascii="Times New Roman" w:hAnsi="Times New Roman"/>
                <w:sz w:val="20"/>
                <w:szCs w:val="28"/>
              </w:rPr>
            </w:pPr>
            <w:r w:rsidRPr="00A3483E">
              <w:rPr>
                <w:rFonts w:ascii="Times New Roman" w:hAnsi="Times New Roman"/>
                <w:sz w:val="20"/>
                <w:szCs w:val="28"/>
              </w:rPr>
              <w:t>Инвестиции</w:t>
            </w:r>
          </w:p>
        </w:tc>
        <w:tc>
          <w:tcPr>
            <w:tcW w:w="0" w:type="auto"/>
            <w:gridSpan w:val="3"/>
            <w:shd w:val="clear" w:color="auto" w:fill="auto"/>
          </w:tcPr>
          <w:p w:rsidR="00011AB3" w:rsidRPr="00A3483E" w:rsidRDefault="00011AB3" w:rsidP="00A3483E">
            <w:pPr>
              <w:widowControl w:val="0"/>
              <w:shd w:val="clear" w:color="000000" w:fill="auto"/>
              <w:spacing w:after="0" w:line="360" w:lineRule="auto"/>
              <w:rPr>
                <w:rFonts w:ascii="Times New Roman" w:hAnsi="Times New Roman"/>
                <w:sz w:val="20"/>
                <w:szCs w:val="28"/>
              </w:rPr>
            </w:pPr>
            <w:r w:rsidRPr="00A3483E">
              <w:rPr>
                <w:rFonts w:ascii="Times New Roman" w:hAnsi="Times New Roman"/>
                <w:sz w:val="20"/>
                <w:szCs w:val="28"/>
              </w:rPr>
              <w:t>Денежные потоки (доходы)</w:t>
            </w:r>
          </w:p>
        </w:tc>
      </w:tr>
      <w:tr w:rsidR="00011AB3" w:rsidRPr="00A3483E" w:rsidTr="00A3483E">
        <w:trPr>
          <w:trHeight w:val="23"/>
        </w:trPr>
        <w:tc>
          <w:tcPr>
            <w:tcW w:w="0" w:type="auto"/>
            <w:vMerge/>
            <w:shd w:val="clear" w:color="auto" w:fill="auto"/>
          </w:tcPr>
          <w:p w:rsidR="00011AB3" w:rsidRPr="00A3483E" w:rsidRDefault="00011AB3" w:rsidP="00A3483E">
            <w:pPr>
              <w:widowControl w:val="0"/>
              <w:shd w:val="clear" w:color="000000" w:fill="auto"/>
              <w:spacing w:after="0" w:line="360" w:lineRule="auto"/>
              <w:rPr>
                <w:rFonts w:ascii="Times New Roman" w:hAnsi="Times New Roman"/>
                <w:sz w:val="20"/>
                <w:szCs w:val="28"/>
              </w:rPr>
            </w:pPr>
          </w:p>
        </w:tc>
        <w:tc>
          <w:tcPr>
            <w:tcW w:w="0" w:type="auto"/>
            <w:vMerge/>
            <w:shd w:val="clear" w:color="auto" w:fill="auto"/>
          </w:tcPr>
          <w:p w:rsidR="00011AB3" w:rsidRPr="00A3483E" w:rsidRDefault="00011AB3" w:rsidP="00A3483E">
            <w:pPr>
              <w:widowControl w:val="0"/>
              <w:shd w:val="clear" w:color="000000" w:fill="auto"/>
              <w:spacing w:after="0" w:line="360" w:lineRule="auto"/>
              <w:rPr>
                <w:rFonts w:ascii="Times New Roman" w:hAnsi="Times New Roman"/>
                <w:sz w:val="20"/>
                <w:szCs w:val="28"/>
              </w:rPr>
            </w:pPr>
          </w:p>
        </w:tc>
        <w:tc>
          <w:tcPr>
            <w:tcW w:w="0" w:type="auto"/>
            <w:shd w:val="clear" w:color="auto" w:fill="auto"/>
          </w:tcPr>
          <w:p w:rsidR="00011AB3" w:rsidRPr="00A3483E" w:rsidRDefault="00011AB3" w:rsidP="00A3483E">
            <w:pPr>
              <w:widowControl w:val="0"/>
              <w:shd w:val="clear" w:color="000000" w:fill="auto"/>
              <w:spacing w:after="0" w:line="360" w:lineRule="auto"/>
              <w:rPr>
                <w:rFonts w:ascii="Times New Roman" w:hAnsi="Times New Roman"/>
                <w:sz w:val="20"/>
                <w:szCs w:val="28"/>
              </w:rPr>
            </w:pPr>
            <w:r w:rsidRPr="00A3483E">
              <w:rPr>
                <w:rFonts w:ascii="Times New Roman" w:hAnsi="Times New Roman"/>
                <w:sz w:val="20"/>
                <w:szCs w:val="28"/>
              </w:rPr>
              <w:t>1 год</w:t>
            </w:r>
          </w:p>
        </w:tc>
        <w:tc>
          <w:tcPr>
            <w:tcW w:w="0" w:type="auto"/>
            <w:shd w:val="clear" w:color="auto" w:fill="auto"/>
          </w:tcPr>
          <w:p w:rsidR="00011AB3" w:rsidRPr="00A3483E" w:rsidRDefault="00011AB3" w:rsidP="00A3483E">
            <w:pPr>
              <w:widowControl w:val="0"/>
              <w:shd w:val="clear" w:color="000000" w:fill="auto"/>
              <w:spacing w:after="0" w:line="360" w:lineRule="auto"/>
              <w:rPr>
                <w:rFonts w:ascii="Times New Roman" w:hAnsi="Times New Roman"/>
                <w:sz w:val="20"/>
                <w:szCs w:val="28"/>
              </w:rPr>
            </w:pPr>
            <w:r w:rsidRPr="00A3483E">
              <w:rPr>
                <w:rFonts w:ascii="Times New Roman" w:hAnsi="Times New Roman"/>
                <w:sz w:val="20"/>
                <w:szCs w:val="28"/>
              </w:rPr>
              <w:t>2 год</w:t>
            </w:r>
          </w:p>
        </w:tc>
        <w:tc>
          <w:tcPr>
            <w:tcW w:w="0" w:type="auto"/>
            <w:shd w:val="clear" w:color="auto" w:fill="auto"/>
          </w:tcPr>
          <w:p w:rsidR="00011AB3" w:rsidRPr="00A3483E" w:rsidRDefault="00011AB3" w:rsidP="00A3483E">
            <w:pPr>
              <w:widowControl w:val="0"/>
              <w:shd w:val="clear" w:color="000000" w:fill="auto"/>
              <w:spacing w:after="0" w:line="360" w:lineRule="auto"/>
              <w:rPr>
                <w:rFonts w:ascii="Times New Roman" w:hAnsi="Times New Roman"/>
                <w:sz w:val="20"/>
                <w:szCs w:val="28"/>
              </w:rPr>
            </w:pPr>
            <w:r w:rsidRPr="00A3483E">
              <w:rPr>
                <w:rFonts w:ascii="Times New Roman" w:hAnsi="Times New Roman"/>
                <w:sz w:val="20"/>
                <w:szCs w:val="28"/>
              </w:rPr>
              <w:t>3 год</w:t>
            </w:r>
          </w:p>
        </w:tc>
      </w:tr>
      <w:tr w:rsidR="00011AB3" w:rsidRPr="00A3483E" w:rsidTr="00A3483E">
        <w:trPr>
          <w:trHeight w:val="23"/>
        </w:trPr>
        <w:tc>
          <w:tcPr>
            <w:tcW w:w="0" w:type="auto"/>
            <w:shd w:val="clear" w:color="auto" w:fill="auto"/>
          </w:tcPr>
          <w:p w:rsidR="00011AB3" w:rsidRPr="00A3483E" w:rsidRDefault="00011AB3" w:rsidP="00A3483E">
            <w:pPr>
              <w:widowControl w:val="0"/>
              <w:shd w:val="clear" w:color="000000" w:fill="auto"/>
              <w:spacing w:after="0" w:line="360" w:lineRule="auto"/>
              <w:rPr>
                <w:rFonts w:ascii="Times New Roman" w:hAnsi="Times New Roman"/>
                <w:sz w:val="20"/>
                <w:szCs w:val="28"/>
              </w:rPr>
            </w:pPr>
            <w:r w:rsidRPr="00A3483E">
              <w:rPr>
                <w:rFonts w:ascii="Times New Roman" w:hAnsi="Times New Roman"/>
                <w:sz w:val="20"/>
                <w:szCs w:val="28"/>
              </w:rPr>
              <w:t>А</w:t>
            </w:r>
          </w:p>
        </w:tc>
        <w:tc>
          <w:tcPr>
            <w:tcW w:w="0" w:type="auto"/>
            <w:shd w:val="clear" w:color="auto" w:fill="auto"/>
          </w:tcPr>
          <w:p w:rsidR="00011AB3" w:rsidRPr="00A3483E" w:rsidRDefault="00011AB3" w:rsidP="00A3483E">
            <w:pPr>
              <w:widowControl w:val="0"/>
              <w:shd w:val="clear" w:color="000000" w:fill="auto"/>
              <w:spacing w:after="0" w:line="360" w:lineRule="auto"/>
              <w:rPr>
                <w:rFonts w:ascii="Times New Roman" w:hAnsi="Times New Roman"/>
                <w:sz w:val="20"/>
                <w:szCs w:val="28"/>
              </w:rPr>
            </w:pPr>
            <w:r w:rsidRPr="00A3483E">
              <w:rPr>
                <w:rFonts w:ascii="Times New Roman" w:hAnsi="Times New Roman"/>
                <w:sz w:val="20"/>
                <w:szCs w:val="28"/>
              </w:rPr>
              <w:t>200</w:t>
            </w:r>
          </w:p>
        </w:tc>
        <w:tc>
          <w:tcPr>
            <w:tcW w:w="0" w:type="auto"/>
            <w:shd w:val="clear" w:color="auto" w:fill="auto"/>
          </w:tcPr>
          <w:p w:rsidR="00011AB3" w:rsidRPr="00A3483E" w:rsidRDefault="00011AB3" w:rsidP="00A3483E">
            <w:pPr>
              <w:widowControl w:val="0"/>
              <w:shd w:val="clear" w:color="000000" w:fill="auto"/>
              <w:spacing w:after="0" w:line="360" w:lineRule="auto"/>
              <w:rPr>
                <w:rFonts w:ascii="Times New Roman" w:hAnsi="Times New Roman"/>
                <w:sz w:val="20"/>
                <w:szCs w:val="28"/>
              </w:rPr>
            </w:pPr>
            <w:r w:rsidRPr="00A3483E">
              <w:rPr>
                <w:rFonts w:ascii="Times New Roman" w:hAnsi="Times New Roman"/>
                <w:sz w:val="20"/>
                <w:szCs w:val="28"/>
              </w:rPr>
              <w:t>140</w:t>
            </w:r>
          </w:p>
        </w:tc>
        <w:tc>
          <w:tcPr>
            <w:tcW w:w="0" w:type="auto"/>
            <w:shd w:val="clear" w:color="auto" w:fill="auto"/>
          </w:tcPr>
          <w:p w:rsidR="00011AB3" w:rsidRPr="00A3483E" w:rsidRDefault="00011AB3" w:rsidP="00A3483E">
            <w:pPr>
              <w:widowControl w:val="0"/>
              <w:shd w:val="clear" w:color="000000" w:fill="auto"/>
              <w:spacing w:after="0" w:line="360" w:lineRule="auto"/>
              <w:rPr>
                <w:rFonts w:ascii="Times New Roman" w:hAnsi="Times New Roman"/>
                <w:sz w:val="20"/>
                <w:szCs w:val="28"/>
              </w:rPr>
            </w:pPr>
            <w:r w:rsidRPr="00A3483E">
              <w:rPr>
                <w:rFonts w:ascii="Times New Roman" w:hAnsi="Times New Roman"/>
                <w:sz w:val="20"/>
                <w:szCs w:val="28"/>
              </w:rPr>
              <w:t>50</w:t>
            </w:r>
          </w:p>
        </w:tc>
        <w:tc>
          <w:tcPr>
            <w:tcW w:w="0" w:type="auto"/>
            <w:shd w:val="clear" w:color="auto" w:fill="auto"/>
          </w:tcPr>
          <w:p w:rsidR="00011AB3" w:rsidRPr="00A3483E" w:rsidRDefault="00011AB3" w:rsidP="00A3483E">
            <w:pPr>
              <w:widowControl w:val="0"/>
              <w:shd w:val="clear" w:color="000000" w:fill="auto"/>
              <w:spacing w:after="0" w:line="360" w:lineRule="auto"/>
              <w:rPr>
                <w:rFonts w:ascii="Times New Roman" w:hAnsi="Times New Roman"/>
                <w:sz w:val="20"/>
                <w:szCs w:val="28"/>
              </w:rPr>
            </w:pPr>
            <w:r w:rsidRPr="00A3483E">
              <w:rPr>
                <w:rFonts w:ascii="Times New Roman" w:hAnsi="Times New Roman"/>
                <w:sz w:val="20"/>
                <w:szCs w:val="28"/>
              </w:rPr>
              <w:t>50</w:t>
            </w:r>
          </w:p>
        </w:tc>
      </w:tr>
      <w:tr w:rsidR="00011AB3" w:rsidRPr="00A3483E" w:rsidTr="00A3483E">
        <w:trPr>
          <w:trHeight w:val="23"/>
        </w:trPr>
        <w:tc>
          <w:tcPr>
            <w:tcW w:w="0" w:type="auto"/>
            <w:shd w:val="clear" w:color="auto" w:fill="auto"/>
          </w:tcPr>
          <w:p w:rsidR="00011AB3" w:rsidRPr="00A3483E" w:rsidRDefault="00011AB3" w:rsidP="00A3483E">
            <w:pPr>
              <w:widowControl w:val="0"/>
              <w:shd w:val="clear" w:color="000000" w:fill="auto"/>
              <w:spacing w:after="0" w:line="360" w:lineRule="auto"/>
              <w:rPr>
                <w:rFonts w:ascii="Times New Roman" w:hAnsi="Times New Roman"/>
                <w:sz w:val="20"/>
                <w:szCs w:val="28"/>
              </w:rPr>
            </w:pPr>
            <w:r w:rsidRPr="00A3483E">
              <w:rPr>
                <w:rFonts w:ascii="Times New Roman" w:hAnsi="Times New Roman"/>
                <w:sz w:val="20"/>
                <w:szCs w:val="28"/>
              </w:rPr>
              <w:t>Б</w:t>
            </w:r>
          </w:p>
        </w:tc>
        <w:tc>
          <w:tcPr>
            <w:tcW w:w="0" w:type="auto"/>
            <w:shd w:val="clear" w:color="auto" w:fill="auto"/>
          </w:tcPr>
          <w:p w:rsidR="00011AB3" w:rsidRPr="00A3483E" w:rsidRDefault="00011AB3" w:rsidP="00A3483E">
            <w:pPr>
              <w:widowControl w:val="0"/>
              <w:shd w:val="clear" w:color="000000" w:fill="auto"/>
              <w:spacing w:after="0" w:line="360" w:lineRule="auto"/>
              <w:rPr>
                <w:rFonts w:ascii="Times New Roman" w:hAnsi="Times New Roman"/>
                <w:sz w:val="20"/>
                <w:szCs w:val="28"/>
              </w:rPr>
            </w:pPr>
            <w:r w:rsidRPr="00A3483E">
              <w:rPr>
                <w:rFonts w:ascii="Times New Roman" w:hAnsi="Times New Roman"/>
                <w:sz w:val="20"/>
                <w:szCs w:val="28"/>
              </w:rPr>
              <w:t>200</w:t>
            </w:r>
          </w:p>
        </w:tc>
        <w:tc>
          <w:tcPr>
            <w:tcW w:w="0" w:type="auto"/>
            <w:shd w:val="clear" w:color="auto" w:fill="auto"/>
          </w:tcPr>
          <w:p w:rsidR="00011AB3" w:rsidRPr="00A3483E" w:rsidRDefault="00011AB3" w:rsidP="00A3483E">
            <w:pPr>
              <w:widowControl w:val="0"/>
              <w:shd w:val="clear" w:color="000000" w:fill="auto"/>
              <w:spacing w:after="0" w:line="360" w:lineRule="auto"/>
              <w:rPr>
                <w:rFonts w:ascii="Times New Roman" w:hAnsi="Times New Roman"/>
                <w:sz w:val="20"/>
                <w:szCs w:val="28"/>
              </w:rPr>
            </w:pPr>
            <w:r w:rsidRPr="00A3483E">
              <w:rPr>
                <w:rFonts w:ascii="Times New Roman" w:hAnsi="Times New Roman"/>
                <w:sz w:val="20"/>
                <w:szCs w:val="28"/>
              </w:rPr>
              <w:t>60</w:t>
            </w:r>
          </w:p>
        </w:tc>
        <w:tc>
          <w:tcPr>
            <w:tcW w:w="0" w:type="auto"/>
            <w:shd w:val="clear" w:color="auto" w:fill="auto"/>
          </w:tcPr>
          <w:p w:rsidR="00011AB3" w:rsidRPr="00A3483E" w:rsidRDefault="00011AB3" w:rsidP="00A3483E">
            <w:pPr>
              <w:widowControl w:val="0"/>
              <w:shd w:val="clear" w:color="000000" w:fill="auto"/>
              <w:spacing w:after="0" w:line="360" w:lineRule="auto"/>
              <w:rPr>
                <w:rFonts w:ascii="Times New Roman" w:hAnsi="Times New Roman"/>
                <w:sz w:val="20"/>
                <w:szCs w:val="28"/>
              </w:rPr>
            </w:pPr>
            <w:r w:rsidRPr="00A3483E">
              <w:rPr>
                <w:rFonts w:ascii="Times New Roman" w:hAnsi="Times New Roman"/>
                <w:sz w:val="20"/>
                <w:szCs w:val="28"/>
              </w:rPr>
              <w:t>80</w:t>
            </w:r>
          </w:p>
        </w:tc>
        <w:tc>
          <w:tcPr>
            <w:tcW w:w="0" w:type="auto"/>
            <w:shd w:val="clear" w:color="auto" w:fill="auto"/>
          </w:tcPr>
          <w:p w:rsidR="00011AB3" w:rsidRPr="00A3483E" w:rsidRDefault="00011AB3" w:rsidP="00A3483E">
            <w:pPr>
              <w:widowControl w:val="0"/>
              <w:shd w:val="clear" w:color="000000" w:fill="auto"/>
              <w:spacing w:after="0" w:line="360" w:lineRule="auto"/>
              <w:rPr>
                <w:rFonts w:ascii="Times New Roman" w:hAnsi="Times New Roman"/>
                <w:sz w:val="20"/>
                <w:szCs w:val="28"/>
              </w:rPr>
            </w:pPr>
            <w:r w:rsidRPr="00A3483E">
              <w:rPr>
                <w:rFonts w:ascii="Times New Roman" w:hAnsi="Times New Roman"/>
                <w:sz w:val="20"/>
                <w:szCs w:val="28"/>
              </w:rPr>
              <w:t>120</w:t>
            </w:r>
          </w:p>
        </w:tc>
      </w:tr>
      <w:tr w:rsidR="00011AB3" w:rsidRPr="00A3483E" w:rsidTr="00A3483E">
        <w:trPr>
          <w:trHeight w:val="23"/>
        </w:trPr>
        <w:tc>
          <w:tcPr>
            <w:tcW w:w="0" w:type="auto"/>
            <w:shd w:val="clear" w:color="auto" w:fill="auto"/>
          </w:tcPr>
          <w:p w:rsidR="00011AB3" w:rsidRPr="00A3483E" w:rsidRDefault="00011AB3" w:rsidP="00A3483E">
            <w:pPr>
              <w:widowControl w:val="0"/>
              <w:shd w:val="clear" w:color="000000" w:fill="auto"/>
              <w:spacing w:after="0" w:line="360" w:lineRule="auto"/>
              <w:rPr>
                <w:rFonts w:ascii="Times New Roman" w:hAnsi="Times New Roman"/>
                <w:sz w:val="20"/>
                <w:szCs w:val="28"/>
              </w:rPr>
            </w:pPr>
            <w:r w:rsidRPr="00A3483E">
              <w:rPr>
                <w:rFonts w:ascii="Times New Roman" w:hAnsi="Times New Roman"/>
                <w:sz w:val="20"/>
                <w:szCs w:val="28"/>
              </w:rPr>
              <w:t>В</w:t>
            </w:r>
          </w:p>
        </w:tc>
        <w:tc>
          <w:tcPr>
            <w:tcW w:w="0" w:type="auto"/>
            <w:shd w:val="clear" w:color="auto" w:fill="auto"/>
          </w:tcPr>
          <w:p w:rsidR="00011AB3" w:rsidRPr="00A3483E" w:rsidRDefault="00011AB3" w:rsidP="00A3483E">
            <w:pPr>
              <w:widowControl w:val="0"/>
              <w:shd w:val="clear" w:color="000000" w:fill="auto"/>
              <w:spacing w:after="0" w:line="360" w:lineRule="auto"/>
              <w:rPr>
                <w:rFonts w:ascii="Times New Roman" w:hAnsi="Times New Roman"/>
                <w:sz w:val="20"/>
                <w:szCs w:val="28"/>
              </w:rPr>
            </w:pPr>
            <w:r w:rsidRPr="00A3483E">
              <w:rPr>
                <w:rFonts w:ascii="Times New Roman" w:hAnsi="Times New Roman"/>
                <w:sz w:val="20"/>
                <w:szCs w:val="28"/>
              </w:rPr>
              <w:t>200</w:t>
            </w:r>
          </w:p>
        </w:tc>
        <w:tc>
          <w:tcPr>
            <w:tcW w:w="0" w:type="auto"/>
            <w:shd w:val="clear" w:color="auto" w:fill="auto"/>
          </w:tcPr>
          <w:p w:rsidR="00011AB3" w:rsidRPr="00A3483E" w:rsidRDefault="00011AB3" w:rsidP="00A3483E">
            <w:pPr>
              <w:widowControl w:val="0"/>
              <w:shd w:val="clear" w:color="000000" w:fill="auto"/>
              <w:spacing w:after="0" w:line="360" w:lineRule="auto"/>
              <w:rPr>
                <w:rFonts w:ascii="Times New Roman" w:hAnsi="Times New Roman"/>
                <w:sz w:val="20"/>
                <w:szCs w:val="28"/>
              </w:rPr>
            </w:pPr>
            <w:r w:rsidRPr="00A3483E">
              <w:rPr>
                <w:rFonts w:ascii="Times New Roman" w:hAnsi="Times New Roman"/>
                <w:sz w:val="20"/>
                <w:szCs w:val="28"/>
              </w:rPr>
              <w:t>100</w:t>
            </w:r>
          </w:p>
        </w:tc>
        <w:tc>
          <w:tcPr>
            <w:tcW w:w="0" w:type="auto"/>
            <w:shd w:val="clear" w:color="auto" w:fill="auto"/>
          </w:tcPr>
          <w:p w:rsidR="00011AB3" w:rsidRPr="00A3483E" w:rsidRDefault="00011AB3" w:rsidP="00A3483E">
            <w:pPr>
              <w:widowControl w:val="0"/>
              <w:shd w:val="clear" w:color="000000" w:fill="auto"/>
              <w:spacing w:after="0" w:line="360" w:lineRule="auto"/>
              <w:rPr>
                <w:rFonts w:ascii="Times New Roman" w:hAnsi="Times New Roman"/>
                <w:sz w:val="20"/>
                <w:szCs w:val="28"/>
              </w:rPr>
            </w:pPr>
            <w:r w:rsidRPr="00A3483E">
              <w:rPr>
                <w:rFonts w:ascii="Times New Roman" w:hAnsi="Times New Roman"/>
                <w:sz w:val="20"/>
                <w:szCs w:val="28"/>
              </w:rPr>
              <w:t>144</w:t>
            </w:r>
          </w:p>
        </w:tc>
        <w:tc>
          <w:tcPr>
            <w:tcW w:w="0" w:type="auto"/>
            <w:shd w:val="clear" w:color="auto" w:fill="auto"/>
          </w:tcPr>
          <w:p w:rsidR="00011AB3" w:rsidRPr="00A3483E" w:rsidRDefault="00011AB3" w:rsidP="00A3483E">
            <w:pPr>
              <w:widowControl w:val="0"/>
              <w:shd w:val="clear" w:color="000000" w:fill="auto"/>
              <w:spacing w:after="0" w:line="360" w:lineRule="auto"/>
              <w:rPr>
                <w:rFonts w:ascii="Times New Roman" w:hAnsi="Times New Roman"/>
                <w:sz w:val="20"/>
                <w:szCs w:val="28"/>
              </w:rPr>
            </w:pPr>
            <w:r w:rsidRPr="00A3483E">
              <w:rPr>
                <w:rFonts w:ascii="Times New Roman" w:hAnsi="Times New Roman"/>
                <w:sz w:val="20"/>
                <w:szCs w:val="28"/>
              </w:rPr>
              <w:t>-</w:t>
            </w:r>
          </w:p>
        </w:tc>
      </w:tr>
    </w:tbl>
    <w:p w:rsidR="00A3133C" w:rsidRDefault="00A3133C" w:rsidP="00A3133C">
      <w:pPr>
        <w:widowControl w:val="0"/>
        <w:shd w:val="clear" w:color="000000" w:fill="auto"/>
        <w:spacing w:after="0" w:line="360" w:lineRule="auto"/>
        <w:ind w:firstLine="709"/>
        <w:jc w:val="both"/>
        <w:rPr>
          <w:rFonts w:ascii="Times New Roman" w:hAnsi="Times New Roman"/>
          <w:sz w:val="28"/>
          <w:szCs w:val="28"/>
        </w:rPr>
      </w:pPr>
    </w:p>
    <w:p w:rsidR="00DD10D4" w:rsidRPr="00A3133C" w:rsidRDefault="00DD10D4"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Цена капитала 12%</w:t>
      </w:r>
    </w:p>
    <w:p w:rsidR="00011AB3" w:rsidRPr="00A3483E" w:rsidRDefault="00027821"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 xml:space="preserve">1) Рассчитывается чистый приведенный эффект по формуле </w:t>
      </w:r>
      <w:r w:rsidR="00A3483E" w:rsidRPr="00A3483E">
        <w:rPr>
          <w:rFonts w:ascii="Times New Roman" w:eastAsiaTheme="minorEastAsia" w:hAnsi="Times New Roman"/>
          <w:sz w:val="28"/>
          <w:szCs w:val="28"/>
        </w:rPr>
        <w:fldChar w:fldCharType="begin"/>
      </w:r>
      <w:r w:rsidR="00A3483E" w:rsidRPr="00A3483E">
        <w:rPr>
          <w:rFonts w:ascii="Times New Roman" w:eastAsiaTheme="minorEastAsia" w:hAnsi="Times New Roman"/>
          <w:sz w:val="28"/>
          <w:szCs w:val="28"/>
        </w:rPr>
        <w:instrText xml:space="preserve"> QUOTE </w:instrText>
      </w:r>
      <w:r w:rsidR="00DE3D68">
        <w:rPr>
          <w:position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65776&quot;/&gt;&lt;wsp:rsid wsp:val=&quot;00011AB3&quot;/&gt;&lt;wsp:rsid wsp:val=&quot;00027821&quot;/&gt;&lt;wsp:rsid wsp:val=&quot;000350B6&quot;/&gt;&lt;wsp:rsid wsp:val=&quot;000836C3&quot;/&gt;&lt;wsp:rsid wsp:val=&quot;00083EF2&quot;/&gt;&lt;wsp:rsid wsp:val=&quot;00113368&quot;/&gt;&lt;wsp:rsid wsp:val=&quot;0012089F&quot;/&gt;&lt;wsp:rsid wsp:val=&quot;001443A6&quot;/&gt;&lt;wsp:rsid wsp:val=&quot;00195162&quot;/&gt;&lt;wsp:rsid wsp:val=&quot;001A18B7&quot;/&gt;&lt;wsp:rsid wsp:val=&quot;001C309B&quot;/&gt;&lt;wsp:rsid wsp:val=&quot;001D55D5&quot;/&gt;&lt;wsp:rsid wsp:val=&quot;0020190D&quot;/&gt;&lt;wsp:rsid wsp:val=&quot;00227218&quot;/&gt;&lt;wsp:rsid wsp:val=&quot;00230E90&quot;/&gt;&lt;wsp:rsid wsp:val=&quot;00254AE3&quot;/&gt;&lt;wsp:rsid wsp:val=&quot;002621EA&quot;/&gt;&lt;wsp:rsid wsp:val=&quot;002B05C9&quot;/&gt;&lt;wsp:rsid wsp:val=&quot;002B0D2F&quot;/&gt;&lt;wsp:rsid wsp:val=&quot;002B34B4&quot;/&gt;&lt;wsp:rsid wsp:val=&quot;002B67C8&quot;/&gt;&lt;wsp:rsid wsp:val=&quot;002F3D96&quot;/&gt;&lt;wsp:rsid wsp:val=&quot;002F445F&quot;/&gt;&lt;wsp:rsid wsp:val=&quot;003449E2&quot;/&gt;&lt;wsp:rsid wsp:val=&quot;003572EA&quot;/&gt;&lt;wsp:rsid wsp:val=&quot;003811E3&quot;/&gt;&lt;wsp:rsid wsp:val=&quot;003955E0&quot;/&gt;&lt;wsp:rsid wsp:val=&quot;003962B3&quot;/&gt;&lt;wsp:rsid wsp:val=&quot;003B7E8E&quot;/&gt;&lt;wsp:rsid wsp:val=&quot;003F116B&quot;/&gt;&lt;wsp:rsid wsp:val=&quot;003F4AB1&quot;/&gt;&lt;wsp:rsid wsp:val=&quot;00407234&quot;/&gt;&lt;wsp:rsid wsp:val=&quot;00421DC2&quot;/&gt;&lt;wsp:rsid wsp:val=&quot;00423FC1&quot;/&gt;&lt;wsp:rsid wsp:val=&quot;0045031C&quot;/&gt;&lt;wsp:rsid wsp:val=&quot;00465F43&quot;/&gt;&lt;wsp:rsid wsp:val=&quot;00496EB2&quot;/&gt;&lt;wsp:rsid wsp:val=&quot;004A2D77&quot;/&gt;&lt;wsp:rsid wsp:val=&quot;004D003E&quot;/&gt;&lt;wsp:rsid wsp:val=&quot;004F4DAA&quot;/&gt;&lt;wsp:rsid wsp:val=&quot;004F70E0&quot;/&gt;&lt;wsp:rsid wsp:val=&quot;00513A7F&quot;/&gt;&lt;wsp:rsid wsp:val=&quot;0054223D&quot;/&gt;&lt;wsp:rsid wsp:val=&quot;00595FF0&quot;/&gt;&lt;wsp:rsid wsp:val=&quot;005E6A57&quot;/&gt;&lt;wsp:rsid wsp:val=&quot;005F35DB&quot;/&gt;&lt;wsp:rsid wsp:val=&quot;006074E4&quot;/&gt;&lt;wsp:rsid wsp:val=&quot;0065371B&quot;/&gt;&lt;wsp:rsid wsp:val=&quot;00667545&quot;/&gt;&lt;wsp:rsid wsp:val=&quot;00693588&quot;/&gt;&lt;wsp:rsid wsp:val=&quot;006A72B7&quot;/&gt;&lt;wsp:rsid wsp:val=&quot;006D1D96&quot;/&gt;&lt;wsp:rsid wsp:val=&quot;006D6D1D&quot;/&gt;&lt;wsp:rsid wsp:val=&quot;006E2527&quot;/&gt;&lt;wsp:rsid wsp:val=&quot;00716721&quot;/&gt;&lt;wsp:rsid wsp:val=&quot;00733395&quot;/&gt;&lt;wsp:rsid wsp:val=&quot;007A2A0D&quot;/&gt;&lt;wsp:rsid wsp:val=&quot;007A5235&quot;/&gt;&lt;wsp:rsid wsp:val=&quot;007B0EDE&quot;/&gt;&lt;wsp:rsid wsp:val=&quot;007B4799&quot;/&gt;&lt;wsp:rsid wsp:val=&quot;007B4A80&quot;/&gt;&lt;wsp:rsid wsp:val=&quot;007D0813&quot;/&gt;&lt;wsp:rsid wsp:val=&quot;00874A0D&quot;/&gt;&lt;wsp:rsid wsp:val=&quot;008A6413&quot;/&gt;&lt;wsp:rsid wsp:val=&quot;008F0088&quot;/&gt;&lt;wsp:rsid wsp:val=&quot;009024E2&quot;/&gt;&lt;wsp:rsid wsp:val=&quot;00903BD9&quot;/&gt;&lt;wsp:rsid wsp:val=&quot;00904723&quot;/&gt;&lt;wsp:rsid wsp:val=&quot;0091058C&quot;/&gt;&lt;wsp:rsid wsp:val=&quot;0091292B&quot;/&gt;&lt;wsp:rsid wsp:val=&quot;00941A90&quot;/&gt;&lt;wsp:rsid wsp:val=&quot;00941FF5&quot;/&gt;&lt;wsp:rsid wsp:val=&quot;0096096E&quot;/&gt;&lt;wsp:rsid wsp:val=&quot;009659C0&quot;/&gt;&lt;wsp:rsid wsp:val=&quot;00966612&quot;/&gt;&lt;wsp:rsid wsp:val=&quot;009C1E71&quot;/&gt;&lt;wsp:rsid wsp:val=&quot;009C3300&quot;/&gt;&lt;wsp:rsid wsp:val=&quot;009C4E8C&quot;/&gt;&lt;wsp:rsid wsp:val=&quot;009F676E&quot;/&gt;&lt;wsp:rsid wsp:val=&quot;00A3133C&quot;/&gt;&lt;wsp:rsid wsp:val=&quot;00A3483E&quot;/&gt;&lt;wsp:rsid wsp:val=&quot;00A84541&quot;/&gt;&lt;wsp:rsid wsp:val=&quot;00AE0E62&quot;/&gt;&lt;wsp:rsid wsp:val=&quot;00AF3009&quot;/&gt;&lt;wsp:rsid wsp:val=&quot;00B226FC&quot;/&gt;&lt;wsp:rsid wsp:val=&quot;00B23297&quot;/&gt;&lt;wsp:rsid wsp:val=&quot;00B40255&quot;/&gt;&lt;wsp:rsid wsp:val=&quot;00B60F9B&quot;/&gt;&lt;wsp:rsid wsp:val=&quot;00BC17ED&quot;/&gt;&lt;wsp:rsid wsp:val=&quot;00C002E9&quot;/&gt;&lt;wsp:rsid wsp:val=&quot;00C348D9&quot;/&gt;&lt;wsp:rsid wsp:val=&quot;00C73E14&quot;/&gt;&lt;wsp:rsid wsp:val=&quot;00C82911&quot;/&gt;&lt;wsp:rsid wsp:val=&quot;00CA274A&quot;/&gt;&lt;wsp:rsid wsp:val=&quot;00CA3753&quot;/&gt;&lt;wsp:rsid wsp:val=&quot;00CD24B0&quot;/&gt;&lt;wsp:rsid wsp:val=&quot;00CD691D&quot;/&gt;&lt;wsp:rsid wsp:val=&quot;00CF0262&quot;/&gt;&lt;wsp:rsid wsp:val=&quot;00D103EB&quot;/&gt;&lt;wsp:rsid wsp:val=&quot;00D1414C&quot;/&gt;&lt;wsp:rsid wsp:val=&quot;00D41C40&quot;/&gt;&lt;wsp:rsid wsp:val=&quot;00D5150C&quot;/&gt;&lt;wsp:rsid wsp:val=&quot;00D517E0&quot;/&gt;&lt;wsp:rsid wsp:val=&quot;00D541B7&quot;/&gt;&lt;wsp:rsid wsp:val=&quot;00D54279&quot;/&gt;&lt;wsp:rsid wsp:val=&quot;00D65776&quot;/&gt;&lt;wsp:rsid wsp:val=&quot;00D72A09&quot;/&gt;&lt;wsp:rsid wsp:val=&quot;00D81D8F&quot;/&gt;&lt;wsp:rsid wsp:val=&quot;00DA0A5B&quot;/&gt;&lt;wsp:rsid wsp:val=&quot;00DC2898&quot;/&gt;&lt;wsp:rsid wsp:val=&quot;00DD0F1A&quot;/&gt;&lt;wsp:rsid wsp:val=&quot;00DD10D4&quot;/&gt;&lt;wsp:rsid wsp:val=&quot;00DD3329&quot;/&gt;&lt;wsp:rsid wsp:val=&quot;00E04053&quot;/&gt;&lt;wsp:rsid wsp:val=&quot;00E11B1F&quot;/&gt;&lt;wsp:rsid wsp:val=&quot;00E11C44&quot;/&gt;&lt;wsp:rsid wsp:val=&quot;00E30A0E&quot;/&gt;&lt;wsp:rsid wsp:val=&quot;00E44804&quot;/&gt;&lt;wsp:rsid wsp:val=&quot;00E46FE9&quot;/&gt;&lt;wsp:rsid wsp:val=&quot;00E712D6&quot;/&gt;&lt;wsp:rsid wsp:val=&quot;00E83406&quot;/&gt;&lt;wsp:rsid wsp:val=&quot;00E91A39&quot;/&gt;&lt;wsp:rsid wsp:val=&quot;00F11E16&quot;/&gt;&lt;wsp:rsid wsp:val=&quot;00F26F4C&quot;/&gt;&lt;wsp:rsid wsp:val=&quot;00F32FB9&quot;/&gt;&lt;wsp:rsid wsp:val=&quot;00F42500&quot;/&gt;&lt;wsp:rsid wsp:val=&quot;00F5146F&quot;/&gt;&lt;wsp:rsid wsp:val=&quot;00F80A0A&quot;/&gt;&lt;wsp:rsid wsp:val=&quot;00F82398&quot;/&gt;&lt;wsp:rsid wsp:val=&quot;00FF42C6&quot;/&gt;&lt;/wsp:rsids&gt;&lt;/w:docPr&gt;&lt;w:body&gt;&lt;wx:sect&gt;&lt;w:p wsp:rsidR=&quot;00000000&quot; wsp:rsidRDefault=&quot;004D003E&quot; wsp:rsidP=&quot;004D003E&quot;&gt;&lt;m:oMathPara&gt;&lt;m:oMath&gt;&lt;m:r&gt;&lt;w:rPr&gt;&lt;w:rFonts w:ascii=&quot;Cambria Math&quot; w:h-ansi=&quot;Cambria Math&quot;/&gt;&lt;wx:font wx:val=&quot;Cambria Math&quot;/&gt;&lt;w:i/&gt;&lt;w:sz w:val=&quot;28&quot;/&gt;&lt;w:sz-cs w:val=&quot;28&quot;/&gt;&lt;/w:rPr&gt;&lt;m:t&gt;NPV=&lt;/m:t&gt;&lt;/m:r&gt;&lt;m:nary&gt;&lt;m:naryPr&gt;&lt;m:chr m:val=&quot;в€‘&quot;/&gt;&lt;m:limLoc m:val=&quot;undOvr&quot;/&gt;&lt;m:ctrlPr&gt;&lt;w:rPr&gt;&lt;w:rFonts w:ascii=&quot;Cambria Math&quot; w:h-ansi=&quot;Cambria Math&quot;/&gt;&lt;wx:font wx:val=&quot;Cambria Math&quot;/&gt;&lt;w:i/&gt;&lt;w:sz w:val=&quot;28&quot;/&gt;&lt;/w:rPr&gt;&lt;/m:ctrlPr&gt;&lt;/m:naryPr&gt;&lt;m:sub&gt;&lt;m:r&gt;&lt;w:rPr&gt;&lt;w:rFonts w:ascii=&quot;Cambria Math&quot; w:h-ansi=&quot;Cambria Math&quot;/&gt;&lt;wx:font wx:val=&quot;Cambria Math&quot;/&gt;&lt;w:i/&gt;&lt;w:sz w:val=&quot;28&quot;/&gt;&lt;w:sz-cs w:val=&quot;28&quot;/&gt;&lt;/w:rPr&gt;&lt;m:t&gt;k=1&lt;/m:t&gt;&lt;/m:r&gt;&lt;/m:sub&gt;&lt;m:sup&gt;&lt;m:r&gt;&lt;w:rPr&gt;&lt;w:rFonts w:ascii=&quot;Cambria Math&quot; w:h-ansi=&quot;Cambria Math&quot;/&gt;&lt;wx:font wx:val=&quot;Cambria Math&quot;/&gt;&lt;w:i/&gt;&lt;w:sz w:val=&quot;28&quot;/&gt;&lt;w:sz-cs w:val=&quot;28&quot;/&gt;&lt;/w:rPr&gt;&lt;m:t&gt;n&lt;/m:t&gt;&lt;/m:r&gt;&lt;/m:sup&gt;&lt;m:e&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k&lt;/m:t&gt;&lt;/m:r&gt;&lt;/m:sub&gt;&lt;/m:sSub&gt;&lt;/m:num&gt;&lt;m:den&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1+r&lt;/m:t&gt;&lt;/m:r&gt;&lt;/m:e&gt;&lt;/m:d&gt;&lt;/m:e&gt;&lt;m:sup&gt;&lt;m:r&gt;&lt;w:rPr&gt;&lt;w:rFonts w:ascii=&quot;Cambria Math&quot; w:h-ansi=&quot;Cambria Math&quot;/&gt;&lt;wx:font wx:val=&quot;Cambria Math&quot;/&gt;&lt;w:i/&gt;&lt;w:sz w:val=&quot;28&quot;/&gt;&lt;w:sz-cs w:val=&quot;28&quot;/&gt;&lt;/w:rPr&gt;&lt;m:t&gt;k&lt;/m:t&gt;&lt;/m:r&gt;&lt;/m:sup&gt;&lt;/m:sSup&gt;&lt;/m:den&gt;&lt;/m:f&gt;&lt;m:r&gt;&lt;w:rPr&gt;&lt;w:rFonts w:ascii=&quot;Cambria Math&quot; w:h-ansi=&quot;Cambria Math&quot;/&gt;&lt;wx:font wx:val=&quot;Cambria Math&quot;/&gt;&lt;w:i/&gt;&lt;w:sz w:val=&quot;28&quot;/&gt;&lt;w:sz-cs w:val=&quot;28&quot;/&gt;&lt;/w:rPr&gt;&lt;m:t&gt;-IC&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A3483E" w:rsidRPr="00A3483E">
        <w:rPr>
          <w:rFonts w:ascii="Times New Roman" w:eastAsiaTheme="minorEastAsia" w:hAnsi="Times New Roman"/>
          <w:sz w:val="28"/>
          <w:szCs w:val="28"/>
        </w:rPr>
        <w:instrText xml:space="preserve"> </w:instrText>
      </w:r>
      <w:r w:rsidR="00A3483E" w:rsidRPr="00A3483E">
        <w:rPr>
          <w:rFonts w:ascii="Times New Roman" w:eastAsiaTheme="minorEastAsia" w:hAnsi="Times New Roman"/>
          <w:sz w:val="28"/>
          <w:szCs w:val="28"/>
        </w:rPr>
        <w:fldChar w:fldCharType="separate"/>
      </w:r>
      <w:r w:rsidR="00DE3D68">
        <w:rPr>
          <w:position w:val="-23"/>
        </w:rPr>
        <w:pict>
          <v:shape id="_x0000_i1026" type="#_x0000_t75" style="width:141.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65776&quot;/&gt;&lt;wsp:rsid wsp:val=&quot;00011AB3&quot;/&gt;&lt;wsp:rsid wsp:val=&quot;00027821&quot;/&gt;&lt;wsp:rsid wsp:val=&quot;000350B6&quot;/&gt;&lt;wsp:rsid wsp:val=&quot;000836C3&quot;/&gt;&lt;wsp:rsid wsp:val=&quot;00083EF2&quot;/&gt;&lt;wsp:rsid wsp:val=&quot;00113368&quot;/&gt;&lt;wsp:rsid wsp:val=&quot;0012089F&quot;/&gt;&lt;wsp:rsid wsp:val=&quot;001443A6&quot;/&gt;&lt;wsp:rsid wsp:val=&quot;00195162&quot;/&gt;&lt;wsp:rsid wsp:val=&quot;001A18B7&quot;/&gt;&lt;wsp:rsid wsp:val=&quot;001C309B&quot;/&gt;&lt;wsp:rsid wsp:val=&quot;001D55D5&quot;/&gt;&lt;wsp:rsid wsp:val=&quot;0020190D&quot;/&gt;&lt;wsp:rsid wsp:val=&quot;00227218&quot;/&gt;&lt;wsp:rsid wsp:val=&quot;00230E90&quot;/&gt;&lt;wsp:rsid wsp:val=&quot;00254AE3&quot;/&gt;&lt;wsp:rsid wsp:val=&quot;002621EA&quot;/&gt;&lt;wsp:rsid wsp:val=&quot;002B05C9&quot;/&gt;&lt;wsp:rsid wsp:val=&quot;002B0D2F&quot;/&gt;&lt;wsp:rsid wsp:val=&quot;002B34B4&quot;/&gt;&lt;wsp:rsid wsp:val=&quot;002B67C8&quot;/&gt;&lt;wsp:rsid wsp:val=&quot;002F3D96&quot;/&gt;&lt;wsp:rsid wsp:val=&quot;002F445F&quot;/&gt;&lt;wsp:rsid wsp:val=&quot;003449E2&quot;/&gt;&lt;wsp:rsid wsp:val=&quot;003572EA&quot;/&gt;&lt;wsp:rsid wsp:val=&quot;003811E3&quot;/&gt;&lt;wsp:rsid wsp:val=&quot;003955E0&quot;/&gt;&lt;wsp:rsid wsp:val=&quot;003962B3&quot;/&gt;&lt;wsp:rsid wsp:val=&quot;003B7E8E&quot;/&gt;&lt;wsp:rsid wsp:val=&quot;003F116B&quot;/&gt;&lt;wsp:rsid wsp:val=&quot;003F4AB1&quot;/&gt;&lt;wsp:rsid wsp:val=&quot;00407234&quot;/&gt;&lt;wsp:rsid wsp:val=&quot;00421DC2&quot;/&gt;&lt;wsp:rsid wsp:val=&quot;00423FC1&quot;/&gt;&lt;wsp:rsid wsp:val=&quot;0045031C&quot;/&gt;&lt;wsp:rsid wsp:val=&quot;00465F43&quot;/&gt;&lt;wsp:rsid wsp:val=&quot;00496EB2&quot;/&gt;&lt;wsp:rsid wsp:val=&quot;004A2D77&quot;/&gt;&lt;wsp:rsid wsp:val=&quot;004D003E&quot;/&gt;&lt;wsp:rsid wsp:val=&quot;004F4DAA&quot;/&gt;&lt;wsp:rsid wsp:val=&quot;004F70E0&quot;/&gt;&lt;wsp:rsid wsp:val=&quot;00513A7F&quot;/&gt;&lt;wsp:rsid wsp:val=&quot;0054223D&quot;/&gt;&lt;wsp:rsid wsp:val=&quot;00595FF0&quot;/&gt;&lt;wsp:rsid wsp:val=&quot;005E6A57&quot;/&gt;&lt;wsp:rsid wsp:val=&quot;005F35DB&quot;/&gt;&lt;wsp:rsid wsp:val=&quot;006074E4&quot;/&gt;&lt;wsp:rsid wsp:val=&quot;0065371B&quot;/&gt;&lt;wsp:rsid wsp:val=&quot;00667545&quot;/&gt;&lt;wsp:rsid wsp:val=&quot;00693588&quot;/&gt;&lt;wsp:rsid wsp:val=&quot;006A72B7&quot;/&gt;&lt;wsp:rsid wsp:val=&quot;006D1D96&quot;/&gt;&lt;wsp:rsid wsp:val=&quot;006D6D1D&quot;/&gt;&lt;wsp:rsid wsp:val=&quot;006E2527&quot;/&gt;&lt;wsp:rsid wsp:val=&quot;00716721&quot;/&gt;&lt;wsp:rsid wsp:val=&quot;00733395&quot;/&gt;&lt;wsp:rsid wsp:val=&quot;007A2A0D&quot;/&gt;&lt;wsp:rsid wsp:val=&quot;007A5235&quot;/&gt;&lt;wsp:rsid wsp:val=&quot;007B0EDE&quot;/&gt;&lt;wsp:rsid wsp:val=&quot;007B4799&quot;/&gt;&lt;wsp:rsid wsp:val=&quot;007B4A80&quot;/&gt;&lt;wsp:rsid wsp:val=&quot;007D0813&quot;/&gt;&lt;wsp:rsid wsp:val=&quot;00874A0D&quot;/&gt;&lt;wsp:rsid wsp:val=&quot;008A6413&quot;/&gt;&lt;wsp:rsid wsp:val=&quot;008F0088&quot;/&gt;&lt;wsp:rsid wsp:val=&quot;009024E2&quot;/&gt;&lt;wsp:rsid wsp:val=&quot;00903BD9&quot;/&gt;&lt;wsp:rsid wsp:val=&quot;00904723&quot;/&gt;&lt;wsp:rsid wsp:val=&quot;0091058C&quot;/&gt;&lt;wsp:rsid wsp:val=&quot;0091292B&quot;/&gt;&lt;wsp:rsid wsp:val=&quot;00941A90&quot;/&gt;&lt;wsp:rsid wsp:val=&quot;00941FF5&quot;/&gt;&lt;wsp:rsid wsp:val=&quot;0096096E&quot;/&gt;&lt;wsp:rsid wsp:val=&quot;009659C0&quot;/&gt;&lt;wsp:rsid wsp:val=&quot;00966612&quot;/&gt;&lt;wsp:rsid wsp:val=&quot;009C1E71&quot;/&gt;&lt;wsp:rsid wsp:val=&quot;009C3300&quot;/&gt;&lt;wsp:rsid wsp:val=&quot;009C4E8C&quot;/&gt;&lt;wsp:rsid wsp:val=&quot;009F676E&quot;/&gt;&lt;wsp:rsid wsp:val=&quot;00A3133C&quot;/&gt;&lt;wsp:rsid wsp:val=&quot;00A3483E&quot;/&gt;&lt;wsp:rsid wsp:val=&quot;00A84541&quot;/&gt;&lt;wsp:rsid wsp:val=&quot;00AE0E62&quot;/&gt;&lt;wsp:rsid wsp:val=&quot;00AF3009&quot;/&gt;&lt;wsp:rsid wsp:val=&quot;00B226FC&quot;/&gt;&lt;wsp:rsid wsp:val=&quot;00B23297&quot;/&gt;&lt;wsp:rsid wsp:val=&quot;00B40255&quot;/&gt;&lt;wsp:rsid wsp:val=&quot;00B60F9B&quot;/&gt;&lt;wsp:rsid wsp:val=&quot;00BC17ED&quot;/&gt;&lt;wsp:rsid wsp:val=&quot;00C002E9&quot;/&gt;&lt;wsp:rsid wsp:val=&quot;00C348D9&quot;/&gt;&lt;wsp:rsid wsp:val=&quot;00C73E14&quot;/&gt;&lt;wsp:rsid wsp:val=&quot;00C82911&quot;/&gt;&lt;wsp:rsid wsp:val=&quot;00CA274A&quot;/&gt;&lt;wsp:rsid wsp:val=&quot;00CA3753&quot;/&gt;&lt;wsp:rsid wsp:val=&quot;00CD24B0&quot;/&gt;&lt;wsp:rsid wsp:val=&quot;00CD691D&quot;/&gt;&lt;wsp:rsid wsp:val=&quot;00CF0262&quot;/&gt;&lt;wsp:rsid wsp:val=&quot;00D103EB&quot;/&gt;&lt;wsp:rsid wsp:val=&quot;00D1414C&quot;/&gt;&lt;wsp:rsid wsp:val=&quot;00D41C40&quot;/&gt;&lt;wsp:rsid wsp:val=&quot;00D5150C&quot;/&gt;&lt;wsp:rsid wsp:val=&quot;00D517E0&quot;/&gt;&lt;wsp:rsid wsp:val=&quot;00D541B7&quot;/&gt;&lt;wsp:rsid wsp:val=&quot;00D54279&quot;/&gt;&lt;wsp:rsid wsp:val=&quot;00D65776&quot;/&gt;&lt;wsp:rsid wsp:val=&quot;00D72A09&quot;/&gt;&lt;wsp:rsid wsp:val=&quot;00D81D8F&quot;/&gt;&lt;wsp:rsid wsp:val=&quot;00DA0A5B&quot;/&gt;&lt;wsp:rsid wsp:val=&quot;00DC2898&quot;/&gt;&lt;wsp:rsid wsp:val=&quot;00DD0F1A&quot;/&gt;&lt;wsp:rsid wsp:val=&quot;00DD10D4&quot;/&gt;&lt;wsp:rsid wsp:val=&quot;00DD3329&quot;/&gt;&lt;wsp:rsid wsp:val=&quot;00E04053&quot;/&gt;&lt;wsp:rsid wsp:val=&quot;00E11B1F&quot;/&gt;&lt;wsp:rsid wsp:val=&quot;00E11C44&quot;/&gt;&lt;wsp:rsid wsp:val=&quot;00E30A0E&quot;/&gt;&lt;wsp:rsid wsp:val=&quot;00E44804&quot;/&gt;&lt;wsp:rsid wsp:val=&quot;00E46FE9&quot;/&gt;&lt;wsp:rsid wsp:val=&quot;00E712D6&quot;/&gt;&lt;wsp:rsid wsp:val=&quot;00E83406&quot;/&gt;&lt;wsp:rsid wsp:val=&quot;00E91A39&quot;/&gt;&lt;wsp:rsid wsp:val=&quot;00F11E16&quot;/&gt;&lt;wsp:rsid wsp:val=&quot;00F26F4C&quot;/&gt;&lt;wsp:rsid wsp:val=&quot;00F32FB9&quot;/&gt;&lt;wsp:rsid wsp:val=&quot;00F42500&quot;/&gt;&lt;wsp:rsid wsp:val=&quot;00F5146F&quot;/&gt;&lt;wsp:rsid wsp:val=&quot;00F80A0A&quot;/&gt;&lt;wsp:rsid wsp:val=&quot;00F82398&quot;/&gt;&lt;wsp:rsid wsp:val=&quot;00FF42C6&quot;/&gt;&lt;/wsp:rsids&gt;&lt;/w:docPr&gt;&lt;w:body&gt;&lt;wx:sect&gt;&lt;w:p wsp:rsidR=&quot;00000000&quot; wsp:rsidRDefault=&quot;004D003E&quot; wsp:rsidP=&quot;004D003E&quot;&gt;&lt;m:oMathPara&gt;&lt;m:oMath&gt;&lt;m:r&gt;&lt;w:rPr&gt;&lt;w:rFonts w:ascii=&quot;Cambria Math&quot; w:h-ansi=&quot;Cambria Math&quot;/&gt;&lt;wx:font wx:val=&quot;Cambria Math&quot;/&gt;&lt;w:i/&gt;&lt;w:sz w:val=&quot;28&quot;/&gt;&lt;w:sz-cs w:val=&quot;28&quot;/&gt;&lt;/w:rPr&gt;&lt;m:t&gt;NPV=&lt;/m:t&gt;&lt;/m:r&gt;&lt;m:nary&gt;&lt;m:naryPr&gt;&lt;m:chr m:val=&quot;в€‘&quot;/&gt;&lt;m:limLoc m:val=&quot;undOvr&quot;/&gt;&lt;m:ctrlPr&gt;&lt;w:rPr&gt;&lt;w:rFonts w:ascii=&quot;Cambria Math&quot; w:h-ansi=&quot;Cambria Math&quot;/&gt;&lt;wx:font wx:val=&quot;Cambria Math&quot;/&gt;&lt;w:i/&gt;&lt;w:sz w:val=&quot;28&quot;/&gt;&lt;/w:rPr&gt;&lt;/m:ctrlPr&gt;&lt;/m:naryPr&gt;&lt;m:sub&gt;&lt;m:r&gt;&lt;w:rPr&gt;&lt;w:rFonts w:ascii=&quot;Cambria Math&quot; w:h-ansi=&quot;Cambria Math&quot;/&gt;&lt;wx:font wx:val=&quot;Cambria Math&quot;/&gt;&lt;w:i/&gt;&lt;w:sz w:val=&quot;28&quot;/&gt;&lt;w:sz-cs w:val=&quot;28&quot;/&gt;&lt;/w:rPr&gt;&lt;m:t&gt;k=1&lt;/m:t&gt;&lt;/m:r&gt;&lt;/m:sub&gt;&lt;m:sup&gt;&lt;m:r&gt;&lt;w:rPr&gt;&lt;w:rFonts w:ascii=&quot;Cambria Math&quot; w:h-ansi=&quot;Cambria Math&quot;/&gt;&lt;wx:font wx:val=&quot;Cambria Math&quot;/&gt;&lt;w:i/&gt;&lt;w:sz w:val=&quot;28&quot;/&gt;&lt;w:sz-cs w:val=&quot;28&quot;/&gt;&lt;/w:rPr&gt;&lt;m:t&gt;n&lt;/m:t&gt;&lt;/m:r&gt;&lt;/m:sup&gt;&lt;m:e&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k&lt;/m:t&gt;&lt;/m:r&gt;&lt;/m:sub&gt;&lt;/m:sSub&gt;&lt;/m:num&gt;&lt;m:den&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1+r&lt;/m:t&gt;&lt;/m:r&gt;&lt;/m:e&gt;&lt;/m:d&gt;&lt;/m:e&gt;&lt;m:sup&gt;&lt;m:r&gt;&lt;w:rPr&gt;&lt;w:rFonts w:ascii=&quot;Cambria Math&quot; w:h-ansi=&quot;Cambria Math&quot;/&gt;&lt;wx:font wx:val=&quot;Cambria Math&quot;/&gt;&lt;w:i/&gt;&lt;w:sz w:val=&quot;28&quot;/&gt;&lt;w:sz-cs w:val=&quot;28&quot;/&gt;&lt;/w:rPr&gt;&lt;m:t&gt;k&lt;/m:t&gt;&lt;/m:r&gt;&lt;/m:sup&gt;&lt;/m:sSup&gt;&lt;/m:den&gt;&lt;/m:f&gt;&lt;m:r&gt;&lt;w:rPr&gt;&lt;w:rFonts w:ascii=&quot;Cambria Math&quot; w:h-ansi=&quot;Cambria Math&quot;/&gt;&lt;wx:font wx:val=&quot;Cambria Math&quot;/&gt;&lt;w:i/&gt;&lt;w:sz w:val=&quot;28&quot;/&gt;&lt;w:sz-cs w:val=&quot;28&quot;/&gt;&lt;/w:rPr&gt;&lt;m:t&gt;-IC&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A3483E" w:rsidRPr="00A3483E">
        <w:rPr>
          <w:rFonts w:ascii="Times New Roman" w:eastAsiaTheme="minorEastAsia" w:hAnsi="Times New Roman"/>
          <w:sz w:val="28"/>
          <w:szCs w:val="28"/>
        </w:rPr>
        <w:fldChar w:fldCharType="end"/>
      </w:r>
      <w:r w:rsidR="009C4E8C" w:rsidRPr="00A3483E">
        <w:rPr>
          <w:rFonts w:ascii="Times New Roman" w:hAnsi="Times New Roman"/>
          <w:sz w:val="28"/>
          <w:szCs w:val="28"/>
        </w:rPr>
        <w:t xml:space="preserve">, где </w:t>
      </w:r>
      <w:r w:rsidR="009C4E8C" w:rsidRPr="00A3483E">
        <w:rPr>
          <w:rFonts w:ascii="Times New Roman" w:hAnsi="Times New Roman"/>
          <w:sz w:val="28"/>
          <w:szCs w:val="28"/>
          <w:lang w:val="en-US"/>
        </w:rPr>
        <w:t>P</w:t>
      </w:r>
      <w:r w:rsidR="009C4E8C" w:rsidRPr="00A3483E">
        <w:rPr>
          <w:rFonts w:ascii="Times New Roman" w:hAnsi="Times New Roman"/>
          <w:sz w:val="28"/>
          <w:szCs w:val="28"/>
        </w:rPr>
        <w:t xml:space="preserve"> – доход, </w:t>
      </w:r>
      <w:r w:rsidR="009C4E8C" w:rsidRPr="00A3483E">
        <w:rPr>
          <w:rFonts w:ascii="Times New Roman" w:hAnsi="Times New Roman"/>
          <w:sz w:val="28"/>
          <w:szCs w:val="28"/>
          <w:lang w:val="en-US"/>
        </w:rPr>
        <w:t>r</w:t>
      </w:r>
      <w:r w:rsidR="009C4E8C" w:rsidRPr="00A3483E">
        <w:rPr>
          <w:rFonts w:ascii="Times New Roman" w:hAnsi="Times New Roman"/>
          <w:sz w:val="28"/>
          <w:szCs w:val="28"/>
        </w:rPr>
        <w:t xml:space="preserve"> – цена капитала, </w:t>
      </w:r>
      <w:r w:rsidR="009C4E8C" w:rsidRPr="00A3483E">
        <w:rPr>
          <w:rFonts w:ascii="Times New Roman" w:hAnsi="Times New Roman"/>
          <w:sz w:val="28"/>
          <w:szCs w:val="28"/>
          <w:lang w:val="en-US"/>
        </w:rPr>
        <w:t>IC</w:t>
      </w:r>
      <w:r w:rsidR="009C4E8C" w:rsidRPr="00A3483E">
        <w:rPr>
          <w:rFonts w:ascii="Times New Roman" w:hAnsi="Times New Roman"/>
          <w:sz w:val="28"/>
          <w:szCs w:val="28"/>
        </w:rPr>
        <w:t xml:space="preserve"> –исходная инвестиция</w:t>
      </w:r>
    </w:p>
    <w:p w:rsidR="003811E3" w:rsidRPr="00A3483E" w:rsidRDefault="003811E3" w:rsidP="00A3133C">
      <w:pPr>
        <w:widowControl w:val="0"/>
        <w:shd w:val="clear" w:color="000000" w:fill="auto"/>
        <w:spacing w:after="0" w:line="360" w:lineRule="auto"/>
        <w:ind w:firstLine="709"/>
        <w:jc w:val="both"/>
        <w:rPr>
          <w:rFonts w:ascii="Times New Roman" w:hAnsi="Times New Roman"/>
          <w:sz w:val="28"/>
          <w:szCs w:val="28"/>
        </w:rPr>
      </w:pPr>
      <w:r w:rsidRPr="00A3483E">
        <w:rPr>
          <w:rFonts w:ascii="Times New Roman" w:hAnsi="Times New Roman"/>
          <w:sz w:val="28"/>
          <w:szCs w:val="28"/>
          <w:lang w:val="en-US"/>
        </w:rPr>
        <w:t>NPV</w:t>
      </w:r>
      <w:r w:rsidRPr="00A3483E">
        <w:rPr>
          <w:rFonts w:ascii="Times New Roman" w:hAnsi="Times New Roman"/>
          <w:sz w:val="28"/>
          <w:szCs w:val="28"/>
        </w:rPr>
        <w:t>(А)=0,45</w:t>
      </w:r>
    </w:p>
    <w:p w:rsidR="003811E3" w:rsidRPr="00A3483E" w:rsidRDefault="003811E3" w:rsidP="00A3133C">
      <w:pPr>
        <w:widowControl w:val="0"/>
        <w:shd w:val="clear" w:color="000000" w:fill="auto"/>
        <w:spacing w:after="0" w:line="360" w:lineRule="auto"/>
        <w:ind w:firstLine="709"/>
        <w:jc w:val="both"/>
        <w:rPr>
          <w:rFonts w:ascii="Times New Roman" w:hAnsi="Times New Roman"/>
          <w:sz w:val="28"/>
          <w:szCs w:val="28"/>
        </w:rPr>
      </w:pPr>
      <w:r w:rsidRPr="00A3483E">
        <w:rPr>
          <w:rFonts w:ascii="Times New Roman" w:hAnsi="Times New Roman"/>
          <w:sz w:val="28"/>
          <w:szCs w:val="28"/>
          <w:lang w:val="en-US"/>
        </w:rPr>
        <w:t>NPV</w:t>
      </w:r>
      <w:r w:rsidRPr="00A3483E">
        <w:rPr>
          <w:rFonts w:ascii="Times New Roman" w:hAnsi="Times New Roman"/>
          <w:sz w:val="28"/>
          <w:szCs w:val="28"/>
        </w:rPr>
        <w:t>(Б)=</w:t>
      </w:r>
      <w:r w:rsidR="00FF42C6" w:rsidRPr="00A3483E">
        <w:rPr>
          <w:rFonts w:ascii="Times New Roman" w:hAnsi="Times New Roman"/>
          <w:sz w:val="28"/>
          <w:szCs w:val="28"/>
        </w:rPr>
        <w:t>2,76</w:t>
      </w:r>
    </w:p>
    <w:p w:rsidR="003811E3" w:rsidRPr="00A3483E" w:rsidRDefault="003811E3" w:rsidP="00A3133C">
      <w:pPr>
        <w:widowControl w:val="0"/>
        <w:shd w:val="clear" w:color="000000" w:fill="auto"/>
        <w:spacing w:after="0" w:line="360" w:lineRule="auto"/>
        <w:ind w:firstLine="709"/>
        <w:jc w:val="both"/>
        <w:rPr>
          <w:rFonts w:ascii="Times New Roman" w:hAnsi="Times New Roman"/>
          <w:sz w:val="28"/>
          <w:szCs w:val="28"/>
        </w:rPr>
      </w:pPr>
      <w:r w:rsidRPr="00A3483E">
        <w:rPr>
          <w:rFonts w:ascii="Times New Roman" w:hAnsi="Times New Roman"/>
          <w:sz w:val="28"/>
          <w:szCs w:val="28"/>
          <w:lang w:val="en-US"/>
        </w:rPr>
        <w:t>NPV</w:t>
      </w:r>
      <w:r w:rsidRPr="00A3483E">
        <w:rPr>
          <w:rFonts w:ascii="Times New Roman" w:hAnsi="Times New Roman"/>
          <w:sz w:val="28"/>
          <w:szCs w:val="28"/>
        </w:rPr>
        <w:t>(В)=</w:t>
      </w:r>
      <w:r w:rsidR="00FF42C6" w:rsidRPr="00A3483E">
        <w:rPr>
          <w:rFonts w:ascii="Times New Roman" w:hAnsi="Times New Roman"/>
          <w:sz w:val="28"/>
          <w:szCs w:val="28"/>
        </w:rPr>
        <w:t>4,08</w:t>
      </w:r>
    </w:p>
    <w:p w:rsidR="00FF42C6" w:rsidRPr="00A3483E" w:rsidRDefault="00E44804"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2) Рассчитываем суммарный приведенный эффект по формуле</w:t>
      </w:r>
      <w:r w:rsidR="009C4E8C" w:rsidRPr="00A3133C">
        <w:rPr>
          <w:rFonts w:ascii="Times New Roman" w:hAnsi="Times New Roman"/>
          <w:sz w:val="28"/>
          <w:szCs w:val="28"/>
        </w:rPr>
        <w:t xml:space="preserve"> бесконечно убывающей геометрической прогрессии </w:t>
      </w:r>
      <w:r w:rsidR="00A3483E" w:rsidRPr="00A3483E">
        <w:rPr>
          <w:rFonts w:ascii="Times New Roman" w:eastAsiaTheme="minorEastAsia" w:hAnsi="Times New Roman"/>
          <w:sz w:val="28"/>
          <w:szCs w:val="28"/>
        </w:rPr>
        <w:fldChar w:fldCharType="begin"/>
      </w:r>
      <w:r w:rsidR="00A3483E" w:rsidRPr="00A3483E">
        <w:rPr>
          <w:rFonts w:ascii="Times New Roman" w:eastAsiaTheme="minorEastAsia" w:hAnsi="Times New Roman"/>
          <w:sz w:val="28"/>
          <w:szCs w:val="28"/>
        </w:rPr>
        <w:instrText xml:space="preserve"> QUOTE </w:instrText>
      </w:r>
      <w:r w:rsidR="00DE3D68">
        <w:rPr>
          <w:position w:val="-23"/>
        </w:rPr>
        <w:pict>
          <v:shape id="_x0000_i1027" type="#_x0000_t75" style="width:129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65776&quot;/&gt;&lt;wsp:rsid wsp:val=&quot;00011AB3&quot;/&gt;&lt;wsp:rsid wsp:val=&quot;00027821&quot;/&gt;&lt;wsp:rsid wsp:val=&quot;000350B6&quot;/&gt;&lt;wsp:rsid wsp:val=&quot;000836C3&quot;/&gt;&lt;wsp:rsid wsp:val=&quot;00083EF2&quot;/&gt;&lt;wsp:rsid wsp:val=&quot;00113368&quot;/&gt;&lt;wsp:rsid wsp:val=&quot;0012089F&quot;/&gt;&lt;wsp:rsid wsp:val=&quot;001443A6&quot;/&gt;&lt;wsp:rsid wsp:val=&quot;00195162&quot;/&gt;&lt;wsp:rsid wsp:val=&quot;001A18B7&quot;/&gt;&lt;wsp:rsid wsp:val=&quot;001C309B&quot;/&gt;&lt;wsp:rsid wsp:val=&quot;001D55D5&quot;/&gt;&lt;wsp:rsid wsp:val=&quot;0020190D&quot;/&gt;&lt;wsp:rsid wsp:val=&quot;00227218&quot;/&gt;&lt;wsp:rsid wsp:val=&quot;00230E90&quot;/&gt;&lt;wsp:rsid wsp:val=&quot;00254AE3&quot;/&gt;&lt;wsp:rsid wsp:val=&quot;002621EA&quot;/&gt;&lt;wsp:rsid wsp:val=&quot;002B05C9&quot;/&gt;&lt;wsp:rsid wsp:val=&quot;002B0D2F&quot;/&gt;&lt;wsp:rsid wsp:val=&quot;002B34B4&quot;/&gt;&lt;wsp:rsid wsp:val=&quot;002B67C8&quot;/&gt;&lt;wsp:rsid wsp:val=&quot;002F3D96&quot;/&gt;&lt;wsp:rsid wsp:val=&quot;002F445F&quot;/&gt;&lt;wsp:rsid wsp:val=&quot;003449E2&quot;/&gt;&lt;wsp:rsid wsp:val=&quot;003572EA&quot;/&gt;&lt;wsp:rsid wsp:val=&quot;003811E3&quot;/&gt;&lt;wsp:rsid wsp:val=&quot;003955E0&quot;/&gt;&lt;wsp:rsid wsp:val=&quot;003962B3&quot;/&gt;&lt;wsp:rsid wsp:val=&quot;003B7E8E&quot;/&gt;&lt;wsp:rsid wsp:val=&quot;003F116B&quot;/&gt;&lt;wsp:rsid wsp:val=&quot;003F4AB1&quot;/&gt;&lt;wsp:rsid wsp:val=&quot;00407234&quot;/&gt;&lt;wsp:rsid wsp:val=&quot;00421DC2&quot;/&gt;&lt;wsp:rsid wsp:val=&quot;00423FC1&quot;/&gt;&lt;wsp:rsid wsp:val=&quot;0045031C&quot;/&gt;&lt;wsp:rsid wsp:val=&quot;00465F43&quot;/&gt;&lt;wsp:rsid wsp:val=&quot;00496EB2&quot;/&gt;&lt;wsp:rsid wsp:val=&quot;004A2D77&quot;/&gt;&lt;wsp:rsid wsp:val=&quot;004F4DAA&quot;/&gt;&lt;wsp:rsid wsp:val=&quot;004F70E0&quot;/&gt;&lt;wsp:rsid wsp:val=&quot;00513A7F&quot;/&gt;&lt;wsp:rsid wsp:val=&quot;0054223D&quot;/&gt;&lt;wsp:rsid wsp:val=&quot;00592734&quot;/&gt;&lt;wsp:rsid wsp:val=&quot;00595FF0&quot;/&gt;&lt;wsp:rsid wsp:val=&quot;005E6A57&quot;/&gt;&lt;wsp:rsid wsp:val=&quot;005F35DB&quot;/&gt;&lt;wsp:rsid wsp:val=&quot;006074E4&quot;/&gt;&lt;wsp:rsid wsp:val=&quot;0065371B&quot;/&gt;&lt;wsp:rsid wsp:val=&quot;00667545&quot;/&gt;&lt;wsp:rsid wsp:val=&quot;00693588&quot;/&gt;&lt;wsp:rsid wsp:val=&quot;006A72B7&quot;/&gt;&lt;wsp:rsid wsp:val=&quot;006D1D96&quot;/&gt;&lt;wsp:rsid wsp:val=&quot;006D6D1D&quot;/&gt;&lt;wsp:rsid wsp:val=&quot;006E2527&quot;/&gt;&lt;wsp:rsid wsp:val=&quot;00716721&quot;/&gt;&lt;wsp:rsid wsp:val=&quot;00733395&quot;/&gt;&lt;wsp:rsid wsp:val=&quot;007A2A0D&quot;/&gt;&lt;wsp:rsid wsp:val=&quot;007A5235&quot;/&gt;&lt;wsp:rsid wsp:val=&quot;007B0EDE&quot;/&gt;&lt;wsp:rsid wsp:val=&quot;007B4799&quot;/&gt;&lt;wsp:rsid wsp:val=&quot;007B4A80&quot;/&gt;&lt;wsp:rsid wsp:val=&quot;007D0813&quot;/&gt;&lt;wsp:rsid wsp:val=&quot;00874A0D&quot;/&gt;&lt;wsp:rsid wsp:val=&quot;008A6413&quot;/&gt;&lt;wsp:rsid wsp:val=&quot;008F0088&quot;/&gt;&lt;wsp:rsid wsp:val=&quot;009024E2&quot;/&gt;&lt;wsp:rsid wsp:val=&quot;00903BD9&quot;/&gt;&lt;wsp:rsid wsp:val=&quot;00904723&quot;/&gt;&lt;wsp:rsid wsp:val=&quot;0091058C&quot;/&gt;&lt;wsp:rsid wsp:val=&quot;0091292B&quot;/&gt;&lt;wsp:rsid wsp:val=&quot;00941A90&quot;/&gt;&lt;wsp:rsid wsp:val=&quot;00941FF5&quot;/&gt;&lt;wsp:rsid wsp:val=&quot;0096096E&quot;/&gt;&lt;wsp:rsid wsp:val=&quot;009659C0&quot;/&gt;&lt;wsp:rsid wsp:val=&quot;00966612&quot;/&gt;&lt;wsp:rsid wsp:val=&quot;009C1E71&quot;/&gt;&lt;wsp:rsid wsp:val=&quot;009C3300&quot;/&gt;&lt;wsp:rsid wsp:val=&quot;009C4E8C&quot;/&gt;&lt;wsp:rsid wsp:val=&quot;009F676E&quot;/&gt;&lt;wsp:rsid wsp:val=&quot;00A3133C&quot;/&gt;&lt;wsp:rsid wsp:val=&quot;00A3483E&quot;/&gt;&lt;wsp:rsid wsp:val=&quot;00A84541&quot;/&gt;&lt;wsp:rsid wsp:val=&quot;00AE0E62&quot;/&gt;&lt;wsp:rsid wsp:val=&quot;00AF3009&quot;/&gt;&lt;wsp:rsid wsp:val=&quot;00B226FC&quot;/&gt;&lt;wsp:rsid wsp:val=&quot;00B23297&quot;/&gt;&lt;wsp:rsid wsp:val=&quot;00B40255&quot;/&gt;&lt;wsp:rsid wsp:val=&quot;00B60F9B&quot;/&gt;&lt;wsp:rsid wsp:val=&quot;00BC17ED&quot;/&gt;&lt;wsp:rsid wsp:val=&quot;00C002E9&quot;/&gt;&lt;wsp:rsid wsp:val=&quot;00C348D9&quot;/&gt;&lt;wsp:rsid wsp:val=&quot;00C73E14&quot;/&gt;&lt;wsp:rsid wsp:val=&quot;00C82911&quot;/&gt;&lt;wsp:rsid wsp:val=&quot;00CA274A&quot;/&gt;&lt;wsp:rsid wsp:val=&quot;00CA3753&quot;/&gt;&lt;wsp:rsid wsp:val=&quot;00CD24B0&quot;/&gt;&lt;wsp:rsid wsp:val=&quot;00CD691D&quot;/&gt;&lt;wsp:rsid wsp:val=&quot;00CF0262&quot;/&gt;&lt;wsp:rsid wsp:val=&quot;00D103EB&quot;/&gt;&lt;wsp:rsid wsp:val=&quot;00D1414C&quot;/&gt;&lt;wsp:rsid wsp:val=&quot;00D41C40&quot;/&gt;&lt;wsp:rsid wsp:val=&quot;00D5150C&quot;/&gt;&lt;wsp:rsid wsp:val=&quot;00D517E0&quot;/&gt;&lt;wsp:rsid wsp:val=&quot;00D541B7&quot;/&gt;&lt;wsp:rsid wsp:val=&quot;00D54279&quot;/&gt;&lt;wsp:rsid wsp:val=&quot;00D65776&quot;/&gt;&lt;wsp:rsid wsp:val=&quot;00D72A09&quot;/&gt;&lt;wsp:rsid wsp:val=&quot;00D81D8F&quot;/&gt;&lt;wsp:rsid wsp:val=&quot;00DA0A5B&quot;/&gt;&lt;wsp:rsid wsp:val=&quot;00DC2898&quot;/&gt;&lt;wsp:rsid wsp:val=&quot;00DD0F1A&quot;/&gt;&lt;wsp:rsid wsp:val=&quot;00DD10D4&quot;/&gt;&lt;wsp:rsid wsp:val=&quot;00DD3329&quot;/&gt;&lt;wsp:rsid wsp:val=&quot;00E04053&quot;/&gt;&lt;wsp:rsid wsp:val=&quot;00E11B1F&quot;/&gt;&lt;wsp:rsid wsp:val=&quot;00E11C44&quot;/&gt;&lt;wsp:rsid wsp:val=&quot;00E30A0E&quot;/&gt;&lt;wsp:rsid wsp:val=&quot;00E44804&quot;/&gt;&lt;wsp:rsid wsp:val=&quot;00E46FE9&quot;/&gt;&lt;wsp:rsid wsp:val=&quot;00E712D6&quot;/&gt;&lt;wsp:rsid wsp:val=&quot;00E83406&quot;/&gt;&lt;wsp:rsid wsp:val=&quot;00E91A39&quot;/&gt;&lt;wsp:rsid wsp:val=&quot;00F11E16&quot;/&gt;&lt;wsp:rsid wsp:val=&quot;00F26F4C&quot;/&gt;&lt;wsp:rsid wsp:val=&quot;00F32FB9&quot;/&gt;&lt;wsp:rsid wsp:val=&quot;00F42500&quot;/&gt;&lt;wsp:rsid wsp:val=&quot;00F5146F&quot;/&gt;&lt;wsp:rsid wsp:val=&quot;00F80A0A&quot;/&gt;&lt;wsp:rsid wsp:val=&quot;00F82398&quot;/&gt;&lt;wsp:rsid wsp:val=&quot;00FF42C6&quot;/&gt;&lt;/wsp:rsids&gt;&lt;/w:docPr&gt;&lt;w:body&gt;&lt;wx:sect&gt;&lt;w:p wsp:rsidR=&quot;00000000&quot; wsp:rsidRDefault=&quot;00592734&quot; wsp:rsidP=&quot;00592734&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NPV&lt;/m:t&gt;&lt;/m:r&gt;&lt;m:ctrlPr&gt;&lt;w:rPr&gt;&lt;w:rFonts w:ascii=&quot;Cambria Math&quot; w:h-ansi=&quot;Cambria Math&quot;/&gt;&lt;wx:font wx:val=&quot;Cambria Math&quot;/&gt;&lt;w:i/&gt;&lt;w:sz w:val=&quot;28&quot;/&gt;&lt;w:lang w:val=&quot;EN-US&quot;/&gt;&lt;/w:rPr&gt;&lt;/m:ctrlPr&gt;&lt;/m:e&gt;&lt;m:sub&gt;&lt;m:r&gt;&lt;w:rPr&gt;&lt;w:rFonts w:ascii=&quot;Cambria Math&quot; w:h-ansi=&quot;Cambria Math&quot;/&gt;&lt;wx:font wx:val=&quot;Cambria Math&quot;/&gt;&lt;w:i/&gt;&lt;w:sz w:val=&quot;28&quot;/&gt;&lt;w:sz-cs w:val=&quot;28&quot;/&gt;&lt;/w:rPr&gt;&lt;m:t&gt;в€ћ&lt;/m:t&gt;&lt;/m:r&gt;&lt;/m:sub&gt;&lt;/m:sSub&gt;&lt;m:r&gt;&lt;w:rPr&gt;&lt;w:rFonts w:ascii=&quot;Cambria Math&quot; w:h-ansi=&quot;Cambria Math&quot;/&gt;&lt;wx:font wx:val=&quot;Cambria Math&quot;/&gt;&lt;w:i/&gt;&lt;w:sz w:val=&quot;28&quot;/&gt;&lt;w:sz-cs w:val=&quot;28&quot;/&gt;&lt;/w:rPr&gt;&lt;m:t&gt;=NPV&lt;/m:t&gt;&lt;/m:r&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1+r&lt;/m:t&gt;&lt;/m:r&gt;&lt;/m:e&gt;&lt;/m:d&gt;&lt;/m:e&gt;&lt;m:sup&gt;&lt;m:r&gt;&lt;w:rPr&gt;&lt;w:rFonts w:ascii=&quot;Cambria Math&quot; w:h-ansi=&quot;Cambria Math&quot;/&gt;&lt;wx:font wx:val=&quot;Cambria Math&quot;/&gt;&lt;w:i/&gt;&lt;w:sz w:val=&quot;28&quot;/&gt;&lt;w:sz-cs w:val=&quot;28&quot;/&gt;&lt;/w:rPr&gt;&lt;m:t&gt;n&lt;/m:t&gt;&lt;/m:r&gt;&lt;/m:sup&gt;&lt;/m:sSup&gt;&lt;/m:num&gt;&lt;m:den&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1+r&lt;/m:t&gt;&lt;/m:r&gt;&lt;/m:e&gt;&lt;/m:d&gt;&lt;/m:e&gt;&lt;m:sup&gt;&lt;m:r&gt;&lt;w:rPr&gt;&lt;w:rFonts w:ascii=&quot;Cambria Math&quot; w:h-ansi=&quot;Cambria Math&quot;/&gt;&lt;wx:font wx:val=&quot;Cambria Math&quot;/&gt;&lt;w:i/&gt;&lt;w:sz w:val=&quot;28&quot;/&gt;&lt;w:sz-cs w:val=&quot;28&quot;/&gt;&lt;/w:rPr&gt;&lt;m:t&gt;n&lt;/m:t&gt;&lt;/m:r&gt;&lt;/m:sup&gt;&lt;/m:sSup&gt;&lt;m:r&gt;&lt;w:rPr&gt;&lt;w:rFonts w:ascii=&quot;Cambria Math&quot; w:h-ansi=&quot;Cambria Math&quot;/&gt;&lt;wx:font wx:val=&quot;Cambria Math&quot;/&gt;&lt;w:i/&gt;&lt;w:sz w:val=&quot;28&quot;/&gt;&lt;w:sz-cs w:val=&quot;28&quot;/&gt;&lt;/w:rPr&gt;&lt;m:t&gt;-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A3483E" w:rsidRPr="00A3483E">
        <w:rPr>
          <w:rFonts w:ascii="Times New Roman" w:eastAsiaTheme="minorEastAsia" w:hAnsi="Times New Roman"/>
          <w:sz w:val="28"/>
          <w:szCs w:val="28"/>
        </w:rPr>
        <w:instrText xml:space="preserve"> </w:instrText>
      </w:r>
      <w:r w:rsidR="00A3483E" w:rsidRPr="00A3483E">
        <w:rPr>
          <w:rFonts w:ascii="Times New Roman" w:eastAsiaTheme="minorEastAsia" w:hAnsi="Times New Roman"/>
          <w:sz w:val="28"/>
          <w:szCs w:val="28"/>
        </w:rPr>
        <w:fldChar w:fldCharType="separate"/>
      </w:r>
      <w:r w:rsidR="00DE3D68">
        <w:rPr>
          <w:position w:val="-23"/>
        </w:rPr>
        <w:pict>
          <v:shape id="_x0000_i1028" type="#_x0000_t75" style="width:129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65776&quot;/&gt;&lt;wsp:rsid wsp:val=&quot;00011AB3&quot;/&gt;&lt;wsp:rsid wsp:val=&quot;00027821&quot;/&gt;&lt;wsp:rsid wsp:val=&quot;000350B6&quot;/&gt;&lt;wsp:rsid wsp:val=&quot;000836C3&quot;/&gt;&lt;wsp:rsid wsp:val=&quot;00083EF2&quot;/&gt;&lt;wsp:rsid wsp:val=&quot;00113368&quot;/&gt;&lt;wsp:rsid wsp:val=&quot;0012089F&quot;/&gt;&lt;wsp:rsid wsp:val=&quot;001443A6&quot;/&gt;&lt;wsp:rsid wsp:val=&quot;00195162&quot;/&gt;&lt;wsp:rsid wsp:val=&quot;001A18B7&quot;/&gt;&lt;wsp:rsid wsp:val=&quot;001C309B&quot;/&gt;&lt;wsp:rsid wsp:val=&quot;001D55D5&quot;/&gt;&lt;wsp:rsid wsp:val=&quot;0020190D&quot;/&gt;&lt;wsp:rsid wsp:val=&quot;00227218&quot;/&gt;&lt;wsp:rsid wsp:val=&quot;00230E90&quot;/&gt;&lt;wsp:rsid wsp:val=&quot;00254AE3&quot;/&gt;&lt;wsp:rsid wsp:val=&quot;002621EA&quot;/&gt;&lt;wsp:rsid wsp:val=&quot;002B05C9&quot;/&gt;&lt;wsp:rsid wsp:val=&quot;002B0D2F&quot;/&gt;&lt;wsp:rsid wsp:val=&quot;002B34B4&quot;/&gt;&lt;wsp:rsid wsp:val=&quot;002B67C8&quot;/&gt;&lt;wsp:rsid wsp:val=&quot;002F3D96&quot;/&gt;&lt;wsp:rsid wsp:val=&quot;002F445F&quot;/&gt;&lt;wsp:rsid wsp:val=&quot;003449E2&quot;/&gt;&lt;wsp:rsid wsp:val=&quot;003572EA&quot;/&gt;&lt;wsp:rsid wsp:val=&quot;003811E3&quot;/&gt;&lt;wsp:rsid wsp:val=&quot;003955E0&quot;/&gt;&lt;wsp:rsid wsp:val=&quot;003962B3&quot;/&gt;&lt;wsp:rsid wsp:val=&quot;003B7E8E&quot;/&gt;&lt;wsp:rsid wsp:val=&quot;003F116B&quot;/&gt;&lt;wsp:rsid wsp:val=&quot;003F4AB1&quot;/&gt;&lt;wsp:rsid wsp:val=&quot;00407234&quot;/&gt;&lt;wsp:rsid wsp:val=&quot;00421DC2&quot;/&gt;&lt;wsp:rsid wsp:val=&quot;00423FC1&quot;/&gt;&lt;wsp:rsid wsp:val=&quot;0045031C&quot;/&gt;&lt;wsp:rsid wsp:val=&quot;00465F43&quot;/&gt;&lt;wsp:rsid wsp:val=&quot;00496EB2&quot;/&gt;&lt;wsp:rsid wsp:val=&quot;004A2D77&quot;/&gt;&lt;wsp:rsid wsp:val=&quot;004F4DAA&quot;/&gt;&lt;wsp:rsid wsp:val=&quot;004F70E0&quot;/&gt;&lt;wsp:rsid wsp:val=&quot;00513A7F&quot;/&gt;&lt;wsp:rsid wsp:val=&quot;0054223D&quot;/&gt;&lt;wsp:rsid wsp:val=&quot;00592734&quot;/&gt;&lt;wsp:rsid wsp:val=&quot;00595FF0&quot;/&gt;&lt;wsp:rsid wsp:val=&quot;005E6A57&quot;/&gt;&lt;wsp:rsid wsp:val=&quot;005F35DB&quot;/&gt;&lt;wsp:rsid wsp:val=&quot;006074E4&quot;/&gt;&lt;wsp:rsid wsp:val=&quot;0065371B&quot;/&gt;&lt;wsp:rsid wsp:val=&quot;00667545&quot;/&gt;&lt;wsp:rsid wsp:val=&quot;00693588&quot;/&gt;&lt;wsp:rsid wsp:val=&quot;006A72B7&quot;/&gt;&lt;wsp:rsid wsp:val=&quot;006D1D96&quot;/&gt;&lt;wsp:rsid wsp:val=&quot;006D6D1D&quot;/&gt;&lt;wsp:rsid wsp:val=&quot;006E2527&quot;/&gt;&lt;wsp:rsid wsp:val=&quot;00716721&quot;/&gt;&lt;wsp:rsid wsp:val=&quot;00733395&quot;/&gt;&lt;wsp:rsid wsp:val=&quot;007A2A0D&quot;/&gt;&lt;wsp:rsid wsp:val=&quot;007A5235&quot;/&gt;&lt;wsp:rsid wsp:val=&quot;007B0EDE&quot;/&gt;&lt;wsp:rsid wsp:val=&quot;007B4799&quot;/&gt;&lt;wsp:rsid wsp:val=&quot;007B4A80&quot;/&gt;&lt;wsp:rsid wsp:val=&quot;007D0813&quot;/&gt;&lt;wsp:rsid wsp:val=&quot;00874A0D&quot;/&gt;&lt;wsp:rsid wsp:val=&quot;008A6413&quot;/&gt;&lt;wsp:rsid wsp:val=&quot;008F0088&quot;/&gt;&lt;wsp:rsid wsp:val=&quot;009024E2&quot;/&gt;&lt;wsp:rsid wsp:val=&quot;00903BD9&quot;/&gt;&lt;wsp:rsid wsp:val=&quot;00904723&quot;/&gt;&lt;wsp:rsid wsp:val=&quot;0091058C&quot;/&gt;&lt;wsp:rsid wsp:val=&quot;0091292B&quot;/&gt;&lt;wsp:rsid wsp:val=&quot;00941A90&quot;/&gt;&lt;wsp:rsid wsp:val=&quot;00941FF5&quot;/&gt;&lt;wsp:rsid wsp:val=&quot;0096096E&quot;/&gt;&lt;wsp:rsid wsp:val=&quot;009659C0&quot;/&gt;&lt;wsp:rsid wsp:val=&quot;00966612&quot;/&gt;&lt;wsp:rsid wsp:val=&quot;009C1E71&quot;/&gt;&lt;wsp:rsid wsp:val=&quot;009C3300&quot;/&gt;&lt;wsp:rsid wsp:val=&quot;009C4E8C&quot;/&gt;&lt;wsp:rsid wsp:val=&quot;009F676E&quot;/&gt;&lt;wsp:rsid wsp:val=&quot;00A3133C&quot;/&gt;&lt;wsp:rsid wsp:val=&quot;00A3483E&quot;/&gt;&lt;wsp:rsid wsp:val=&quot;00A84541&quot;/&gt;&lt;wsp:rsid wsp:val=&quot;00AE0E62&quot;/&gt;&lt;wsp:rsid wsp:val=&quot;00AF3009&quot;/&gt;&lt;wsp:rsid wsp:val=&quot;00B226FC&quot;/&gt;&lt;wsp:rsid wsp:val=&quot;00B23297&quot;/&gt;&lt;wsp:rsid wsp:val=&quot;00B40255&quot;/&gt;&lt;wsp:rsid wsp:val=&quot;00B60F9B&quot;/&gt;&lt;wsp:rsid wsp:val=&quot;00BC17ED&quot;/&gt;&lt;wsp:rsid wsp:val=&quot;00C002E9&quot;/&gt;&lt;wsp:rsid wsp:val=&quot;00C348D9&quot;/&gt;&lt;wsp:rsid wsp:val=&quot;00C73E14&quot;/&gt;&lt;wsp:rsid wsp:val=&quot;00C82911&quot;/&gt;&lt;wsp:rsid wsp:val=&quot;00CA274A&quot;/&gt;&lt;wsp:rsid wsp:val=&quot;00CA3753&quot;/&gt;&lt;wsp:rsid wsp:val=&quot;00CD24B0&quot;/&gt;&lt;wsp:rsid wsp:val=&quot;00CD691D&quot;/&gt;&lt;wsp:rsid wsp:val=&quot;00CF0262&quot;/&gt;&lt;wsp:rsid wsp:val=&quot;00D103EB&quot;/&gt;&lt;wsp:rsid wsp:val=&quot;00D1414C&quot;/&gt;&lt;wsp:rsid wsp:val=&quot;00D41C40&quot;/&gt;&lt;wsp:rsid wsp:val=&quot;00D5150C&quot;/&gt;&lt;wsp:rsid wsp:val=&quot;00D517E0&quot;/&gt;&lt;wsp:rsid wsp:val=&quot;00D541B7&quot;/&gt;&lt;wsp:rsid wsp:val=&quot;00D54279&quot;/&gt;&lt;wsp:rsid wsp:val=&quot;00D65776&quot;/&gt;&lt;wsp:rsid wsp:val=&quot;00D72A09&quot;/&gt;&lt;wsp:rsid wsp:val=&quot;00D81D8F&quot;/&gt;&lt;wsp:rsid wsp:val=&quot;00DA0A5B&quot;/&gt;&lt;wsp:rsid wsp:val=&quot;00DC2898&quot;/&gt;&lt;wsp:rsid wsp:val=&quot;00DD0F1A&quot;/&gt;&lt;wsp:rsid wsp:val=&quot;00DD10D4&quot;/&gt;&lt;wsp:rsid wsp:val=&quot;00DD3329&quot;/&gt;&lt;wsp:rsid wsp:val=&quot;00E04053&quot;/&gt;&lt;wsp:rsid wsp:val=&quot;00E11B1F&quot;/&gt;&lt;wsp:rsid wsp:val=&quot;00E11C44&quot;/&gt;&lt;wsp:rsid wsp:val=&quot;00E30A0E&quot;/&gt;&lt;wsp:rsid wsp:val=&quot;00E44804&quot;/&gt;&lt;wsp:rsid wsp:val=&quot;00E46FE9&quot;/&gt;&lt;wsp:rsid wsp:val=&quot;00E712D6&quot;/&gt;&lt;wsp:rsid wsp:val=&quot;00E83406&quot;/&gt;&lt;wsp:rsid wsp:val=&quot;00E91A39&quot;/&gt;&lt;wsp:rsid wsp:val=&quot;00F11E16&quot;/&gt;&lt;wsp:rsid wsp:val=&quot;00F26F4C&quot;/&gt;&lt;wsp:rsid wsp:val=&quot;00F32FB9&quot;/&gt;&lt;wsp:rsid wsp:val=&quot;00F42500&quot;/&gt;&lt;wsp:rsid wsp:val=&quot;00F5146F&quot;/&gt;&lt;wsp:rsid wsp:val=&quot;00F80A0A&quot;/&gt;&lt;wsp:rsid wsp:val=&quot;00F82398&quot;/&gt;&lt;wsp:rsid wsp:val=&quot;00FF42C6&quot;/&gt;&lt;/wsp:rsids&gt;&lt;/w:docPr&gt;&lt;w:body&gt;&lt;wx:sect&gt;&lt;w:p wsp:rsidR=&quot;00000000&quot; wsp:rsidRDefault=&quot;00592734&quot; wsp:rsidP=&quot;00592734&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NPV&lt;/m:t&gt;&lt;/m:r&gt;&lt;m:ctrlPr&gt;&lt;w:rPr&gt;&lt;w:rFonts w:ascii=&quot;Cambria Math&quot; w:h-ansi=&quot;Cambria Math&quot;/&gt;&lt;wx:font wx:val=&quot;Cambria Math&quot;/&gt;&lt;w:i/&gt;&lt;w:sz w:val=&quot;28&quot;/&gt;&lt;w:lang w:val=&quot;EN-US&quot;/&gt;&lt;/w:rPr&gt;&lt;/m:ctrlPr&gt;&lt;/m:e&gt;&lt;m:sub&gt;&lt;m:r&gt;&lt;w:rPr&gt;&lt;w:rFonts w:ascii=&quot;Cambria Math&quot; w:h-ansi=&quot;Cambria Math&quot;/&gt;&lt;wx:font wx:val=&quot;Cambria Math&quot;/&gt;&lt;w:i/&gt;&lt;w:sz w:val=&quot;28&quot;/&gt;&lt;w:sz-cs w:val=&quot;28&quot;/&gt;&lt;/w:rPr&gt;&lt;m:t&gt;в€ћ&lt;/m:t&gt;&lt;/m:r&gt;&lt;/m:sub&gt;&lt;/m:sSub&gt;&lt;m:r&gt;&lt;w:rPr&gt;&lt;w:rFonts w:ascii=&quot;Cambria Math&quot; w:h-ansi=&quot;Cambria Math&quot;/&gt;&lt;wx:font wx:val=&quot;Cambria Math&quot;/&gt;&lt;w:i/&gt;&lt;w:sz w:val=&quot;28&quot;/&gt;&lt;w:sz-cs w:val=&quot;28&quot;/&gt;&lt;/w:rPr&gt;&lt;m:t&gt;=NPV&lt;/m:t&gt;&lt;/m:r&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1+r&lt;/m:t&gt;&lt;/m:r&gt;&lt;/m:e&gt;&lt;/m:d&gt;&lt;/m:e&gt;&lt;m:sup&gt;&lt;m:r&gt;&lt;w:rPr&gt;&lt;w:rFonts w:ascii=&quot;Cambria Math&quot; w:h-ansi=&quot;Cambria Math&quot;/&gt;&lt;wx:font wx:val=&quot;Cambria Math&quot;/&gt;&lt;w:i/&gt;&lt;w:sz w:val=&quot;28&quot;/&gt;&lt;w:sz-cs w:val=&quot;28&quot;/&gt;&lt;/w:rPr&gt;&lt;m:t&gt;n&lt;/m:t&gt;&lt;/m:r&gt;&lt;/m:sup&gt;&lt;/m:sSup&gt;&lt;/m:num&gt;&lt;m:den&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1+r&lt;/m:t&gt;&lt;/m:r&gt;&lt;/m:e&gt;&lt;/m:d&gt;&lt;/m:e&gt;&lt;m:sup&gt;&lt;m:r&gt;&lt;w:rPr&gt;&lt;w:rFonts w:ascii=&quot;Cambria Math&quot; w:h-ansi=&quot;Cambria Math&quot;/&gt;&lt;wx:font wx:val=&quot;Cambria Math&quot;/&gt;&lt;w:i/&gt;&lt;w:sz w:val=&quot;28&quot;/&gt;&lt;w:sz-cs w:val=&quot;28&quot;/&gt;&lt;/w:rPr&gt;&lt;m:t&gt;n&lt;/m:t&gt;&lt;/m:r&gt;&lt;/m:sup&gt;&lt;/m:sSup&gt;&lt;m:r&gt;&lt;w:rPr&gt;&lt;w:rFonts w:ascii=&quot;Cambria Math&quot; w:h-ansi=&quot;Cambria Math&quot;/&gt;&lt;wx:font wx:val=&quot;Cambria Math&quot;/&gt;&lt;w:i/&gt;&lt;w:sz w:val=&quot;28&quot;/&gt;&lt;w:sz-cs w:val=&quot;28&quot;/&gt;&lt;/w:rPr&gt;&lt;m:t&gt;-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A3483E" w:rsidRPr="00A3483E">
        <w:rPr>
          <w:rFonts w:ascii="Times New Roman" w:eastAsiaTheme="minorEastAsia" w:hAnsi="Times New Roman"/>
          <w:sz w:val="28"/>
          <w:szCs w:val="28"/>
        </w:rPr>
        <w:fldChar w:fldCharType="end"/>
      </w:r>
      <w:r w:rsidR="009C4E8C" w:rsidRPr="00A3483E">
        <w:rPr>
          <w:rFonts w:ascii="Times New Roman" w:hAnsi="Times New Roman"/>
          <w:sz w:val="28"/>
          <w:szCs w:val="28"/>
        </w:rPr>
        <w:t xml:space="preserve">, где </w:t>
      </w:r>
      <w:r w:rsidR="009C4E8C" w:rsidRPr="00A3483E">
        <w:rPr>
          <w:rFonts w:ascii="Times New Roman" w:hAnsi="Times New Roman"/>
          <w:sz w:val="28"/>
          <w:szCs w:val="28"/>
          <w:lang w:val="en-US"/>
        </w:rPr>
        <w:t>n</w:t>
      </w:r>
      <w:r w:rsidR="009C4E8C" w:rsidRPr="00A3483E">
        <w:rPr>
          <w:rFonts w:ascii="Times New Roman" w:hAnsi="Times New Roman"/>
          <w:sz w:val="28"/>
          <w:szCs w:val="28"/>
        </w:rPr>
        <w:t xml:space="preserve"> – продолжительность проекта.</w:t>
      </w:r>
    </w:p>
    <w:p w:rsidR="009C4E8C" w:rsidRPr="00A3483E" w:rsidRDefault="00A3483E" w:rsidP="00A3133C">
      <w:pPr>
        <w:widowControl w:val="0"/>
        <w:shd w:val="clear" w:color="000000" w:fill="auto"/>
        <w:spacing w:after="0" w:line="360" w:lineRule="auto"/>
        <w:ind w:firstLine="709"/>
        <w:jc w:val="both"/>
        <w:rPr>
          <w:rFonts w:ascii="Times New Roman" w:hAnsi="Times New Roman"/>
          <w:sz w:val="28"/>
          <w:szCs w:val="28"/>
        </w:rPr>
      </w:pPr>
      <w:r w:rsidRPr="00A3483E">
        <w:rPr>
          <w:rFonts w:ascii="Times New Roman" w:eastAsiaTheme="minorEastAsia" w:hAnsi="Times New Roman"/>
          <w:sz w:val="28"/>
          <w:szCs w:val="28"/>
        </w:rPr>
        <w:fldChar w:fldCharType="begin"/>
      </w:r>
      <w:r w:rsidRPr="00A3483E">
        <w:rPr>
          <w:rFonts w:ascii="Times New Roman" w:eastAsiaTheme="minorEastAsia" w:hAnsi="Times New Roman"/>
          <w:sz w:val="28"/>
          <w:szCs w:val="28"/>
        </w:rPr>
        <w:instrText xml:space="preserve"> QUOTE </w:instrText>
      </w:r>
      <w:r w:rsidR="00DE3D68">
        <w:rPr>
          <w:position w:val="-11"/>
        </w:rPr>
        <w:pict>
          <v:shape id="_x0000_i1029" type="#_x0000_t75" style="width:34.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65776&quot;/&gt;&lt;wsp:rsid wsp:val=&quot;00011AB3&quot;/&gt;&lt;wsp:rsid wsp:val=&quot;00027821&quot;/&gt;&lt;wsp:rsid wsp:val=&quot;000350B6&quot;/&gt;&lt;wsp:rsid wsp:val=&quot;000836C3&quot;/&gt;&lt;wsp:rsid wsp:val=&quot;00083EF2&quot;/&gt;&lt;wsp:rsid wsp:val=&quot;00113368&quot;/&gt;&lt;wsp:rsid wsp:val=&quot;0012089F&quot;/&gt;&lt;wsp:rsid wsp:val=&quot;001443A6&quot;/&gt;&lt;wsp:rsid wsp:val=&quot;00195162&quot;/&gt;&lt;wsp:rsid wsp:val=&quot;001A18B7&quot;/&gt;&lt;wsp:rsid wsp:val=&quot;001C309B&quot;/&gt;&lt;wsp:rsid wsp:val=&quot;001D55D5&quot;/&gt;&lt;wsp:rsid wsp:val=&quot;0020190D&quot;/&gt;&lt;wsp:rsid wsp:val=&quot;00227218&quot;/&gt;&lt;wsp:rsid wsp:val=&quot;00230E90&quot;/&gt;&lt;wsp:rsid wsp:val=&quot;00254AE3&quot;/&gt;&lt;wsp:rsid wsp:val=&quot;002621EA&quot;/&gt;&lt;wsp:rsid wsp:val=&quot;002B05C9&quot;/&gt;&lt;wsp:rsid wsp:val=&quot;002B0D2F&quot;/&gt;&lt;wsp:rsid wsp:val=&quot;002B34B4&quot;/&gt;&lt;wsp:rsid wsp:val=&quot;002B67C8&quot;/&gt;&lt;wsp:rsid wsp:val=&quot;002F3D96&quot;/&gt;&lt;wsp:rsid wsp:val=&quot;002F445F&quot;/&gt;&lt;wsp:rsid wsp:val=&quot;003449E2&quot;/&gt;&lt;wsp:rsid wsp:val=&quot;003572EA&quot;/&gt;&lt;wsp:rsid wsp:val=&quot;003811E3&quot;/&gt;&lt;wsp:rsid wsp:val=&quot;003955E0&quot;/&gt;&lt;wsp:rsid wsp:val=&quot;003962B3&quot;/&gt;&lt;wsp:rsid wsp:val=&quot;003B7E8E&quot;/&gt;&lt;wsp:rsid wsp:val=&quot;003F116B&quot;/&gt;&lt;wsp:rsid wsp:val=&quot;003F4AB1&quot;/&gt;&lt;wsp:rsid wsp:val=&quot;00407234&quot;/&gt;&lt;wsp:rsid wsp:val=&quot;00421DC2&quot;/&gt;&lt;wsp:rsid wsp:val=&quot;00423FC1&quot;/&gt;&lt;wsp:rsid wsp:val=&quot;0045031C&quot;/&gt;&lt;wsp:rsid wsp:val=&quot;00465F43&quot;/&gt;&lt;wsp:rsid wsp:val=&quot;00496EB2&quot;/&gt;&lt;wsp:rsid wsp:val=&quot;004A2D77&quot;/&gt;&lt;wsp:rsid wsp:val=&quot;004F4DAA&quot;/&gt;&lt;wsp:rsid wsp:val=&quot;004F70E0&quot;/&gt;&lt;wsp:rsid wsp:val=&quot;00513A7F&quot;/&gt;&lt;wsp:rsid wsp:val=&quot;0054223D&quot;/&gt;&lt;wsp:rsid wsp:val=&quot;00595FF0&quot;/&gt;&lt;wsp:rsid wsp:val=&quot;005E6A57&quot;/&gt;&lt;wsp:rsid wsp:val=&quot;005F35DB&quot;/&gt;&lt;wsp:rsid wsp:val=&quot;006074E4&quot;/&gt;&lt;wsp:rsid wsp:val=&quot;0065371B&quot;/&gt;&lt;wsp:rsid wsp:val=&quot;00667545&quot;/&gt;&lt;wsp:rsid wsp:val=&quot;00693588&quot;/&gt;&lt;wsp:rsid wsp:val=&quot;006A72B7&quot;/&gt;&lt;wsp:rsid wsp:val=&quot;006D1D96&quot;/&gt;&lt;wsp:rsid wsp:val=&quot;006D6D1D&quot;/&gt;&lt;wsp:rsid wsp:val=&quot;006E2527&quot;/&gt;&lt;wsp:rsid wsp:val=&quot;00716721&quot;/&gt;&lt;wsp:rsid wsp:val=&quot;00733395&quot;/&gt;&lt;wsp:rsid wsp:val=&quot;007A2A0D&quot;/&gt;&lt;wsp:rsid wsp:val=&quot;007A5235&quot;/&gt;&lt;wsp:rsid wsp:val=&quot;007B0EDE&quot;/&gt;&lt;wsp:rsid wsp:val=&quot;007B4799&quot;/&gt;&lt;wsp:rsid wsp:val=&quot;007B4A80&quot;/&gt;&lt;wsp:rsid wsp:val=&quot;007D0813&quot;/&gt;&lt;wsp:rsid wsp:val=&quot;00874A0D&quot;/&gt;&lt;wsp:rsid wsp:val=&quot;008A6413&quot;/&gt;&lt;wsp:rsid wsp:val=&quot;008F0088&quot;/&gt;&lt;wsp:rsid wsp:val=&quot;009024E2&quot;/&gt;&lt;wsp:rsid wsp:val=&quot;00903BD9&quot;/&gt;&lt;wsp:rsid wsp:val=&quot;00904723&quot;/&gt;&lt;wsp:rsid wsp:val=&quot;0091058C&quot;/&gt;&lt;wsp:rsid wsp:val=&quot;0091292B&quot;/&gt;&lt;wsp:rsid wsp:val=&quot;00941A90&quot;/&gt;&lt;wsp:rsid wsp:val=&quot;00941FF5&quot;/&gt;&lt;wsp:rsid wsp:val=&quot;0096096E&quot;/&gt;&lt;wsp:rsid wsp:val=&quot;009659C0&quot;/&gt;&lt;wsp:rsid wsp:val=&quot;00966612&quot;/&gt;&lt;wsp:rsid wsp:val=&quot;009C1E71&quot;/&gt;&lt;wsp:rsid wsp:val=&quot;009C3300&quot;/&gt;&lt;wsp:rsid wsp:val=&quot;009C4E8C&quot;/&gt;&lt;wsp:rsid wsp:val=&quot;009F676E&quot;/&gt;&lt;wsp:rsid wsp:val=&quot;00A3133C&quot;/&gt;&lt;wsp:rsid wsp:val=&quot;00A3483E&quot;/&gt;&lt;wsp:rsid wsp:val=&quot;00A84541&quot;/&gt;&lt;wsp:rsid wsp:val=&quot;00AE0E62&quot;/&gt;&lt;wsp:rsid wsp:val=&quot;00AF3009&quot;/&gt;&lt;wsp:rsid wsp:val=&quot;00B226FC&quot;/&gt;&lt;wsp:rsid wsp:val=&quot;00B23297&quot;/&gt;&lt;wsp:rsid wsp:val=&quot;00B40255&quot;/&gt;&lt;wsp:rsid wsp:val=&quot;00B60F9B&quot;/&gt;&lt;wsp:rsid wsp:val=&quot;00BC17ED&quot;/&gt;&lt;wsp:rsid wsp:val=&quot;00C002E9&quot;/&gt;&lt;wsp:rsid wsp:val=&quot;00C348D9&quot;/&gt;&lt;wsp:rsid wsp:val=&quot;00C73E14&quot;/&gt;&lt;wsp:rsid wsp:val=&quot;00C82911&quot;/&gt;&lt;wsp:rsid wsp:val=&quot;00CA274A&quot;/&gt;&lt;wsp:rsid wsp:val=&quot;00CA3753&quot;/&gt;&lt;wsp:rsid wsp:val=&quot;00CD24B0&quot;/&gt;&lt;wsp:rsid wsp:val=&quot;00CD691D&quot;/&gt;&lt;wsp:rsid wsp:val=&quot;00CF0262&quot;/&gt;&lt;wsp:rsid wsp:val=&quot;00D103EB&quot;/&gt;&lt;wsp:rsid wsp:val=&quot;00D1414C&quot;/&gt;&lt;wsp:rsid wsp:val=&quot;00D41C40&quot;/&gt;&lt;wsp:rsid wsp:val=&quot;00D5150C&quot;/&gt;&lt;wsp:rsid wsp:val=&quot;00D517E0&quot;/&gt;&lt;wsp:rsid wsp:val=&quot;00D541B7&quot;/&gt;&lt;wsp:rsid wsp:val=&quot;00D54279&quot;/&gt;&lt;wsp:rsid wsp:val=&quot;00D65776&quot;/&gt;&lt;wsp:rsid wsp:val=&quot;00D72A09&quot;/&gt;&lt;wsp:rsid wsp:val=&quot;00D81D8F&quot;/&gt;&lt;wsp:rsid wsp:val=&quot;00DA0A5B&quot;/&gt;&lt;wsp:rsid wsp:val=&quot;00DC2898&quot;/&gt;&lt;wsp:rsid wsp:val=&quot;00DD0F1A&quot;/&gt;&lt;wsp:rsid wsp:val=&quot;00DD10D4&quot;/&gt;&lt;wsp:rsid wsp:val=&quot;00DD3329&quot;/&gt;&lt;wsp:rsid wsp:val=&quot;00E04053&quot;/&gt;&lt;wsp:rsid wsp:val=&quot;00E11B1F&quot;/&gt;&lt;wsp:rsid wsp:val=&quot;00E11C44&quot;/&gt;&lt;wsp:rsid wsp:val=&quot;00E30A0E&quot;/&gt;&lt;wsp:rsid wsp:val=&quot;00E44804&quot;/&gt;&lt;wsp:rsid wsp:val=&quot;00E46FE9&quot;/&gt;&lt;wsp:rsid wsp:val=&quot;00E712D6&quot;/&gt;&lt;wsp:rsid wsp:val=&quot;00E83406&quot;/&gt;&lt;wsp:rsid wsp:val=&quot;00E91A39&quot;/&gt;&lt;wsp:rsid wsp:val=&quot;00F11E16&quot;/&gt;&lt;wsp:rsid wsp:val=&quot;00F26F4C&quot;/&gt;&lt;wsp:rsid wsp:val=&quot;00F32FB9&quot;/&gt;&lt;wsp:rsid wsp:val=&quot;00F42500&quot;/&gt;&lt;wsp:rsid wsp:val=&quot;00F5146F&quot;/&gt;&lt;wsp:rsid wsp:val=&quot;00F80A0A&quot;/&gt;&lt;wsp:rsid wsp:val=&quot;00F82398&quot;/&gt;&lt;wsp:rsid wsp:val=&quot;00FA58EE&quot;/&gt;&lt;wsp:rsid wsp:val=&quot;00FF42C6&quot;/&gt;&lt;/wsp:rsids&gt;&lt;/w:docPr&gt;&lt;w:body&gt;&lt;wx:sect&gt;&lt;w:p wsp:rsidR=&quot;00000000&quot; wsp:rsidRDefault=&quot;00FA58EE&quot; wsp:rsidP=&quot;00FA58EE&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NPV&lt;/m:t&gt;&lt;/m:r&gt;&lt;m:ctrlPr&gt;&lt;w:rPr&gt;&lt;w:rFonts w:ascii=&quot;Cambria Math&quot; w:h-ansi=&quot;Cambria Math&quot;/&gt;&lt;wx:font wx:val=&quot;Cambria Math&quot;/&gt;&lt;w:i/&gt;&lt;w:sz w:val=&quot;28&quot;/&gt;&lt;w:lang w:val=&quot;EN-US&quot;/&gt;&lt;/w:rPr&gt;&lt;/m:ctrlPr&gt;&lt;/m:e&gt;&lt;m:sub&gt;&lt;m:r&gt;&lt;w:rPr&gt;&lt;w:rFonts w:ascii=&quot;Cambria Math&quot; w:h-ansi=&quot;Cambria Math&quot;/&gt;&lt;wx:font wx:val=&quot;Cambria Math&quot;/&gt;&lt;w:i/&gt;&lt;w:sz w:val=&quot;28&quot;/&gt;&lt;w:sz-cs w:val=&quot;28&quot;/&gt;&lt;/w:rPr&gt;&lt;m:t&gt;в€ћ&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A3483E">
        <w:rPr>
          <w:rFonts w:ascii="Times New Roman" w:eastAsiaTheme="minorEastAsia" w:hAnsi="Times New Roman"/>
          <w:sz w:val="28"/>
          <w:szCs w:val="28"/>
        </w:rPr>
        <w:instrText xml:space="preserve"> </w:instrText>
      </w:r>
      <w:r w:rsidRPr="00A3483E">
        <w:rPr>
          <w:rFonts w:ascii="Times New Roman" w:eastAsiaTheme="minorEastAsia" w:hAnsi="Times New Roman"/>
          <w:sz w:val="28"/>
          <w:szCs w:val="28"/>
        </w:rPr>
        <w:fldChar w:fldCharType="separate"/>
      </w:r>
      <w:r w:rsidR="00DE3D68">
        <w:rPr>
          <w:position w:val="-11"/>
        </w:rPr>
        <w:pict>
          <v:shape id="_x0000_i1030" type="#_x0000_t75" style="width:34.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65776&quot;/&gt;&lt;wsp:rsid wsp:val=&quot;00011AB3&quot;/&gt;&lt;wsp:rsid wsp:val=&quot;00027821&quot;/&gt;&lt;wsp:rsid wsp:val=&quot;000350B6&quot;/&gt;&lt;wsp:rsid wsp:val=&quot;000836C3&quot;/&gt;&lt;wsp:rsid wsp:val=&quot;00083EF2&quot;/&gt;&lt;wsp:rsid wsp:val=&quot;00113368&quot;/&gt;&lt;wsp:rsid wsp:val=&quot;0012089F&quot;/&gt;&lt;wsp:rsid wsp:val=&quot;001443A6&quot;/&gt;&lt;wsp:rsid wsp:val=&quot;00195162&quot;/&gt;&lt;wsp:rsid wsp:val=&quot;001A18B7&quot;/&gt;&lt;wsp:rsid wsp:val=&quot;001C309B&quot;/&gt;&lt;wsp:rsid wsp:val=&quot;001D55D5&quot;/&gt;&lt;wsp:rsid wsp:val=&quot;0020190D&quot;/&gt;&lt;wsp:rsid wsp:val=&quot;00227218&quot;/&gt;&lt;wsp:rsid wsp:val=&quot;00230E90&quot;/&gt;&lt;wsp:rsid wsp:val=&quot;00254AE3&quot;/&gt;&lt;wsp:rsid wsp:val=&quot;002621EA&quot;/&gt;&lt;wsp:rsid wsp:val=&quot;002B05C9&quot;/&gt;&lt;wsp:rsid wsp:val=&quot;002B0D2F&quot;/&gt;&lt;wsp:rsid wsp:val=&quot;002B34B4&quot;/&gt;&lt;wsp:rsid wsp:val=&quot;002B67C8&quot;/&gt;&lt;wsp:rsid wsp:val=&quot;002F3D96&quot;/&gt;&lt;wsp:rsid wsp:val=&quot;002F445F&quot;/&gt;&lt;wsp:rsid wsp:val=&quot;003449E2&quot;/&gt;&lt;wsp:rsid wsp:val=&quot;003572EA&quot;/&gt;&lt;wsp:rsid wsp:val=&quot;003811E3&quot;/&gt;&lt;wsp:rsid wsp:val=&quot;003955E0&quot;/&gt;&lt;wsp:rsid wsp:val=&quot;003962B3&quot;/&gt;&lt;wsp:rsid wsp:val=&quot;003B7E8E&quot;/&gt;&lt;wsp:rsid wsp:val=&quot;003F116B&quot;/&gt;&lt;wsp:rsid wsp:val=&quot;003F4AB1&quot;/&gt;&lt;wsp:rsid wsp:val=&quot;00407234&quot;/&gt;&lt;wsp:rsid wsp:val=&quot;00421DC2&quot;/&gt;&lt;wsp:rsid wsp:val=&quot;00423FC1&quot;/&gt;&lt;wsp:rsid wsp:val=&quot;0045031C&quot;/&gt;&lt;wsp:rsid wsp:val=&quot;00465F43&quot;/&gt;&lt;wsp:rsid wsp:val=&quot;00496EB2&quot;/&gt;&lt;wsp:rsid wsp:val=&quot;004A2D77&quot;/&gt;&lt;wsp:rsid wsp:val=&quot;004F4DAA&quot;/&gt;&lt;wsp:rsid wsp:val=&quot;004F70E0&quot;/&gt;&lt;wsp:rsid wsp:val=&quot;00513A7F&quot;/&gt;&lt;wsp:rsid wsp:val=&quot;0054223D&quot;/&gt;&lt;wsp:rsid wsp:val=&quot;00595FF0&quot;/&gt;&lt;wsp:rsid wsp:val=&quot;005E6A57&quot;/&gt;&lt;wsp:rsid wsp:val=&quot;005F35DB&quot;/&gt;&lt;wsp:rsid wsp:val=&quot;006074E4&quot;/&gt;&lt;wsp:rsid wsp:val=&quot;0065371B&quot;/&gt;&lt;wsp:rsid wsp:val=&quot;00667545&quot;/&gt;&lt;wsp:rsid wsp:val=&quot;00693588&quot;/&gt;&lt;wsp:rsid wsp:val=&quot;006A72B7&quot;/&gt;&lt;wsp:rsid wsp:val=&quot;006D1D96&quot;/&gt;&lt;wsp:rsid wsp:val=&quot;006D6D1D&quot;/&gt;&lt;wsp:rsid wsp:val=&quot;006E2527&quot;/&gt;&lt;wsp:rsid wsp:val=&quot;00716721&quot;/&gt;&lt;wsp:rsid wsp:val=&quot;00733395&quot;/&gt;&lt;wsp:rsid wsp:val=&quot;007A2A0D&quot;/&gt;&lt;wsp:rsid wsp:val=&quot;007A5235&quot;/&gt;&lt;wsp:rsid wsp:val=&quot;007B0EDE&quot;/&gt;&lt;wsp:rsid wsp:val=&quot;007B4799&quot;/&gt;&lt;wsp:rsid wsp:val=&quot;007B4A80&quot;/&gt;&lt;wsp:rsid wsp:val=&quot;007D0813&quot;/&gt;&lt;wsp:rsid wsp:val=&quot;00874A0D&quot;/&gt;&lt;wsp:rsid wsp:val=&quot;008A6413&quot;/&gt;&lt;wsp:rsid wsp:val=&quot;008F0088&quot;/&gt;&lt;wsp:rsid wsp:val=&quot;009024E2&quot;/&gt;&lt;wsp:rsid wsp:val=&quot;00903BD9&quot;/&gt;&lt;wsp:rsid wsp:val=&quot;00904723&quot;/&gt;&lt;wsp:rsid wsp:val=&quot;0091058C&quot;/&gt;&lt;wsp:rsid wsp:val=&quot;0091292B&quot;/&gt;&lt;wsp:rsid wsp:val=&quot;00941A90&quot;/&gt;&lt;wsp:rsid wsp:val=&quot;00941FF5&quot;/&gt;&lt;wsp:rsid wsp:val=&quot;0096096E&quot;/&gt;&lt;wsp:rsid wsp:val=&quot;009659C0&quot;/&gt;&lt;wsp:rsid wsp:val=&quot;00966612&quot;/&gt;&lt;wsp:rsid wsp:val=&quot;009C1E71&quot;/&gt;&lt;wsp:rsid wsp:val=&quot;009C3300&quot;/&gt;&lt;wsp:rsid wsp:val=&quot;009C4E8C&quot;/&gt;&lt;wsp:rsid wsp:val=&quot;009F676E&quot;/&gt;&lt;wsp:rsid wsp:val=&quot;00A3133C&quot;/&gt;&lt;wsp:rsid wsp:val=&quot;00A3483E&quot;/&gt;&lt;wsp:rsid wsp:val=&quot;00A84541&quot;/&gt;&lt;wsp:rsid wsp:val=&quot;00AE0E62&quot;/&gt;&lt;wsp:rsid wsp:val=&quot;00AF3009&quot;/&gt;&lt;wsp:rsid wsp:val=&quot;00B226FC&quot;/&gt;&lt;wsp:rsid wsp:val=&quot;00B23297&quot;/&gt;&lt;wsp:rsid wsp:val=&quot;00B40255&quot;/&gt;&lt;wsp:rsid wsp:val=&quot;00B60F9B&quot;/&gt;&lt;wsp:rsid wsp:val=&quot;00BC17ED&quot;/&gt;&lt;wsp:rsid wsp:val=&quot;00C002E9&quot;/&gt;&lt;wsp:rsid wsp:val=&quot;00C348D9&quot;/&gt;&lt;wsp:rsid wsp:val=&quot;00C73E14&quot;/&gt;&lt;wsp:rsid wsp:val=&quot;00C82911&quot;/&gt;&lt;wsp:rsid wsp:val=&quot;00CA274A&quot;/&gt;&lt;wsp:rsid wsp:val=&quot;00CA3753&quot;/&gt;&lt;wsp:rsid wsp:val=&quot;00CD24B0&quot;/&gt;&lt;wsp:rsid wsp:val=&quot;00CD691D&quot;/&gt;&lt;wsp:rsid wsp:val=&quot;00CF0262&quot;/&gt;&lt;wsp:rsid wsp:val=&quot;00D103EB&quot;/&gt;&lt;wsp:rsid wsp:val=&quot;00D1414C&quot;/&gt;&lt;wsp:rsid wsp:val=&quot;00D41C40&quot;/&gt;&lt;wsp:rsid wsp:val=&quot;00D5150C&quot;/&gt;&lt;wsp:rsid wsp:val=&quot;00D517E0&quot;/&gt;&lt;wsp:rsid wsp:val=&quot;00D541B7&quot;/&gt;&lt;wsp:rsid wsp:val=&quot;00D54279&quot;/&gt;&lt;wsp:rsid wsp:val=&quot;00D65776&quot;/&gt;&lt;wsp:rsid wsp:val=&quot;00D72A09&quot;/&gt;&lt;wsp:rsid wsp:val=&quot;00D81D8F&quot;/&gt;&lt;wsp:rsid wsp:val=&quot;00DA0A5B&quot;/&gt;&lt;wsp:rsid wsp:val=&quot;00DC2898&quot;/&gt;&lt;wsp:rsid wsp:val=&quot;00DD0F1A&quot;/&gt;&lt;wsp:rsid wsp:val=&quot;00DD10D4&quot;/&gt;&lt;wsp:rsid wsp:val=&quot;00DD3329&quot;/&gt;&lt;wsp:rsid wsp:val=&quot;00E04053&quot;/&gt;&lt;wsp:rsid wsp:val=&quot;00E11B1F&quot;/&gt;&lt;wsp:rsid wsp:val=&quot;00E11C44&quot;/&gt;&lt;wsp:rsid wsp:val=&quot;00E30A0E&quot;/&gt;&lt;wsp:rsid wsp:val=&quot;00E44804&quot;/&gt;&lt;wsp:rsid wsp:val=&quot;00E46FE9&quot;/&gt;&lt;wsp:rsid wsp:val=&quot;00E712D6&quot;/&gt;&lt;wsp:rsid wsp:val=&quot;00E83406&quot;/&gt;&lt;wsp:rsid wsp:val=&quot;00E91A39&quot;/&gt;&lt;wsp:rsid wsp:val=&quot;00F11E16&quot;/&gt;&lt;wsp:rsid wsp:val=&quot;00F26F4C&quot;/&gt;&lt;wsp:rsid wsp:val=&quot;00F32FB9&quot;/&gt;&lt;wsp:rsid wsp:val=&quot;00F42500&quot;/&gt;&lt;wsp:rsid wsp:val=&quot;00F5146F&quot;/&gt;&lt;wsp:rsid wsp:val=&quot;00F80A0A&quot;/&gt;&lt;wsp:rsid wsp:val=&quot;00F82398&quot;/&gt;&lt;wsp:rsid wsp:val=&quot;00FA58EE&quot;/&gt;&lt;wsp:rsid wsp:val=&quot;00FF42C6&quot;/&gt;&lt;/wsp:rsids&gt;&lt;/w:docPr&gt;&lt;w:body&gt;&lt;wx:sect&gt;&lt;w:p wsp:rsidR=&quot;00000000&quot; wsp:rsidRDefault=&quot;00FA58EE&quot; wsp:rsidP=&quot;00FA58EE&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NPV&lt;/m:t&gt;&lt;/m:r&gt;&lt;m:ctrlPr&gt;&lt;w:rPr&gt;&lt;w:rFonts w:ascii=&quot;Cambria Math&quot; w:h-ansi=&quot;Cambria Math&quot;/&gt;&lt;wx:font wx:val=&quot;Cambria Math&quot;/&gt;&lt;w:i/&gt;&lt;w:sz w:val=&quot;28&quot;/&gt;&lt;w:lang w:val=&quot;EN-US&quot;/&gt;&lt;/w:rPr&gt;&lt;/m:ctrlPr&gt;&lt;/m:e&gt;&lt;m:sub&gt;&lt;m:r&gt;&lt;w:rPr&gt;&lt;w:rFonts w:ascii=&quot;Cambria Math&quot; w:h-ansi=&quot;Cambria Math&quot;/&gt;&lt;wx:font wx:val=&quot;Cambria Math&quot;/&gt;&lt;w:i/&gt;&lt;w:sz w:val=&quot;28&quot;/&gt;&lt;w:sz-cs w:val=&quot;28&quot;/&gt;&lt;/w:rPr&gt;&lt;m:t&gt;в€ћ&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A3483E">
        <w:rPr>
          <w:rFonts w:ascii="Times New Roman" w:eastAsiaTheme="minorEastAsia" w:hAnsi="Times New Roman"/>
          <w:sz w:val="28"/>
          <w:szCs w:val="28"/>
        </w:rPr>
        <w:fldChar w:fldCharType="end"/>
      </w:r>
      <w:r w:rsidR="009C3300" w:rsidRPr="00A3483E">
        <w:rPr>
          <w:rFonts w:ascii="Times New Roman" w:hAnsi="Times New Roman"/>
          <w:sz w:val="28"/>
          <w:szCs w:val="28"/>
        </w:rPr>
        <w:t>(А)=1,56</w:t>
      </w:r>
    </w:p>
    <w:p w:rsidR="009C3300" w:rsidRPr="00A3483E" w:rsidRDefault="00A3483E" w:rsidP="00A3133C">
      <w:pPr>
        <w:widowControl w:val="0"/>
        <w:shd w:val="clear" w:color="000000" w:fill="auto"/>
        <w:spacing w:after="0" w:line="360" w:lineRule="auto"/>
        <w:ind w:firstLine="709"/>
        <w:jc w:val="both"/>
        <w:rPr>
          <w:rFonts w:ascii="Times New Roman" w:hAnsi="Times New Roman"/>
          <w:sz w:val="28"/>
          <w:szCs w:val="28"/>
        </w:rPr>
      </w:pPr>
      <w:r w:rsidRPr="00A3483E">
        <w:rPr>
          <w:rFonts w:ascii="Times New Roman" w:eastAsiaTheme="minorEastAsia" w:hAnsi="Times New Roman"/>
          <w:sz w:val="28"/>
          <w:szCs w:val="28"/>
        </w:rPr>
        <w:fldChar w:fldCharType="begin"/>
      </w:r>
      <w:r w:rsidRPr="00A3483E">
        <w:rPr>
          <w:rFonts w:ascii="Times New Roman" w:eastAsiaTheme="minorEastAsia" w:hAnsi="Times New Roman"/>
          <w:sz w:val="28"/>
          <w:szCs w:val="28"/>
        </w:rPr>
        <w:instrText xml:space="preserve"> QUOTE </w:instrText>
      </w:r>
      <w:r w:rsidR="00DE3D68">
        <w:rPr>
          <w:position w:val="-11"/>
        </w:rPr>
        <w:pict>
          <v:shape id="_x0000_i1031" type="#_x0000_t75" style="width:34.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65776&quot;/&gt;&lt;wsp:rsid wsp:val=&quot;00011AB3&quot;/&gt;&lt;wsp:rsid wsp:val=&quot;00027821&quot;/&gt;&lt;wsp:rsid wsp:val=&quot;000350B6&quot;/&gt;&lt;wsp:rsid wsp:val=&quot;000836C3&quot;/&gt;&lt;wsp:rsid wsp:val=&quot;00083EF2&quot;/&gt;&lt;wsp:rsid wsp:val=&quot;00113368&quot;/&gt;&lt;wsp:rsid wsp:val=&quot;0012089F&quot;/&gt;&lt;wsp:rsid wsp:val=&quot;001443A6&quot;/&gt;&lt;wsp:rsid wsp:val=&quot;00195162&quot;/&gt;&lt;wsp:rsid wsp:val=&quot;001A18B7&quot;/&gt;&lt;wsp:rsid wsp:val=&quot;001C309B&quot;/&gt;&lt;wsp:rsid wsp:val=&quot;001D55D5&quot;/&gt;&lt;wsp:rsid wsp:val=&quot;0020190D&quot;/&gt;&lt;wsp:rsid wsp:val=&quot;00227218&quot;/&gt;&lt;wsp:rsid wsp:val=&quot;00230E90&quot;/&gt;&lt;wsp:rsid wsp:val=&quot;00254AE3&quot;/&gt;&lt;wsp:rsid wsp:val=&quot;002621EA&quot;/&gt;&lt;wsp:rsid wsp:val=&quot;002B05C9&quot;/&gt;&lt;wsp:rsid wsp:val=&quot;002B0D2F&quot;/&gt;&lt;wsp:rsid wsp:val=&quot;002B34B4&quot;/&gt;&lt;wsp:rsid wsp:val=&quot;002B67C8&quot;/&gt;&lt;wsp:rsid wsp:val=&quot;002F3D96&quot;/&gt;&lt;wsp:rsid wsp:val=&quot;002F445F&quot;/&gt;&lt;wsp:rsid wsp:val=&quot;003449E2&quot;/&gt;&lt;wsp:rsid wsp:val=&quot;003572EA&quot;/&gt;&lt;wsp:rsid wsp:val=&quot;003811E3&quot;/&gt;&lt;wsp:rsid wsp:val=&quot;003955E0&quot;/&gt;&lt;wsp:rsid wsp:val=&quot;003962B3&quot;/&gt;&lt;wsp:rsid wsp:val=&quot;003B7E8E&quot;/&gt;&lt;wsp:rsid wsp:val=&quot;003F116B&quot;/&gt;&lt;wsp:rsid wsp:val=&quot;003F4AB1&quot;/&gt;&lt;wsp:rsid wsp:val=&quot;00407234&quot;/&gt;&lt;wsp:rsid wsp:val=&quot;00421DC2&quot;/&gt;&lt;wsp:rsid wsp:val=&quot;00423FC1&quot;/&gt;&lt;wsp:rsid wsp:val=&quot;0045031C&quot;/&gt;&lt;wsp:rsid wsp:val=&quot;00465F43&quot;/&gt;&lt;wsp:rsid wsp:val=&quot;00496EB2&quot;/&gt;&lt;wsp:rsid wsp:val=&quot;004A2D77&quot;/&gt;&lt;wsp:rsid wsp:val=&quot;004F4DAA&quot;/&gt;&lt;wsp:rsid wsp:val=&quot;004F70E0&quot;/&gt;&lt;wsp:rsid wsp:val=&quot;00513A7F&quot;/&gt;&lt;wsp:rsid wsp:val=&quot;0054223D&quot;/&gt;&lt;wsp:rsid wsp:val=&quot;00595FF0&quot;/&gt;&lt;wsp:rsid wsp:val=&quot;005E6A57&quot;/&gt;&lt;wsp:rsid wsp:val=&quot;005F35DB&quot;/&gt;&lt;wsp:rsid wsp:val=&quot;006074E4&quot;/&gt;&lt;wsp:rsid wsp:val=&quot;0065371B&quot;/&gt;&lt;wsp:rsid wsp:val=&quot;00667545&quot;/&gt;&lt;wsp:rsid wsp:val=&quot;00693588&quot;/&gt;&lt;wsp:rsid wsp:val=&quot;006A72B7&quot;/&gt;&lt;wsp:rsid wsp:val=&quot;006D1D96&quot;/&gt;&lt;wsp:rsid wsp:val=&quot;006D6D1D&quot;/&gt;&lt;wsp:rsid wsp:val=&quot;006E2527&quot;/&gt;&lt;wsp:rsid wsp:val=&quot;00716721&quot;/&gt;&lt;wsp:rsid wsp:val=&quot;00733395&quot;/&gt;&lt;wsp:rsid wsp:val=&quot;007A2A0D&quot;/&gt;&lt;wsp:rsid wsp:val=&quot;007A5235&quot;/&gt;&lt;wsp:rsid wsp:val=&quot;007B0EDE&quot;/&gt;&lt;wsp:rsid wsp:val=&quot;007B4799&quot;/&gt;&lt;wsp:rsid wsp:val=&quot;007B4A80&quot;/&gt;&lt;wsp:rsid wsp:val=&quot;007D0813&quot;/&gt;&lt;wsp:rsid wsp:val=&quot;00874A0D&quot;/&gt;&lt;wsp:rsid wsp:val=&quot;008A6413&quot;/&gt;&lt;wsp:rsid wsp:val=&quot;008F0088&quot;/&gt;&lt;wsp:rsid wsp:val=&quot;009024E2&quot;/&gt;&lt;wsp:rsid wsp:val=&quot;00903BD9&quot;/&gt;&lt;wsp:rsid wsp:val=&quot;00904723&quot;/&gt;&lt;wsp:rsid wsp:val=&quot;0091058C&quot;/&gt;&lt;wsp:rsid wsp:val=&quot;0091292B&quot;/&gt;&lt;wsp:rsid wsp:val=&quot;00941A90&quot;/&gt;&lt;wsp:rsid wsp:val=&quot;00941FF5&quot;/&gt;&lt;wsp:rsid wsp:val=&quot;0096096E&quot;/&gt;&lt;wsp:rsid wsp:val=&quot;009659C0&quot;/&gt;&lt;wsp:rsid wsp:val=&quot;00966612&quot;/&gt;&lt;wsp:rsid wsp:val=&quot;009C1E71&quot;/&gt;&lt;wsp:rsid wsp:val=&quot;009C3300&quot;/&gt;&lt;wsp:rsid wsp:val=&quot;009C4E8C&quot;/&gt;&lt;wsp:rsid wsp:val=&quot;009F676E&quot;/&gt;&lt;wsp:rsid wsp:val=&quot;00A3133C&quot;/&gt;&lt;wsp:rsid wsp:val=&quot;00A3483E&quot;/&gt;&lt;wsp:rsid wsp:val=&quot;00A84541&quot;/&gt;&lt;wsp:rsid wsp:val=&quot;00AE0E62&quot;/&gt;&lt;wsp:rsid wsp:val=&quot;00AF3009&quot;/&gt;&lt;wsp:rsid wsp:val=&quot;00B226FC&quot;/&gt;&lt;wsp:rsid wsp:val=&quot;00B23297&quot;/&gt;&lt;wsp:rsid wsp:val=&quot;00B40255&quot;/&gt;&lt;wsp:rsid wsp:val=&quot;00B60F9B&quot;/&gt;&lt;wsp:rsid wsp:val=&quot;00BC17ED&quot;/&gt;&lt;wsp:rsid wsp:val=&quot;00C002E9&quot;/&gt;&lt;wsp:rsid wsp:val=&quot;00C348D9&quot;/&gt;&lt;wsp:rsid wsp:val=&quot;00C73E14&quot;/&gt;&lt;wsp:rsid wsp:val=&quot;00C82911&quot;/&gt;&lt;wsp:rsid wsp:val=&quot;00CA274A&quot;/&gt;&lt;wsp:rsid wsp:val=&quot;00CA3753&quot;/&gt;&lt;wsp:rsid wsp:val=&quot;00CD24B0&quot;/&gt;&lt;wsp:rsid wsp:val=&quot;00CD691D&quot;/&gt;&lt;wsp:rsid wsp:val=&quot;00CF0262&quot;/&gt;&lt;wsp:rsid wsp:val=&quot;00D103EB&quot;/&gt;&lt;wsp:rsid wsp:val=&quot;00D1414C&quot;/&gt;&lt;wsp:rsid wsp:val=&quot;00D41C40&quot;/&gt;&lt;wsp:rsid wsp:val=&quot;00D5150C&quot;/&gt;&lt;wsp:rsid wsp:val=&quot;00D517E0&quot;/&gt;&lt;wsp:rsid wsp:val=&quot;00D541B7&quot;/&gt;&lt;wsp:rsid wsp:val=&quot;00D54279&quot;/&gt;&lt;wsp:rsid wsp:val=&quot;00D65776&quot;/&gt;&lt;wsp:rsid wsp:val=&quot;00D72A09&quot;/&gt;&lt;wsp:rsid wsp:val=&quot;00D81D8F&quot;/&gt;&lt;wsp:rsid wsp:val=&quot;00DA0A5B&quot;/&gt;&lt;wsp:rsid wsp:val=&quot;00DC2898&quot;/&gt;&lt;wsp:rsid wsp:val=&quot;00DD0F1A&quot;/&gt;&lt;wsp:rsid wsp:val=&quot;00DD10D4&quot;/&gt;&lt;wsp:rsid wsp:val=&quot;00DD3329&quot;/&gt;&lt;wsp:rsid wsp:val=&quot;00E04053&quot;/&gt;&lt;wsp:rsid wsp:val=&quot;00E11B1F&quot;/&gt;&lt;wsp:rsid wsp:val=&quot;00E11C44&quot;/&gt;&lt;wsp:rsid wsp:val=&quot;00E30A0E&quot;/&gt;&lt;wsp:rsid wsp:val=&quot;00E44804&quot;/&gt;&lt;wsp:rsid wsp:val=&quot;00E46FE9&quot;/&gt;&lt;wsp:rsid wsp:val=&quot;00E712D6&quot;/&gt;&lt;wsp:rsid wsp:val=&quot;00E83406&quot;/&gt;&lt;wsp:rsid wsp:val=&quot;00E91A39&quot;/&gt;&lt;wsp:rsid wsp:val=&quot;00ED113C&quot;/&gt;&lt;wsp:rsid wsp:val=&quot;00F11E16&quot;/&gt;&lt;wsp:rsid wsp:val=&quot;00F26F4C&quot;/&gt;&lt;wsp:rsid wsp:val=&quot;00F32FB9&quot;/&gt;&lt;wsp:rsid wsp:val=&quot;00F42500&quot;/&gt;&lt;wsp:rsid wsp:val=&quot;00F5146F&quot;/&gt;&lt;wsp:rsid wsp:val=&quot;00F80A0A&quot;/&gt;&lt;wsp:rsid wsp:val=&quot;00F82398&quot;/&gt;&lt;wsp:rsid wsp:val=&quot;00FF42C6&quot;/&gt;&lt;/wsp:rsids&gt;&lt;/w:docPr&gt;&lt;w:body&gt;&lt;wx:sect&gt;&lt;w:p wsp:rsidR=&quot;00000000&quot; wsp:rsidRDefault=&quot;00ED113C&quot; wsp:rsidP=&quot;00ED113C&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NPV&lt;/m:t&gt;&lt;/m:r&gt;&lt;m:ctrlPr&gt;&lt;w:rPr&gt;&lt;w:rFonts w:ascii=&quot;Cambria Math&quot; w:h-ansi=&quot;Cambria Math&quot;/&gt;&lt;wx:font wx:val=&quot;Cambria Math&quot;/&gt;&lt;w:i/&gt;&lt;w:sz w:val=&quot;28&quot;/&gt;&lt;w:lang w:val=&quot;EN-US&quot;/&gt;&lt;/w:rPr&gt;&lt;/m:ctrlPr&gt;&lt;/m:e&gt;&lt;m:sub&gt;&lt;m:r&gt;&lt;w:rPr&gt;&lt;w:rFonts w:ascii=&quot;Cambria Math&quot; w:h-ansi=&quot;Cambria Math&quot;/&gt;&lt;wx:font wx:val=&quot;Cambria Math&quot;/&gt;&lt;w:i/&gt;&lt;w:sz w:val=&quot;28&quot;/&gt;&lt;w:sz-cs w:val=&quot;28&quot;/&gt;&lt;/w:rPr&gt;&lt;m:t&gt;в€ћ&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A3483E">
        <w:rPr>
          <w:rFonts w:ascii="Times New Roman" w:eastAsiaTheme="minorEastAsia" w:hAnsi="Times New Roman"/>
          <w:sz w:val="28"/>
          <w:szCs w:val="28"/>
        </w:rPr>
        <w:instrText xml:space="preserve"> </w:instrText>
      </w:r>
      <w:r w:rsidRPr="00A3483E">
        <w:rPr>
          <w:rFonts w:ascii="Times New Roman" w:eastAsiaTheme="minorEastAsia" w:hAnsi="Times New Roman"/>
          <w:sz w:val="28"/>
          <w:szCs w:val="28"/>
        </w:rPr>
        <w:fldChar w:fldCharType="separate"/>
      </w:r>
      <w:r w:rsidR="00DE3D68">
        <w:rPr>
          <w:position w:val="-11"/>
        </w:rPr>
        <w:pict>
          <v:shape id="_x0000_i1032" type="#_x0000_t75" style="width:34.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65776&quot;/&gt;&lt;wsp:rsid wsp:val=&quot;00011AB3&quot;/&gt;&lt;wsp:rsid wsp:val=&quot;00027821&quot;/&gt;&lt;wsp:rsid wsp:val=&quot;000350B6&quot;/&gt;&lt;wsp:rsid wsp:val=&quot;000836C3&quot;/&gt;&lt;wsp:rsid wsp:val=&quot;00083EF2&quot;/&gt;&lt;wsp:rsid wsp:val=&quot;00113368&quot;/&gt;&lt;wsp:rsid wsp:val=&quot;0012089F&quot;/&gt;&lt;wsp:rsid wsp:val=&quot;001443A6&quot;/&gt;&lt;wsp:rsid wsp:val=&quot;00195162&quot;/&gt;&lt;wsp:rsid wsp:val=&quot;001A18B7&quot;/&gt;&lt;wsp:rsid wsp:val=&quot;001C309B&quot;/&gt;&lt;wsp:rsid wsp:val=&quot;001D55D5&quot;/&gt;&lt;wsp:rsid wsp:val=&quot;0020190D&quot;/&gt;&lt;wsp:rsid wsp:val=&quot;00227218&quot;/&gt;&lt;wsp:rsid wsp:val=&quot;00230E90&quot;/&gt;&lt;wsp:rsid wsp:val=&quot;00254AE3&quot;/&gt;&lt;wsp:rsid wsp:val=&quot;002621EA&quot;/&gt;&lt;wsp:rsid wsp:val=&quot;002B05C9&quot;/&gt;&lt;wsp:rsid wsp:val=&quot;002B0D2F&quot;/&gt;&lt;wsp:rsid wsp:val=&quot;002B34B4&quot;/&gt;&lt;wsp:rsid wsp:val=&quot;002B67C8&quot;/&gt;&lt;wsp:rsid wsp:val=&quot;002F3D96&quot;/&gt;&lt;wsp:rsid wsp:val=&quot;002F445F&quot;/&gt;&lt;wsp:rsid wsp:val=&quot;003449E2&quot;/&gt;&lt;wsp:rsid wsp:val=&quot;003572EA&quot;/&gt;&lt;wsp:rsid wsp:val=&quot;003811E3&quot;/&gt;&lt;wsp:rsid wsp:val=&quot;003955E0&quot;/&gt;&lt;wsp:rsid wsp:val=&quot;003962B3&quot;/&gt;&lt;wsp:rsid wsp:val=&quot;003B7E8E&quot;/&gt;&lt;wsp:rsid wsp:val=&quot;003F116B&quot;/&gt;&lt;wsp:rsid wsp:val=&quot;003F4AB1&quot;/&gt;&lt;wsp:rsid wsp:val=&quot;00407234&quot;/&gt;&lt;wsp:rsid wsp:val=&quot;00421DC2&quot;/&gt;&lt;wsp:rsid wsp:val=&quot;00423FC1&quot;/&gt;&lt;wsp:rsid wsp:val=&quot;0045031C&quot;/&gt;&lt;wsp:rsid wsp:val=&quot;00465F43&quot;/&gt;&lt;wsp:rsid wsp:val=&quot;00496EB2&quot;/&gt;&lt;wsp:rsid wsp:val=&quot;004A2D77&quot;/&gt;&lt;wsp:rsid wsp:val=&quot;004F4DAA&quot;/&gt;&lt;wsp:rsid wsp:val=&quot;004F70E0&quot;/&gt;&lt;wsp:rsid wsp:val=&quot;00513A7F&quot;/&gt;&lt;wsp:rsid wsp:val=&quot;0054223D&quot;/&gt;&lt;wsp:rsid wsp:val=&quot;00595FF0&quot;/&gt;&lt;wsp:rsid wsp:val=&quot;005E6A57&quot;/&gt;&lt;wsp:rsid wsp:val=&quot;005F35DB&quot;/&gt;&lt;wsp:rsid wsp:val=&quot;006074E4&quot;/&gt;&lt;wsp:rsid wsp:val=&quot;0065371B&quot;/&gt;&lt;wsp:rsid wsp:val=&quot;00667545&quot;/&gt;&lt;wsp:rsid wsp:val=&quot;00693588&quot;/&gt;&lt;wsp:rsid wsp:val=&quot;006A72B7&quot;/&gt;&lt;wsp:rsid wsp:val=&quot;006D1D96&quot;/&gt;&lt;wsp:rsid wsp:val=&quot;006D6D1D&quot;/&gt;&lt;wsp:rsid wsp:val=&quot;006E2527&quot;/&gt;&lt;wsp:rsid wsp:val=&quot;00716721&quot;/&gt;&lt;wsp:rsid wsp:val=&quot;00733395&quot;/&gt;&lt;wsp:rsid wsp:val=&quot;007A2A0D&quot;/&gt;&lt;wsp:rsid wsp:val=&quot;007A5235&quot;/&gt;&lt;wsp:rsid wsp:val=&quot;007B0EDE&quot;/&gt;&lt;wsp:rsid wsp:val=&quot;007B4799&quot;/&gt;&lt;wsp:rsid wsp:val=&quot;007B4A80&quot;/&gt;&lt;wsp:rsid wsp:val=&quot;007D0813&quot;/&gt;&lt;wsp:rsid wsp:val=&quot;00874A0D&quot;/&gt;&lt;wsp:rsid wsp:val=&quot;008A6413&quot;/&gt;&lt;wsp:rsid wsp:val=&quot;008F0088&quot;/&gt;&lt;wsp:rsid wsp:val=&quot;009024E2&quot;/&gt;&lt;wsp:rsid wsp:val=&quot;00903BD9&quot;/&gt;&lt;wsp:rsid wsp:val=&quot;00904723&quot;/&gt;&lt;wsp:rsid wsp:val=&quot;0091058C&quot;/&gt;&lt;wsp:rsid wsp:val=&quot;0091292B&quot;/&gt;&lt;wsp:rsid wsp:val=&quot;00941A90&quot;/&gt;&lt;wsp:rsid wsp:val=&quot;00941FF5&quot;/&gt;&lt;wsp:rsid wsp:val=&quot;0096096E&quot;/&gt;&lt;wsp:rsid wsp:val=&quot;009659C0&quot;/&gt;&lt;wsp:rsid wsp:val=&quot;00966612&quot;/&gt;&lt;wsp:rsid wsp:val=&quot;009C1E71&quot;/&gt;&lt;wsp:rsid wsp:val=&quot;009C3300&quot;/&gt;&lt;wsp:rsid wsp:val=&quot;009C4E8C&quot;/&gt;&lt;wsp:rsid wsp:val=&quot;009F676E&quot;/&gt;&lt;wsp:rsid wsp:val=&quot;00A3133C&quot;/&gt;&lt;wsp:rsid wsp:val=&quot;00A3483E&quot;/&gt;&lt;wsp:rsid wsp:val=&quot;00A84541&quot;/&gt;&lt;wsp:rsid wsp:val=&quot;00AE0E62&quot;/&gt;&lt;wsp:rsid wsp:val=&quot;00AF3009&quot;/&gt;&lt;wsp:rsid wsp:val=&quot;00B226FC&quot;/&gt;&lt;wsp:rsid wsp:val=&quot;00B23297&quot;/&gt;&lt;wsp:rsid wsp:val=&quot;00B40255&quot;/&gt;&lt;wsp:rsid wsp:val=&quot;00B60F9B&quot;/&gt;&lt;wsp:rsid wsp:val=&quot;00BC17ED&quot;/&gt;&lt;wsp:rsid wsp:val=&quot;00C002E9&quot;/&gt;&lt;wsp:rsid wsp:val=&quot;00C348D9&quot;/&gt;&lt;wsp:rsid wsp:val=&quot;00C73E14&quot;/&gt;&lt;wsp:rsid wsp:val=&quot;00C82911&quot;/&gt;&lt;wsp:rsid wsp:val=&quot;00CA274A&quot;/&gt;&lt;wsp:rsid wsp:val=&quot;00CA3753&quot;/&gt;&lt;wsp:rsid wsp:val=&quot;00CD24B0&quot;/&gt;&lt;wsp:rsid wsp:val=&quot;00CD691D&quot;/&gt;&lt;wsp:rsid wsp:val=&quot;00CF0262&quot;/&gt;&lt;wsp:rsid wsp:val=&quot;00D103EB&quot;/&gt;&lt;wsp:rsid wsp:val=&quot;00D1414C&quot;/&gt;&lt;wsp:rsid wsp:val=&quot;00D41C40&quot;/&gt;&lt;wsp:rsid wsp:val=&quot;00D5150C&quot;/&gt;&lt;wsp:rsid wsp:val=&quot;00D517E0&quot;/&gt;&lt;wsp:rsid wsp:val=&quot;00D541B7&quot;/&gt;&lt;wsp:rsid wsp:val=&quot;00D54279&quot;/&gt;&lt;wsp:rsid wsp:val=&quot;00D65776&quot;/&gt;&lt;wsp:rsid wsp:val=&quot;00D72A09&quot;/&gt;&lt;wsp:rsid wsp:val=&quot;00D81D8F&quot;/&gt;&lt;wsp:rsid wsp:val=&quot;00DA0A5B&quot;/&gt;&lt;wsp:rsid wsp:val=&quot;00DC2898&quot;/&gt;&lt;wsp:rsid wsp:val=&quot;00DD0F1A&quot;/&gt;&lt;wsp:rsid wsp:val=&quot;00DD10D4&quot;/&gt;&lt;wsp:rsid wsp:val=&quot;00DD3329&quot;/&gt;&lt;wsp:rsid wsp:val=&quot;00E04053&quot;/&gt;&lt;wsp:rsid wsp:val=&quot;00E11B1F&quot;/&gt;&lt;wsp:rsid wsp:val=&quot;00E11C44&quot;/&gt;&lt;wsp:rsid wsp:val=&quot;00E30A0E&quot;/&gt;&lt;wsp:rsid wsp:val=&quot;00E44804&quot;/&gt;&lt;wsp:rsid wsp:val=&quot;00E46FE9&quot;/&gt;&lt;wsp:rsid wsp:val=&quot;00E712D6&quot;/&gt;&lt;wsp:rsid wsp:val=&quot;00E83406&quot;/&gt;&lt;wsp:rsid wsp:val=&quot;00E91A39&quot;/&gt;&lt;wsp:rsid wsp:val=&quot;00ED113C&quot;/&gt;&lt;wsp:rsid wsp:val=&quot;00F11E16&quot;/&gt;&lt;wsp:rsid wsp:val=&quot;00F26F4C&quot;/&gt;&lt;wsp:rsid wsp:val=&quot;00F32FB9&quot;/&gt;&lt;wsp:rsid wsp:val=&quot;00F42500&quot;/&gt;&lt;wsp:rsid wsp:val=&quot;00F5146F&quot;/&gt;&lt;wsp:rsid wsp:val=&quot;00F80A0A&quot;/&gt;&lt;wsp:rsid wsp:val=&quot;00F82398&quot;/&gt;&lt;wsp:rsid wsp:val=&quot;00FF42C6&quot;/&gt;&lt;/wsp:rsids&gt;&lt;/w:docPr&gt;&lt;w:body&gt;&lt;wx:sect&gt;&lt;w:p wsp:rsidR=&quot;00000000&quot; wsp:rsidRDefault=&quot;00ED113C&quot; wsp:rsidP=&quot;00ED113C&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NPV&lt;/m:t&gt;&lt;/m:r&gt;&lt;m:ctrlPr&gt;&lt;w:rPr&gt;&lt;w:rFonts w:ascii=&quot;Cambria Math&quot; w:h-ansi=&quot;Cambria Math&quot;/&gt;&lt;wx:font wx:val=&quot;Cambria Math&quot;/&gt;&lt;w:i/&gt;&lt;w:sz w:val=&quot;28&quot;/&gt;&lt;w:lang w:val=&quot;EN-US&quot;/&gt;&lt;/w:rPr&gt;&lt;/m:ctrlPr&gt;&lt;/m:e&gt;&lt;m:sub&gt;&lt;m:r&gt;&lt;w:rPr&gt;&lt;w:rFonts w:ascii=&quot;Cambria Math&quot; w:h-ansi=&quot;Cambria Math&quot;/&gt;&lt;wx:font wx:val=&quot;Cambria Math&quot;/&gt;&lt;w:i/&gt;&lt;w:sz w:val=&quot;28&quot;/&gt;&lt;w:sz-cs w:val=&quot;28&quot;/&gt;&lt;/w:rPr&gt;&lt;m:t&gt;в€ћ&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A3483E">
        <w:rPr>
          <w:rFonts w:ascii="Times New Roman" w:eastAsiaTheme="minorEastAsia" w:hAnsi="Times New Roman"/>
          <w:sz w:val="28"/>
          <w:szCs w:val="28"/>
        </w:rPr>
        <w:fldChar w:fldCharType="end"/>
      </w:r>
      <w:r w:rsidR="009C3300" w:rsidRPr="00A3483E">
        <w:rPr>
          <w:rFonts w:ascii="Times New Roman" w:hAnsi="Times New Roman"/>
          <w:sz w:val="28"/>
          <w:szCs w:val="28"/>
        </w:rPr>
        <w:t>(Б)=9,58</w:t>
      </w:r>
    </w:p>
    <w:p w:rsidR="009C3300" w:rsidRPr="00A3483E" w:rsidRDefault="00A3483E" w:rsidP="00A3133C">
      <w:pPr>
        <w:widowControl w:val="0"/>
        <w:shd w:val="clear" w:color="000000" w:fill="auto"/>
        <w:spacing w:after="0" w:line="360" w:lineRule="auto"/>
        <w:ind w:firstLine="709"/>
        <w:jc w:val="both"/>
        <w:rPr>
          <w:rFonts w:ascii="Times New Roman" w:hAnsi="Times New Roman"/>
          <w:sz w:val="28"/>
          <w:szCs w:val="28"/>
        </w:rPr>
      </w:pPr>
      <w:r w:rsidRPr="00A3483E">
        <w:rPr>
          <w:rFonts w:ascii="Times New Roman" w:eastAsiaTheme="minorEastAsia" w:hAnsi="Times New Roman"/>
          <w:sz w:val="28"/>
          <w:szCs w:val="28"/>
        </w:rPr>
        <w:fldChar w:fldCharType="begin"/>
      </w:r>
      <w:r w:rsidRPr="00A3483E">
        <w:rPr>
          <w:rFonts w:ascii="Times New Roman" w:eastAsiaTheme="minorEastAsia" w:hAnsi="Times New Roman"/>
          <w:sz w:val="28"/>
          <w:szCs w:val="28"/>
        </w:rPr>
        <w:instrText xml:space="preserve"> QUOTE </w:instrText>
      </w:r>
      <w:r w:rsidR="00DE3D68">
        <w:rPr>
          <w:position w:val="-11"/>
        </w:rPr>
        <w:pict>
          <v:shape id="_x0000_i1033" type="#_x0000_t75" style="width:34.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65776&quot;/&gt;&lt;wsp:rsid wsp:val=&quot;00011AB3&quot;/&gt;&lt;wsp:rsid wsp:val=&quot;00027821&quot;/&gt;&lt;wsp:rsid wsp:val=&quot;000350B6&quot;/&gt;&lt;wsp:rsid wsp:val=&quot;000836C3&quot;/&gt;&lt;wsp:rsid wsp:val=&quot;00083EF2&quot;/&gt;&lt;wsp:rsid wsp:val=&quot;00113368&quot;/&gt;&lt;wsp:rsid wsp:val=&quot;0012089F&quot;/&gt;&lt;wsp:rsid wsp:val=&quot;001443A6&quot;/&gt;&lt;wsp:rsid wsp:val=&quot;00195162&quot;/&gt;&lt;wsp:rsid wsp:val=&quot;001A18B7&quot;/&gt;&lt;wsp:rsid wsp:val=&quot;001C309B&quot;/&gt;&lt;wsp:rsid wsp:val=&quot;001D55D5&quot;/&gt;&lt;wsp:rsid wsp:val=&quot;0020190D&quot;/&gt;&lt;wsp:rsid wsp:val=&quot;00216EE1&quot;/&gt;&lt;wsp:rsid wsp:val=&quot;00227218&quot;/&gt;&lt;wsp:rsid wsp:val=&quot;00230E90&quot;/&gt;&lt;wsp:rsid wsp:val=&quot;00254AE3&quot;/&gt;&lt;wsp:rsid wsp:val=&quot;002621EA&quot;/&gt;&lt;wsp:rsid wsp:val=&quot;002B05C9&quot;/&gt;&lt;wsp:rsid wsp:val=&quot;002B0D2F&quot;/&gt;&lt;wsp:rsid wsp:val=&quot;002B34B4&quot;/&gt;&lt;wsp:rsid wsp:val=&quot;002B67C8&quot;/&gt;&lt;wsp:rsid wsp:val=&quot;002F3D96&quot;/&gt;&lt;wsp:rsid wsp:val=&quot;002F445F&quot;/&gt;&lt;wsp:rsid wsp:val=&quot;003449E2&quot;/&gt;&lt;wsp:rsid wsp:val=&quot;003572EA&quot;/&gt;&lt;wsp:rsid wsp:val=&quot;003811E3&quot;/&gt;&lt;wsp:rsid wsp:val=&quot;003955E0&quot;/&gt;&lt;wsp:rsid wsp:val=&quot;003962B3&quot;/&gt;&lt;wsp:rsid wsp:val=&quot;003B7E8E&quot;/&gt;&lt;wsp:rsid wsp:val=&quot;003F116B&quot;/&gt;&lt;wsp:rsid wsp:val=&quot;003F4AB1&quot;/&gt;&lt;wsp:rsid wsp:val=&quot;00407234&quot;/&gt;&lt;wsp:rsid wsp:val=&quot;00421DC2&quot;/&gt;&lt;wsp:rsid wsp:val=&quot;00423FC1&quot;/&gt;&lt;wsp:rsid wsp:val=&quot;0045031C&quot;/&gt;&lt;wsp:rsid wsp:val=&quot;00465F43&quot;/&gt;&lt;wsp:rsid wsp:val=&quot;00496EB2&quot;/&gt;&lt;wsp:rsid wsp:val=&quot;004A2D77&quot;/&gt;&lt;wsp:rsid wsp:val=&quot;004F4DAA&quot;/&gt;&lt;wsp:rsid wsp:val=&quot;004F70E0&quot;/&gt;&lt;wsp:rsid wsp:val=&quot;00513A7F&quot;/&gt;&lt;wsp:rsid wsp:val=&quot;0054223D&quot;/&gt;&lt;wsp:rsid wsp:val=&quot;00595FF0&quot;/&gt;&lt;wsp:rsid wsp:val=&quot;005E6A57&quot;/&gt;&lt;wsp:rsid wsp:val=&quot;005F35DB&quot;/&gt;&lt;wsp:rsid wsp:val=&quot;006074E4&quot;/&gt;&lt;wsp:rsid wsp:val=&quot;0065371B&quot;/&gt;&lt;wsp:rsid wsp:val=&quot;00667545&quot;/&gt;&lt;wsp:rsid wsp:val=&quot;00693588&quot;/&gt;&lt;wsp:rsid wsp:val=&quot;006A72B7&quot;/&gt;&lt;wsp:rsid wsp:val=&quot;006D1D96&quot;/&gt;&lt;wsp:rsid wsp:val=&quot;006D6D1D&quot;/&gt;&lt;wsp:rsid wsp:val=&quot;006E2527&quot;/&gt;&lt;wsp:rsid wsp:val=&quot;00716721&quot;/&gt;&lt;wsp:rsid wsp:val=&quot;00733395&quot;/&gt;&lt;wsp:rsid wsp:val=&quot;007A2A0D&quot;/&gt;&lt;wsp:rsid wsp:val=&quot;007A5235&quot;/&gt;&lt;wsp:rsid wsp:val=&quot;007B0EDE&quot;/&gt;&lt;wsp:rsid wsp:val=&quot;007B4799&quot;/&gt;&lt;wsp:rsid wsp:val=&quot;007B4A80&quot;/&gt;&lt;wsp:rsid wsp:val=&quot;007D0813&quot;/&gt;&lt;wsp:rsid wsp:val=&quot;00874A0D&quot;/&gt;&lt;wsp:rsid wsp:val=&quot;008A6413&quot;/&gt;&lt;wsp:rsid wsp:val=&quot;008F0088&quot;/&gt;&lt;wsp:rsid wsp:val=&quot;009024E2&quot;/&gt;&lt;wsp:rsid wsp:val=&quot;00903BD9&quot;/&gt;&lt;wsp:rsid wsp:val=&quot;00904723&quot;/&gt;&lt;wsp:rsid wsp:val=&quot;0091058C&quot;/&gt;&lt;wsp:rsid wsp:val=&quot;0091292B&quot;/&gt;&lt;wsp:rsid wsp:val=&quot;00941A90&quot;/&gt;&lt;wsp:rsid wsp:val=&quot;00941FF5&quot;/&gt;&lt;wsp:rsid wsp:val=&quot;0096096E&quot;/&gt;&lt;wsp:rsid wsp:val=&quot;009659C0&quot;/&gt;&lt;wsp:rsid wsp:val=&quot;00966612&quot;/&gt;&lt;wsp:rsid wsp:val=&quot;009C1E71&quot;/&gt;&lt;wsp:rsid wsp:val=&quot;009C3300&quot;/&gt;&lt;wsp:rsid wsp:val=&quot;009C4E8C&quot;/&gt;&lt;wsp:rsid wsp:val=&quot;009F676E&quot;/&gt;&lt;wsp:rsid wsp:val=&quot;00A3133C&quot;/&gt;&lt;wsp:rsid wsp:val=&quot;00A3483E&quot;/&gt;&lt;wsp:rsid wsp:val=&quot;00A84541&quot;/&gt;&lt;wsp:rsid wsp:val=&quot;00AE0E62&quot;/&gt;&lt;wsp:rsid wsp:val=&quot;00AF3009&quot;/&gt;&lt;wsp:rsid wsp:val=&quot;00B226FC&quot;/&gt;&lt;wsp:rsid wsp:val=&quot;00B23297&quot;/&gt;&lt;wsp:rsid wsp:val=&quot;00B40255&quot;/&gt;&lt;wsp:rsid wsp:val=&quot;00B60F9B&quot;/&gt;&lt;wsp:rsid wsp:val=&quot;00BC17ED&quot;/&gt;&lt;wsp:rsid wsp:val=&quot;00C002E9&quot;/&gt;&lt;wsp:rsid wsp:val=&quot;00C348D9&quot;/&gt;&lt;wsp:rsid wsp:val=&quot;00C73E14&quot;/&gt;&lt;wsp:rsid wsp:val=&quot;00C82911&quot;/&gt;&lt;wsp:rsid wsp:val=&quot;00CA274A&quot;/&gt;&lt;wsp:rsid wsp:val=&quot;00CA3753&quot;/&gt;&lt;wsp:rsid wsp:val=&quot;00CD24B0&quot;/&gt;&lt;wsp:rsid wsp:val=&quot;00CD691D&quot;/&gt;&lt;wsp:rsid wsp:val=&quot;00CF0262&quot;/&gt;&lt;wsp:rsid wsp:val=&quot;00D103EB&quot;/&gt;&lt;wsp:rsid wsp:val=&quot;00D1414C&quot;/&gt;&lt;wsp:rsid wsp:val=&quot;00D41C40&quot;/&gt;&lt;wsp:rsid wsp:val=&quot;00D5150C&quot;/&gt;&lt;wsp:rsid wsp:val=&quot;00D517E0&quot;/&gt;&lt;wsp:rsid wsp:val=&quot;00D541B7&quot;/&gt;&lt;wsp:rsid wsp:val=&quot;00D54279&quot;/&gt;&lt;wsp:rsid wsp:val=&quot;00D65776&quot;/&gt;&lt;wsp:rsid wsp:val=&quot;00D72A09&quot;/&gt;&lt;wsp:rsid wsp:val=&quot;00D81D8F&quot;/&gt;&lt;wsp:rsid wsp:val=&quot;00DA0A5B&quot;/&gt;&lt;wsp:rsid wsp:val=&quot;00DC2898&quot;/&gt;&lt;wsp:rsid wsp:val=&quot;00DD0F1A&quot;/&gt;&lt;wsp:rsid wsp:val=&quot;00DD10D4&quot;/&gt;&lt;wsp:rsid wsp:val=&quot;00DD3329&quot;/&gt;&lt;wsp:rsid wsp:val=&quot;00E04053&quot;/&gt;&lt;wsp:rsid wsp:val=&quot;00E11B1F&quot;/&gt;&lt;wsp:rsid wsp:val=&quot;00E11C44&quot;/&gt;&lt;wsp:rsid wsp:val=&quot;00E30A0E&quot;/&gt;&lt;wsp:rsid wsp:val=&quot;00E44804&quot;/&gt;&lt;wsp:rsid wsp:val=&quot;00E46FE9&quot;/&gt;&lt;wsp:rsid wsp:val=&quot;00E712D6&quot;/&gt;&lt;wsp:rsid wsp:val=&quot;00E83406&quot;/&gt;&lt;wsp:rsid wsp:val=&quot;00E91A39&quot;/&gt;&lt;wsp:rsid wsp:val=&quot;00F11E16&quot;/&gt;&lt;wsp:rsid wsp:val=&quot;00F26F4C&quot;/&gt;&lt;wsp:rsid wsp:val=&quot;00F32FB9&quot;/&gt;&lt;wsp:rsid wsp:val=&quot;00F42500&quot;/&gt;&lt;wsp:rsid wsp:val=&quot;00F5146F&quot;/&gt;&lt;wsp:rsid wsp:val=&quot;00F80A0A&quot;/&gt;&lt;wsp:rsid wsp:val=&quot;00F82398&quot;/&gt;&lt;wsp:rsid wsp:val=&quot;00FF42C6&quot;/&gt;&lt;/wsp:rsids&gt;&lt;/w:docPr&gt;&lt;w:body&gt;&lt;wx:sect&gt;&lt;w:p wsp:rsidR=&quot;00000000&quot; wsp:rsidRDefault=&quot;00216EE1&quot; wsp:rsidP=&quot;00216EE1&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NPV&lt;/m:t&gt;&lt;/m:r&gt;&lt;m:ctrlPr&gt;&lt;w:rPr&gt;&lt;w:rFonts w:ascii=&quot;Cambria Math&quot; w:h-ansi=&quot;Cambria Math&quot;/&gt;&lt;wx:font wx:val=&quot;Cambria Math&quot;/&gt;&lt;w:i/&gt;&lt;w:sz w:val=&quot;28&quot;/&gt;&lt;w:lang w:val=&quot;EN-US&quot;/&gt;&lt;/w:rPr&gt;&lt;/m:ctrlPr&gt;&lt;/m:e&gt;&lt;m:sub&gt;&lt;m:r&gt;&lt;w:rPr&gt;&lt;w:rFonts w:ascii=&quot;Cambria Math&quot; w:h-ansi=&quot;Cambria Math&quot;/&gt;&lt;wx:font wx:val=&quot;Cambria Math&quot;/&gt;&lt;w:i/&gt;&lt;w:sz w:val=&quot;28&quot;/&gt;&lt;w:sz-cs w:val=&quot;28&quot;/&gt;&lt;/w:rPr&gt;&lt;m:t&gt;в€ћ&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A3483E">
        <w:rPr>
          <w:rFonts w:ascii="Times New Roman" w:eastAsiaTheme="minorEastAsia" w:hAnsi="Times New Roman"/>
          <w:sz w:val="28"/>
          <w:szCs w:val="28"/>
        </w:rPr>
        <w:instrText xml:space="preserve"> </w:instrText>
      </w:r>
      <w:r w:rsidRPr="00A3483E">
        <w:rPr>
          <w:rFonts w:ascii="Times New Roman" w:eastAsiaTheme="minorEastAsia" w:hAnsi="Times New Roman"/>
          <w:sz w:val="28"/>
          <w:szCs w:val="28"/>
        </w:rPr>
        <w:fldChar w:fldCharType="separate"/>
      </w:r>
      <w:r w:rsidR="00DE3D68">
        <w:rPr>
          <w:position w:val="-11"/>
        </w:rPr>
        <w:pict>
          <v:shape id="_x0000_i1034" type="#_x0000_t75" style="width:34.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65776&quot;/&gt;&lt;wsp:rsid wsp:val=&quot;00011AB3&quot;/&gt;&lt;wsp:rsid wsp:val=&quot;00027821&quot;/&gt;&lt;wsp:rsid wsp:val=&quot;000350B6&quot;/&gt;&lt;wsp:rsid wsp:val=&quot;000836C3&quot;/&gt;&lt;wsp:rsid wsp:val=&quot;00083EF2&quot;/&gt;&lt;wsp:rsid wsp:val=&quot;00113368&quot;/&gt;&lt;wsp:rsid wsp:val=&quot;0012089F&quot;/&gt;&lt;wsp:rsid wsp:val=&quot;001443A6&quot;/&gt;&lt;wsp:rsid wsp:val=&quot;00195162&quot;/&gt;&lt;wsp:rsid wsp:val=&quot;001A18B7&quot;/&gt;&lt;wsp:rsid wsp:val=&quot;001C309B&quot;/&gt;&lt;wsp:rsid wsp:val=&quot;001D55D5&quot;/&gt;&lt;wsp:rsid wsp:val=&quot;0020190D&quot;/&gt;&lt;wsp:rsid wsp:val=&quot;00216EE1&quot;/&gt;&lt;wsp:rsid wsp:val=&quot;00227218&quot;/&gt;&lt;wsp:rsid wsp:val=&quot;00230E90&quot;/&gt;&lt;wsp:rsid wsp:val=&quot;00254AE3&quot;/&gt;&lt;wsp:rsid wsp:val=&quot;002621EA&quot;/&gt;&lt;wsp:rsid wsp:val=&quot;002B05C9&quot;/&gt;&lt;wsp:rsid wsp:val=&quot;002B0D2F&quot;/&gt;&lt;wsp:rsid wsp:val=&quot;002B34B4&quot;/&gt;&lt;wsp:rsid wsp:val=&quot;002B67C8&quot;/&gt;&lt;wsp:rsid wsp:val=&quot;002F3D96&quot;/&gt;&lt;wsp:rsid wsp:val=&quot;002F445F&quot;/&gt;&lt;wsp:rsid wsp:val=&quot;003449E2&quot;/&gt;&lt;wsp:rsid wsp:val=&quot;003572EA&quot;/&gt;&lt;wsp:rsid wsp:val=&quot;003811E3&quot;/&gt;&lt;wsp:rsid wsp:val=&quot;003955E0&quot;/&gt;&lt;wsp:rsid wsp:val=&quot;003962B3&quot;/&gt;&lt;wsp:rsid wsp:val=&quot;003B7E8E&quot;/&gt;&lt;wsp:rsid wsp:val=&quot;003F116B&quot;/&gt;&lt;wsp:rsid wsp:val=&quot;003F4AB1&quot;/&gt;&lt;wsp:rsid wsp:val=&quot;00407234&quot;/&gt;&lt;wsp:rsid wsp:val=&quot;00421DC2&quot;/&gt;&lt;wsp:rsid wsp:val=&quot;00423FC1&quot;/&gt;&lt;wsp:rsid wsp:val=&quot;0045031C&quot;/&gt;&lt;wsp:rsid wsp:val=&quot;00465F43&quot;/&gt;&lt;wsp:rsid wsp:val=&quot;00496EB2&quot;/&gt;&lt;wsp:rsid wsp:val=&quot;004A2D77&quot;/&gt;&lt;wsp:rsid wsp:val=&quot;004F4DAA&quot;/&gt;&lt;wsp:rsid wsp:val=&quot;004F70E0&quot;/&gt;&lt;wsp:rsid wsp:val=&quot;00513A7F&quot;/&gt;&lt;wsp:rsid wsp:val=&quot;0054223D&quot;/&gt;&lt;wsp:rsid wsp:val=&quot;00595FF0&quot;/&gt;&lt;wsp:rsid wsp:val=&quot;005E6A57&quot;/&gt;&lt;wsp:rsid wsp:val=&quot;005F35DB&quot;/&gt;&lt;wsp:rsid wsp:val=&quot;006074E4&quot;/&gt;&lt;wsp:rsid wsp:val=&quot;0065371B&quot;/&gt;&lt;wsp:rsid wsp:val=&quot;00667545&quot;/&gt;&lt;wsp:rsid wsp:val=&quot;00693588&quot;/&gt;&lt;wsp:rsid wsp:val=&quot;006A72B7&quot;/&gt;&lt;wsp:rsid wsp:val=&quot;006D1D96&quot;/&gt;&lt;wsp:rsid wsp:val=&quot;006D6D1D&quot;/&gt;&lt;wsp:rsid wsp:val=&quot;006E2527&quot;/&gt;&lt;wsp:rsid wsp:val=&quot;00716721&quot;/&gt;&lt;wsp:rsid wsp:val=&quot;00733395&quot;/&gt;&lt;wsp:rsid wsp:val=&quot;007A2A0D&quot;/&gt;&lt;wsp:rsid wsp:val=&quot;007A5235&quot;/&gt;&lt;wsp:rsid wsp:val=&quot;007B0EDE&quot;/&gt;&lt;wsp:rsid wsp:val=&quot;007B4799&quot;/&gt;&lt;wsp:rsid wsp:val=&quot;007B4A80&quot;/&gt;&lt;wsp:rsid wsp:val=&quot;007D0813&quot;/&gt;&lt;wsp:rsid wsp:val=&quot;00874A0D&quot;/&gt;&lt;wsp:rsid wsp:val=&quot;008A6413&quot;/&gt;&lt;wsp:rsid wsp:val=&quot;008F0088&quot;/&gt;&lt;wsp:rsid wsp:val=&quot;009024E2&quot;/&gt;&lt;wsp:rsid wsp:val=&quot;00903BD9&quot;/&gt;&lt;wsp:rsid wsp:val=&quot;00904723&quot;/&gt;&lt;wsp:rsid wsp:val=&quot;0091058C&quot;/&gt;&lt;wsp:rsid wsp:val=&quot;0091292B&quot;/&gt;&lt;wsp:rsid wsp:val=&quot;00941A90&quot;/&gt;&lt;wsp:rsid wsp:val=&quot;00941FF5&quot;/&gt;&lt;wsp:rsid wsp:val=&quot;0096096E&quot;/&gt;&lt;wsp:rsid wsp:val=&quot;009659C0&quot;/&gt;&lt;wsp:rsid wsp:val=&quot;00966612&quot;/&gt;&lt;wsp:rsid wsp:val=&quot;009C1E71&quot;/&gt;&lt;wsp:rsid wsp:val=&quot;009C3300&quot;/&gt;&lt;wsp:rsid wsp:val=&quot;009C4E8C&quot;/&gt;&lt;wsp:rsid wsp:val=&quot;009F676E&quot;/&gt;&lt;wsp:rsid wsp:val=&quot;00A3133C&quot;/&gt;&lt;wsp:rsid wsp:val=&quot;00A3483E&quot;/&gt;&lt;wsp:rsid wsp:val=&quot;00A84541&quot;/&gt;&lt;wsp:rsid wsp:val=&quot;00AE0E62&quot;/&gt;&lt;wsp:rsid wsp:val=&quot;00AF3009&quot;/&gt;&lt;wsp:rsid wsp:val=&quot;00B226FC&quot;/&gt;&lt;wsp:rsid wsp:val=&quot;00B23297&quot;/&gt;&lt;wsp:rsid wsp:val=&quot;00B40255&quot;/&gt;&lt;wsp:rsid wsp:val=&quot;00B60F9B&quot;/&gt;&lt;wsp:rsid wsp:val=&quot;00BC17ED&quot;/&gt;&lt;wsp:rsid wsp:val=&quot;00C002E9&quot;/&gt;&lt;wsp:rsid wsp:val=&quot;00C348D9&quot;/&gt;&lt;wsp:rsid wsp:val=&quot;00C73E14&quot;/&gt;&lt;wsp:rsid wsp:val=&quot;00C82911&quot;/&gt;&lt;wsp:rsid wsp:val=&quot;00CA274A&quot;/&gt;&lt;wsp:rsid wsp:val=&quot;00CA3753&quot;/&gt;&lt;wsp:rsid wsp:val=&quot;00CD24B0&quot;/&gt;&lt;wsp:rsid wsp:val=&quot;00CD691D&quot;/&gt;&lt;wsp:rsid wsp:val=&quot;00CF0262&quot;/&gt;&lt;wsp:rsid wsp:val=&quot;00D103EB&quot;/&gt;&lt;wsp:rsid wsp:val=&quot;00D1414C&quot;/&gt;&lt;wsp:rsid wsp:val=&quot;00D41C40&quot;/&gt;&lt;wsp:rsid wsp:val=&quot;00D5150C&quot;/&gt;&lt;wsp:rsid wsp:val=&quot;00D517E0&quot;/&gt;&lt;wsp:rsid wsp:val=&quot;00D541B7&quot;/&gt;&lt;wsp:rsid wsp:val=&quot;00D54279&quot;/&gt;&lt;wsp:rsid wsp:val=&quot;00D65776&quot;/&gt;&lt;wsp:rsid wsp:val=&quot;00D72A09&quot;/&gt;&lt;wsp:rsid wsp:val=&quot;00D81D8F&quot;/&gt;&lt;wsp:rsid wsp:val=&quot;00DA0A5B&quot;/&gt;&lt;wsp:rsid wsp:val=&quot;00DC2898&quot;/&gt;&lt;wsp:rsid wsp:val=&quot;00DD0F1A&quot;/&gt;&lt;wsp:rsid wsp:val=&quot;00DD10D4&quot;/&gt;&lt;wsp:rsid wsp:val=&quot;00DD3329&quot;/&gt;&lt;wsp:rsid wsp:val=&quot;00E04053&quot;/&gt;&lt;wsp:rsid wsp:val=&quot;00E11B1F&quot;/&gt;&lt;wsp:rsid wsp:val=&quot;00E11C44&quot;/&gt;&lt;wsp:rsid wsp:val=&quot;00E30A0E&quot;/&gt;&lt;wsp:rsid wsp:val=&quot;00E44804&quot;/&gt;&lt;wsp:rsid wsp:val=&quot;00E46FE9&quot;/&gt;&lt;wsp:rsid wsp:val=&quot;00E712D6&quot;/&gt;&lt;wsp:rsid wsp:val=&quot;00E83406&quot;/&gt;&lt;wsp:rsid wsp:val=&quot;00E91A39&quot;/&gt;&lt;wsp:rsid wsp:val=&quot;00F11E16&quot;/&gt;&lt;wsp:rsid wsp:val=&quot;00F26F4C&quot;/&gt;&lt;wsp:rsid wsp:val=&quot;00F32FB9&quot;/&gt;&lt;wsp:rsid wsp:val=&quot;00F42500&quot;/&gt;&lt;wsp:rsid wsp:val=&quot;00F5146F&quot;/&gt;&lt;wsp:rsid wsp:val=&quot;00F80A0A&quot;/&gt;&lt;wsp:rsid wsp:val=&quot;00F82398&quot;/&gt;&lt;wsp:rsid wsp:val=&quot;00FF42C6&quot;/&gt;&lt;/wsp:rsids&gt;&lt;/w:docPr&gt;&lt;w:body&gt;&lt;wx:sect&gt;&lt;w:p wsp:rsidR=&quot;00000000&quot; wsp:rsidRDefault=&quot;00216EE1&quot; wsp:rsidP=&quot;00216EE1&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NPV&lt;/m:t&gt;&lt;/m:r&gt;&lt;m:ctrlPr&gt;&lt;w:rPr&gt;&lt;w:rFonts w:ascii=&quot;Cambria Math&quot; w:h-ansi=&quot;Cambria Math&quot;/&gt;&lt;wx:font wx:val=&quot;Cambria Math&quot;/&gt;&lt;w:i/&gt;&lt;w:sz w:val=&quot;28&quot;/&gt;&lt;w:lang w:val=&quot;EN-US&quot;/&gt;&lt;/w:rPr&gt;&lt;/m:ctrlPr&gt;&lt;/m:e&gt;&lt;m:sub&gt;&lt;m:r&gt;&lt;w:rPr&gt;&lt;w:rFonts w:ascii=&quot;Cambria Math&quot; w:h-ansi=&quot;Cambria Math&quot;/&gt;&lt;wx:font wx:val=&quot;Cambria Math&quot;/&gt;&lt;w:i/&gt;&lt;w:sz w:val=&quot;28&quot;/&gt;&lt;w:sz-cs w:val=&quot;28&quot;/&gt;&lt;/w:rPr&gt;&lt;m:t&gt;в€ћ&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A3483E">
        <w:rPr>
          <w:rFonts w:ascii="Times New Roman" w:eastAsiaTheme="minorEastAsia" w:hAnsi="Times New Roman"/>
          <w:sz w:val="28"/>
          <w:szCs w:val="28"/>
        </w:rPr>
        <w:fldChar w:fldCharType="end"/>
      </w:r>
      <w:r w:rsidR="009C3300" w:rsidRPr="00A3483E">
        <w:rPr>
          <w:rFonts w:ascii="Times New Roman" w:hAnsi="Times New Roman"/>
          <w:sz w:val="28"/>
          <w:szCs w:val="28"/>
        </w:rPr>
        <w:t>(В)=20,12</w:t>
      </w:r>
    </w:p>
    <w:p w:rsidR="009C3300" w:rsidRPr="00A3133C" w:rsidRDefault="000836C3" w:rsidP="00A3133C">
      <w:pPr>
        <w:widowControl w:val="0"/>
        <w:shd w:val="clear" w:color="000000" w:fill="auto"/>
        <w:spacing w:after="0" w:line="360" w:lineRule="auto"/>
        <w:ind w:firstLine="709"/>
        <w:jc w:val="both"/>
        <w:rPr>
          <w:rFonts w:ascii="Times New Roman" w:hAnsi="Times New Roman"/>
          <w:sz w:val="28"/>
          <w:szCs w:val="28"/>
        </w:rPr>
      </w:pPr>
      <w:r w:rsidRPr="00A3133C">
        <w:rPr>
          <w:rFonts w:ascii="Times New Roman" w:hAnsi="Times New Roman"/>
          <w:sz w:val="28"/>
          <w:szCs w:val="28"/>
        </w:rPr>
        <w:t>Итак, проект В является оптимальным.</w:t>
      </w:r>
    </w:p>
    <w:p w:rsidR="000836C3" w:rsidRPr="00A3133C" w:rsidRDefault="000836C3" w:rsidP="00A3133C">
      <w:pPr>
        <w:widowControl w:val="0"/>
        <w:shd w:val="clear" w:color="000000" w:fill="auto"/>
        <w:spacing w:after="0" w:line="360" w:lineRule="auto"/>
        <w:ind w:firstLine="709"/>
        <w:jc w:val="both"/>
        <w:rPr>
          <w:rFonts w:ascii="Times New Roman" w:hAnsi="Times New Roman"/>
          <w:sz w:val="28"/>
          <w:szCs w:val="28"/>
        </w:rPr>
      </w:pPr>
    </w:p>
    <w:p w:rsidR="00A3133C" w:rsidRDefault="00A3133C">
      <w:pPr>
        <w:rPr>
          <w:rFonts w:ascii="Times New Roman" w:hAnsi="Times New Roman"/>
          <w:sz w:val="28"/>
          <w:szCs w:val="28"/>
        </w:rPr>
      </w:pPr>
      <w:r>
        <w:rPr>
          <w:rFonts w:ascii="Times New Roman" w:hAnsi="Times New Roman"/>
          <w:sz w:val="28"/>
          <w:szCs w:val="28"/>
        </w:rPr>
        <w:br w:type="page"/>
      </w:r>
    </w:p>
    <w:p w:rsidR="00733395" w:rsidRPr="00A3133C" w:rsidRDefault="00733395" w:rsidP="00A3133C">
      <w:pPr>
        <w:widowControl w:val="0"/>
        <w:shd w:val="clear" w:color="000000" w:fill="auto"/>
        <w:spacing w:after="0" w:line="360" w:lineRule="auto"/>
        <w:ind w:firstLine="709"/>
        <w:jc w:val="both"/>
        <w:rPr>
          <w:rFonts w:ascii="Times New Roman" w:hAnsi="Times New Roman"/>
          <w:b/>
          <w:sz w:val="28"/>
          <w:szCs w:val="28"/>
        </w:rPr>
      </w:pPr>
      <w:r w:rsidRPr="00A3133C">
        <w:rPr>
          <w:rFonts w:ascii="Times New Roman" w:hAnsi="Times New Roman"/>
          <w:b/>
          <w:sz w:val="28"/>
          <w:szCs w:val="28"/>
        </w:rPr>
        <w:t>Литература</w:t>
      </w:r>
    </w:p>
    <w:p w:rsidR="00A3133C" w:rsidRDefault="00A3133C" w:rsidP="00A3133C">
      <w:pPr>
        <w:widowControl w:val="0"/>
        <w:shd w:val="clear" w:color="000000" w:fill="auto"/>
        <w:spacing w:after="0" w:line="360" w:lineRule="auto"/>
        <w:ind w:firstLine="709"/>
        <w:jc w:val="both"/>
        <w:rPr>
          <w:rFonts w:ascii="Times New Roman" w:hAnsi="Times New Roman"/>
          <w:sz w:val="28"/>
          <w:szCs w:val="28"/>
        </w:rPr>
      </w:pPr>
    </w:p>
    <w:p w:rsidR="00F26F4C" w:rsidRPr="00A3133C" w:rsidRDefault="00595FF0" w:rsidP="00A3133C">
      <w:pPr>
        <w:widowControl w:val="0"/>
        <w:shd w:val="clear" w:color="000000" w:fill="auto"/>
        <w:spacing w:after="0" w:line="360" w:lineRule="auto"/>
        <w:rPr>
          <w:rFonts w:ascii="Times New Roman" w:hAnsi="Times New Roman"/>
          <w:sz w:val="28"/>
          <w:szCs w:val="28"/>
        </w:rPr>
      </w:pPr>
      <w:r w:rsidRPr="00A3133C">
        <w:rPr>
          <w:rFonts w:ascii="Times New Roman" w:hAnsi="Times New Roman"/>
          <w:sz w:val="28"/>
          <w:szCs w:val="28"/>
        </w:rPr>
        <w:t>1</w:t>
      </w:r>
      <w:r w:rsidR="00F82398" w:rsidRPr="00A3133C">
        <w:rPr>
          <w:rFonts w:ascii="Times New Roman" w:hAnsi="Times New Roman"/>
          <w:sz w:val="28"/>
          <w:szCs w:val="28"/>
        </w:rPr>
        <w:t>. Бочаров В. В. Инвестиционный менеджмент. - СПб: Питер, 2002.</w:t>
      </w:r>
    </w:p>
    <w:p w:rsidR="00F26F4C" w:rsidRPr="00A3133C" w:rsidRDefault="00595FF0" w:rsidP="00A3133C">
      <w:pPr>
        <w:widowControl w:val="0"/>
        <w:shd w:val="clear" w:color="000000" w:fill="auto"/>
        <w:spacing w:after="0" w:line="360" w:lineRule="auto"/>
        <w:rPr>
          <w:rFonts w:ascii="Times New Roman" w:hAnsi="Times New Roman"/>
          <w:sz w:val="28"/>
          <w:szCs w:val="28"/>
        </w:rPr>
      </w:pPr>
      <w:r w:rsidRPr="00A3133C">
        <w:rPr>
          <w:rFonts w:ascii="Times New Roman" w:hAnsi="Times New Roman"/>
          <w:sz w:val="28"/>
          <w:szCs w:val="28"/>
        </w:rPr>
        <w:t>2</w:t>
      </w:r>
      <w:r w:rsidR="00F26F4C" w:rsidRPr="00A3133C">
        <w:rPr>
          <w:rFonts w:ascii="Times New Roman" w:hAnsi="Times New Roman"/>
          <w:sz w:val="28"/>
          <w:szCs w:val="28"/>
        </w:rPr>
        <w:t>. Гришина И.В. Региональные особенности инвестирования в современной России: методология и результаты исследования // Финансы и кредит. - 2006. - №6.</w:t>
      </w:r>
    </w:p>
    <w:p w:rsidR="005F35DB" w:rsidRPr="00A3133C" w:rsidRDefault="00595FF0" w:rsidP="00A3133C">
      <w:pPr>
        <w:widowControl w:val="0"/>
        <w:shd w:val="clear" w:color="000000" w:fill="auto"/>
        <w:spacing w:after="0" w:line="360" w:lineRule="auto"/>
        <w:rPr>
          <w:rFonts w:ascii="Times New Roman" w:hAnsi="Times New Roman"/>
          <w:bCs/>
          <w:sz w:val="28"/>
          <w:szCs w:val="28"/>
        </w:rPr>
      </w:pPr>
      <w:r w:rsidRPr="00A3133C">
        <w:rPr>
          <w:rFonts w:ascii="Times New Roman" w:hAnsi="Times New Roman"/>
          <w:bCs/>
          <w:sz w:val="28"/>
          <w:szCs w:val="28"/>
        </w:rPr>
        <w:t>3</w:t>
      </w:r>
      <w:r w:rsidR="005F35DB" w:rsidRPr="00A3133C">
        <w:rPr>
          <w:rFonts w:ascii="Times New Roman" w:hAnsi="Times New Roman"/>
          <w:bCs/>
          <w:sz w:val="28"/>
          <w:szCs w:val="28"/>
        </w:rPr>
        <w:t xml:space="preserve">. Ковалев В.В. </w:t>
      </w:r>
      <w:r w:rsidR="005F35DB" w:rsidRPr="00A3133C">
        <w:rPr>
          <w:rFonts w:ascii="Times New Roman" w:hAnsi="Times New Roman"/>
          <w:sz w:val="28"/>
          <w:szCs w:val="28"/>
        </w:rPr>
        <w:t>Введение в финансовый менеджмент. - М.: Финансы и статистика,</w:t>
      </w:r>
      <w:r w:rsidR="005F35DB" w:rsidRPr="00A3133C">
        <w:rPr>
          <w:rFonts w:ascii="Times New Roman" w:hAnsi="Times New Roman"/>
          <w:bCs/>
          <w:sz w:val="28"/>
          <w:szCs w:val="28"/>
        </w:rPr>
        <w:t xml:space="preserve"> </w:t>
      </w:r>
      <w:r w:rsidR="005F35DB" w:rsidRPr="00A3133C">
        <w:rPr>
          <w:rFonts w:ascii="Times New Roman" w:hAnsi="Times New Roman"/>
          <w:sz w:val="28"/>
          <w:szCs w:val="28"/>
        </w:rPr>
        <w:t>2004.</w:t>
      </w:r>
    </w:p>
    <w:p w:rsidR="00F26F4C" w:rsidRPr="00A3133C" w:rsidRDefault="00595FF0" w:rsidP="00A3133C">
      <w:pPr>
        <w:widowControl w:val="0"/>
        <w:shd w:val="clear" w:color="000000" w:fill="auto"/>
        <w:spacing w:after="0" w:line="360" w:lineRule="auto"/>
        <w:rPr>
          <w:rFonts w:ascii="Times New Roman" w:hAnsi="Times New Roman"/>
          <w:sz w:val="28"/>
          <w:szCs w:val="28"/>
        </w:rPr>
      </w:pPr>
      <w:r w:rsidRPr="00A3133C">
        <w:rPr>
          <w:rFonts w:ascii="Times New Roman" w:hAnsi="Times New Roman"/>
          <w:iCs/>
          <w:sz w:val="28"/>
          <w:szCs w:val="28"/>
        </w:rPr>
        <w:t>4</w:t>
      </w:r>
      <w:r w:rsidRPr="00A3133C">
        <w:rPr>
          <w:rFonts w:ascii="Times New Roman" w:hAnsi="Times New Roman"/>
          <w:i/>
          <w:iCs/>
          <w:sz w:val="28"/>
          <w:szCs w:val="28"/>
        </w:rPr>
        <w:t xml:space="preserve">. </w:t>
      </w:r>
      <w:r w:rsidRPr="00A3133C">
        <w:rPr>
          <w:rFonts w:ascii="Times New Roman" w:hAnsi="Times New Roman"/>
          <w:iCs/>
          <w:sz w:val="28"/>
          <w:szCs w:val="28"/>
        </w:rPr>
        <w:t>Попков В. П., Семенов В. П</w:t>
      </w:r>
      <w:r w:rsidRPr="00A3133C">
        <w:rPr>
          <w:rFonts w:ascii="Times New Roman" w:hAnsi="Times New Roman"/>
          <w:i/>
          <w:iCs/>
          <w:sz w:val="28"/>
          <w:szCs w:val="28"/>
        </w:rPr>
        <w:t xml:space="preserve">. </w:t>
      </w:r>
      <w:r w:rsidRPr="00A3133C">
        <w:rPr>
          <w:rFonts w:ascii="Times New Roman" w:hAnsi="Times New Roman"/>
          <w:sz w:val="28"/>
          <w:szCs w:val="28"/>
        </w:rPr>
        <w:t>Организация и финансирование инвестиций. — СПб: Питер, 2001.</w:t>
      </w:r>
    </w:p>
    <w:p w:rsidR="00595FF0" w:rsidRPr="00A3133C" w:rsidRDefault="00595FF0" w:rsidP="00A3133C">
      <w:pPr>
        <w:widowControl w:val="0"/>
        <w:shd w:val="clear" w:color="000000" w:fill="auto"/>
        <w:spacing w:after="0" w:line="360" w:lineRule="auto"/>
        <w:rPr>
          <w:rFonts w:ascii="Times New Roman" w:hAnsi="Times New Roman"/>
          <w:sz w:val="28"/>
          <w:szCs w:val="28"/>
        </w:rPr>
      </w:pPr>
      <w:r w:rsidRPr="00A3133C">
        <w:rPr>
          <w:rFonts w:ascii="Times New Roman" w:hAnsi="Times New Roman"/>
          <w:sz w:val="28"/>
          <w:szCs w:val="28"/>
        </w:rPr>
        <w:t>5. Рынок ценных бумаг: Учебник / Под ред. В.А. Галанова, А.И. Басова. - 2-е изд., перераб. и доп. - М.: Финансы и статистика, 2006.</w:t>
      </w:r>
    </w:p>
    <w:p w:rsidR="00595FF0" w:rsidRPr="00A3133C" w:rsidRDefault="00595FF0" w:rsidP="00A3133C">
      <w:pPr>
        <w:widowControl w:val="0"/>
        <w:shd w:val="clear" w:color="000000" w:fill="auto"/>
        <w:spacing w:after="0" w:line="360" w:lineRule="auto"/>
        <w:rPr>
          <w:rFonts w:ascii="Times New Roman" w:hAnsi="Times New Roman"/>
          <w:sz w:val="28"/>
          <w:szCs w:val="28"/>
        </w:rPr>
      </w:pPr>
      <w:r w:rsidRPr="00A3133C">
        <w:rPr>
          <w:rFonts w:ascii="Times New Roman" w:hAnsi="Times New Roman"/>
          <w:sz w:val="28"/>
          <w:szCs w:val="28"/>
        </w:rPr>
        <w:t>6. Рынок ценных бумаг и биржевое дело: Учебник для вузов / Под ред. проф. О. И. Дегтяревой, проф. Н. М. Коршунова, проф. Е. Ф. Жукова. - М.: ЮНИТИ - ДАНА, 2002.</w:t>
      </w:r>
      <w:bookmarkStart w:id="0" w:name="_GoBack"/>
      <w:bookmarkEnd w:id="0"/>
    </w:p>
    <w:sectPr w:rsidR="00595FF0" w:rsidRPr="00A3133C" w:rsidSect="00A3133C">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D93" w:rsidRDefault="00496D93" w:rsidP="001A18B7">
      <w:pPr>
        <w:spacing w:after="0" w:line="240" w:lineRule="auto"/>
      </w:pPr>
      <w:r>
        <w:separator/>
      </w:r>
    </w:p>
  </w:endnote>
  <w:endnote w:type="continuationSeparator" w:id="0">
    <w:p w:rsidR="00496D93" w:rsidRDefault="00496D93" w:rsidP="001A1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D93" w:rsidRDefault="00496D93" w:rsidP="001A18B7">
      <w:pPr>
        <w:spacing w:after="0" w:line="240" w:lineRule="auto"/>
      </w:pPr>
      <w:r>
        <w:separator/>
      </w:r>
    </w:p>
  </w:footnote>
  <w:footnote w:type="continuationSeparator" w:id="0">
    <w:p w:rsidR="00496D93" w:rsidRDefault="00496D93" w:rsidP="001A18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7438B"/>
    <w:multiLevelType w:val="multilevel"/>
    <w:tmpl w:val="F586A6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C2F3CB8"/>
    <w:multiLevelType w:val="multilevel"/>
    <w:tmpl w:val="45E0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7F7303"/>
    <w:multiLevelType w:val="multilevel"/>
    <w:tmpl w:val="3904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0B167D"/>
    <w:multiLevelType w:val="multilevel"/>
    <w:tmpl w:val="C776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776"/>
    <w:rsid w:val="00011AB3"/>
    <w:rsid w:val="00027821"/>
    <w:rsid w:val="000350B6"/>
    <w:rsid w:val="000836C3"/>
    <w:rsid w:val="00083EF2"/>
    <w:rsid w:val="00113368"/>
    <w:rsid w:val="0012089F"/>
    <w:rsid w:val="001443A6"/>
    <w:rsid w:val="00195162"/>
    <w:rsid w:val="001A18B7"/>
    <w:rsid w:val="001C309B"/>
    <w:rsid w:val="001D55D5"/>
    <w:rsid w:val="0020190D"/>
    <w:rsid w:val="00227218"/>
    <w:rsid w:val="00230E90"/>
    <w:rsid w:val="00254AE3"/>
    <w:rsid w:val="002621EA"/>
    <w:rsid w:val="002B05C9"/>
    <w:rsid w:val="002B0D2F"/>
    <w:rsid w:val="002B34B4"/>
    <w:rsid w:val="002B67C8"/>
    <w:rsid w:val="002F3D96"/>
    <w:rsid w:val="002F445F"/>
    <w:rsid w:val="003449E2"/>
    <w:rsid w:val="003572EA"/>
    <w:rsid w:val="003811E3"/>
    <w:rsid w:val="003955E0"/>
    <w:rsid w:val="003962B3"/>
    <w:rsid w:val="003B7E8E"/>
    <w:rsid w:val="003F116B"/>
    <w:rsid w:val="003F4AB1"/>
    <w:rsid w:val="00407234"/>
    <w:rsid w:val="00421DC2"/>
    <w:rsid w:val="00423FC1"/>
    <w:rsid w:val="0045031C"/>
    <w:rsid w:val="00465F43"/>
    <w:rsid w:val="00496D93"/>
    <w:rsid w:val="00496EB2"/>
    <w:rsid w:val="004A2D77"/>
    <w:rsid w:val="004F4DAA"/>
    <w:rsid w:val="004F70E0"/>
    <w:rsid w:val="00513A7F"/>
    <w:rsid w:val="0054223D"/>
    <w:rsid w:val="00595FF0"/>
    <w:rsid w:val="005E6A57"/>
    <w:rsid w:val="005F35DB"/>
    <w:rsid w:val="006074E4"/>
    <w:rsid w:val="0065371B"/>
    <w:rsid w:val="00667545"/>
    <w:rsid w:val="00693588"/>
    <w:rsid w:val="006A72B7"/>
    <w:rsid w:val="006D1D96"/>
    <w:rsid w:val="006D6D1D"/>
    <w:rsid w:val="006E2527"/>
    <w:rsid w:val="00716721"/>
    <w:rsid w:val="00733395"/>
    <w:rsid w:val="007A2A0D"/>
    <w:rsid w:val="007A5235"/>
    <w:rsid w:val="007B0EDE"/>
    <w:rsid w:val="007B4799"/>
    <w:rsid w:val="007B4A80"/>
    <w:rsid w:val="007D0813"/>
    <w:rsid w:val="00874A0D"/>
    <w:rsid w:val="008A6413"/>
    <w:rsid w:val="008F0088"/>
    <w:rsid w:val="009024E2"/>
    <w:rsid w:val="00903BD9"/>
    <w:rsid w:val="00904723"/>
    <w:rsid w:val="0091058C"/>
    <w:rsid w:val="0091292B"/>
    <w:rsid w:val="00941A90"/>
    <w:rsid w:val="00941FF5"/>
    <w:rsid w:val="0096096E"/>
    <w:rsid w:val="009659C0"/>
    <w:rsid w:val="00966612"/>
    <w:rsid w:val="009C1E71"/>
    <w:rsid w:val="009C3300"/>
    <w:rsid w:val="009C4E8C"/>
    <w:rsid w:val="009F676E"/>
    <w:rsid w:val="00A3133C"/>
    <w:rsid w:val="00A3483E"/>
    <w:rsid w:val="00A84541"/>
    <w:rsid w:val="00A86574"/>
    <w:rsid w:val="00AE0E62"/>
    <w:rsid w:val="00AF3009"/>
    <w:rsid w:val="00B226FC"/>
    <w:rsid w:val="00B23297"/>
    <w:rsid w:val="00B40255"/>
    <w:rsid w:val="00B60F9B"/>
    <w:rsid w:val="00BC17ED"/>
    <w:rsid w:val="00C002E9"/>
    <w:rsid w:val="00C348D9"/>
    <w:rsid w:val="00C73E14"/>
    <w:rsid w:val="00C82911"/>
    <w:rsid w:val="00CA274A"/>
    <w:rsid w:val="00CA3753"/>
    <w:rsid w:val="00CD24B0"/>
    <w:rsid w:val="00CD691D"/>
    <w:rsid w:val="00CF0262"/>
    <w:rsid w:val="00D103EB"/>
    <w:rsid w:val="00D1414C"/>
    <w:rsid w:val="00D41C40"/>
    <w:rsid w:val="00D5150C"/>
    <w:rsid w:val="00D517E0"/>
    <w:rsid w:val="00D541B7"/>
    <w:rsid w:val="00D54279"/>
    <w:rsid w:val="00D65776"/>
    <w:rsid w:val="00D72A09"/>
    <w:rsid w:val="00D81D8F"/>
    <w:rsid w:val="00DA0A5B"/>
    <w:rsid w:val="00DC2898"/>
    <w:rsid w:val="00DD0F1A"/>
    <w:rsid w:val="00DD10D4"/>
    <w:rsid w:val="00DD3329"/>
    <w:rsid w:val="00DE3D68"/>
    <w:rsid w:val="00E04053"/>
    <w:rsid w:val="00E11B1F"/>
    <w:rsid w:val="00E11C44"/>
    <w:rsid w:val="00E30A0E"/>
    <w:rsid w:val="00E44804"/>
    <w:rsid w:val="00E46FE9"/>
    <w:rsid w:val="00E712D6"/>
    <w:rsid w:val="00E83406"/>
    <w:rsid w:val="00E91A39"/>
    <w:rsid w:val="00F11E16"/>
    <w:rsid w:val="00F26F4C"/>
    <w:rsid w:val="00F32FB9"/>
    <w:rsid w:val="00F42500"/>
    <w:rsid w:val="00F5146F"/>
    <w:rsid w:val="00F80A0A"/>
    <w:rsid w:val="00F82398"/>
    <w:rsid w:val="00FF4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7A2A8D67-846C-4FB0-8BF7-73704448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89F"/>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A18B7"/>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1A18B7"/>
    <w:rPr>
      <w:rFonts w:cs="Times New Roman"/>
    </w:rPr>
  </w:style>
  <w:style w:type="paragraph" w:styleId="a5">
    <w:name w:val="footer"/>
    <w:basedOn w:val="a"/>
    <w:link w:val="a6"/>
    <w:uiPriority w:val="99"/>
    <w:unhideWhenUsed/>
    <w:rsid w:val="001A18B7"/>
    <w:pPr>
      <w:tabs>
        <w:tab w:val="center" w:pos="4677"/>
        <w:tab w:val="right" w:pos="9355"/>
      </w:tabs>
      <w:spacing w:after="0" w:line="240" w:lineRule="auto"/>
    </w:pPr>
  </w:style>
  <w:style w:type="character" w:customStyle="1" w:styleId="a6">
    <w:name w:val="Нижний колонтитул Знак"/>
    <w:link w:val="a5"/>
    <w:uiPriority w:val="99"/>
    <w:locked/>
    <w:rsid w:val="001A18B7"/>
    <w:rPr>
      <w:rFonts w:cs="Times New Roman"/>
    </w:rPr>
  </w:style>
  <w:style w:type="character" w:styleId="a7">
    <w:name w:val="Hyperlink"/>
    <w:uiPriority w:val="99"/>
    <w:unhideWhenUsed/>
    <w:rsid w:val="0065371B"/>
    <w:rPr>
      <w:rFonts w:cs="Times New Roman"/>
      <w:color w:val="0000FF"/>
      <w:u w:val="single"/>
    </w:rPr>
  </w:style>
  <w:style w:type="paragraph" w:styleId="a8">
    <w:name w:val="Normal (Web)"/>
    <w:basedOn w:val="a"/>
    <w:uiPriority w:val="99"/>
    <w:semiHidden/>
    <w:unhideWhenUsed/>
    <w:rsid w:val="00227218"/>
    <w:rPr>
      <w:rFonts w:ascii="Times New Roman" w:hAnsi="Times New Roman"/>
      <w:sz w:val="24"/>
      <w:szCs w:val="24"/>
    </w:rPr>
  </w:style>
  <w:style w:type="table" w:styleId="a9">
    <w:name w:val="Table Grid"/>
    <w:basedOn w:val="a1"/>
    <w:uiPriority w:val="59"/>
    <w:rsid w:val="00513A7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513A7F"/>
    <w:pPr>
      <w:autoSpaceDE w:val="0"/>
      <w:autoSpaceDN w:val="0"/>
      <w:adjustRightInd w:val="0"/>
    </w:pPr>
    <w:rPr>
      <w:rFonts w:ascii="Times New Roman" w:hAnsi="Times New Roman" w:cs="Times New Roman"/>
      <w:color w:val="000000"/>
      <w:sz w:val="24"/>
      <w:szCs w:val="24"/>
      <w:lang w:eastAsia="en-US"/>
    </w:rPr>
  </w:style>
  <w:style w:type="paragraph" w:customStyle="1" w:styleId="aa">
    <w:name w:val="........ ..... . ........"/>
    <w:basedOn w:val="Default"/>
    <w:next w:val="Default"/>
    <w:uiPriority w:val="99"/>
    <w:rsid w:val="00513A7F"/>
    <w:rPr>
      <w:color w:val="auto"/>
    </w:rPr>
  </w:style>
  <w:style w:type="paragraph" w:styleId="ab">
    <w:name w:val="endnote text"/>
    <w:basedOn w:val="a"/>
    <w:link w:val="ac"/>
    <w:uiPriority w:val="99"/>
    <w:semiHidden/>
    <w:unhideWhenUsed/>
    <w:rsid w:val="00513A7F"/>
    <w:pPr>
      <w:spacing w:after="0" w:line="240" w:lineRule="auto"/>
    </w:pPr>
    <w:rPr>
      <w:sz w:val="20"/>
      <w:szCs w:val="20"/>
    </w:rPr>
  </w:style>
  <w:style w:type="character" w:customStyle="1" w:styleId="ac">
    <w:name w:val="Текст концевой сноски Знак"/>
    <w:link w:val="ab"/>
    <w:uiPriority w:val="99"/>
    <w:semiHidden/>
    <w:locked/>
    <w:rsid w:val="00513A7F"/>
    <w:rPr>
      <w:rFonts w:cs="Times New Roman"/>
      <w:sz w:val="20"/>
      <w:szCs w:val="20"/>
    </w:rPr>
  </w:style>
  <w:style w:type="character" w:styleId="ad">
    <w:name w:val="endnote reference"/>
    <w:uiPriority w:val="99"/>
    <w:semiHidden/>
    <w:unhideWhenUsed/>
    <w:rsid w:val="00513A7F"/>
    <w:rPr>
      <w:rFonts w:cs="Times New Roman"/>
      <w:vertAlign w:val="superscript"/>
    </w:rPr>
  </w:style>
  <w:style w:type="character" w:styleId="ae">
    <w:name w:val="Placeholder Text"/>
    <w:uiPriority w:val="99"/>
    <w:semiHidden/>
    <w:rsid w:val="002B67C8"/>
    <w:rPr>
      <w:rFonts w:cs="Times New Roman"/>
      <w:color w:val="808080"/>
    </w:rPr>
  </w:style>
  <w:style w:type="paragraph" w:styleId="af">
    <w:name w:val="Balloon Text"/>
    <w:basedOn w:val="a"/>
    <w:link w:val="af0"/>
    <w:uiPriority w:val="99"/>
    <w:semiHidden/>
    <w:unhideWhenUsed/>
    <w:rsid w:val="002B67C8"/>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2B67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5605">
      <w:marLeft w:val="0"/>
      <w:marRight w:val="0"/>
      <w:marTop w:val="0"/>
      <w:marBottom w:val="0"/>
      <w:divBdr>
        <w:top w:val="none" w:sz="0" w:space="0" w:color="auto"/>
        <w:left w:val="none" w:sz="0" w:space="0" w:color="auto"/>
        <w:bottom w:val="none" w:sz="0" w:space="0" w:color="auto"/>
        <w:right w:val="none" w:sz="0" w:space="0" w:color="auto"/>
      </w:divBdr>
      <w:divsChild>
        <w:div w:id="1003435694">
          <w:marLeft w:val="0"/>
          <w:marRight w:val="0"/>
          <w:marTop w:val="0"/>
          <w:marBottom w:val="0"/>
          <w:divBdr>
            <w:top w:val="none" w:sz="0" w:space="0" w:color="auto"/>
            <w:left w:val="none" w:sz="0" w:space="0" w:color="auto"/>
            <w:bottom w:val="none" w:sz="0" w:space="0" w:color="auto"/>
            <w:right w:val="none" w:sz="0" w:space="0" w:color="auto"/>
          </w:divBdr>
        </w:div>
      </w:divsChild>
    </w:div>
    <w:div w:id="1003435608">
      <w:marLeft w:val="0"/>
      <w:marRight w:val="0"/>
      <w:marTop w:val="0"/>
      <w:marBottom w:val="0"/>
      <w:divBdr>
        <w:top w:val="none" w:sz="0" w:space="0" w:color="auto"/>
        <w:left w:val="none" w:sz="0" w:space="0" w:color="auto"/>
        <w:bottom w:val="none" w:sz="0" w:space="0" w:color="auto"/>
        <w:right w:val="none" w:sz="0" w:space="0" w:color="auto"/>
      </w:divBdr>
      <w:divsChild>
        <w:div w:id="1003435661">
          <w:marLeft w:val="0"/>
          <w:marRight w:val="0"/>
          <w:marTop w:val="0"/>
          <w:marBottom w:val="0"/>
          <w:divBdr>
            <w:top w:val="none" w:sz="0" w:space="0" w:color="auto"/>
            <w:left w:val="none" w:sz="0" w:space="0" w:color="auto"/>
            <w:bottom w:val="none" w:sz="0" w:space="0" w:color="auto"/>
            <w:right w:val="none" w:sz="0" w:space="0" w:color="auto"/>
          </w:divBdr>
          <w:divsChild>
            <w:div w:id="1003435655">
              <w:marLeft w:val="0"/>
              <w:marRight w:val="0"/>
              <w:marTop w:val="0"/>
              <w:marBottom w:val="0"/>
              <w:divBdr>
                <w:top w:val="none" w:sz="0" w:space="0" w:color="auto"/>
                <w:left w:val="none" w:sz="0" w:space="0" w:color="auto"/>
                <w:bottom w:val="none" w:sz="0" w:space="0" w:color="auto"/>
                <w:right w:val="none" w:sz="0" w:space="0" w:color="auto"/>
              </w:divBdr>
              <w:divsChild>
                <w:div w:id="1003435688">
                  <w:marLeft w:val="0"/>
                  <w:marRight w:val="0"/>
                  <w:marTop w:val="0"/>
                  <w:marBottom w:val="0"/>
                  <w:divBdr>
                    <w:top w:val="none" w:sz="0" w:space="0" w:color="auto"/>
                    <w:left w:val="none" w:sz="0" w:space="0" w:color="auto"/>
                    <w:bottom w:val="none" w:sz="0" w:space="0" w:color="auto"/>
                    <w:right w:val="none" w:sz="0" w:space="0" w:color="auto"/>
                  </w:divBdr>
                  <w:divsChild>
                    <w:div w:id="100343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5609">
      <w:marLeft w:val="0"/>
      <w:marRight w:val="0"/>
      <w:marTop w:val="0"/>
      <w:marBottom w:val="0"/>
      <w:divBdr>
        <w:top w:val="none" w:sz="0" w:space="0" w:color="auto"/>
        <w:left w:val="none" w:sz="0" w:space="0" w:color="auto"/>
        <w:bottom w:val="none" w:sz="0" w:space="0" w:color="auto"/>
        <w:right w:val="none" w:sz="0" w:space="0" w:color="auto"/>
      </w:divBdr>
      <w:divsChild>
        <w:div w:id="1003435666">
          <w:marLeft w:val="0"/>
          <w:marRight w:val="0"/>
          <w:marTop w:val="0"/>
          <w:marBottom w:val="0"/>
          <w:divBdr>
            <w:top w:val="none" w:sz="0" w:space="0" w:color="auto"/>
            <w:left w:val="none" w:sz="0" w:space="0" w:color="auto"/>
            <w:bottom w:val="none" w:sz="0" w:space="0" w:color="auto"/>
            <w:right w:val="none" w:sz="0" w:space="0" w:color="auto"/>
          </w:divBdr>
          <w:divsChild>
            <w:div w:id="1003435673">
              <w:marLeft w:val="0"/>
              <w:marRight w:val="0"/>
              <w:marTop w:val="0"/>
              <w:marBottom w:val="0"/>
              <w:divBdr>
                <w:top w:val="none" w:sz="0" w:space="0" w:color="auto"/>
                <w:left w:val="none" w:sz="0" w:space="0" w:color="auto"/>
                <w:bottom w:val="none" w:sz="0" w:space="0" w:color="auto"/>
                <w:right w:val="none" w:sz="0" w:space="0" w:color="auto"/>
              </w:divBdr>
              <w:divsChild>
                <w:div w:id="1003435676">
                  <w:marLeft w:val="0"/>
                  <w:marRight w:val="0"/>
                  <w:marTop w:val="0"/>
                  <w:marBottom w:val="0"/>
                  <w:divBdr>
                    <w:top w:val="none" w:sz="0" w:space="0" w:color="auto"/>
                    <w:left w:val="none" w:sz="0" w:space="0" w:color="auto"/>
                    <w:bottom w:val="none" w:sz="0" w:space="0" w:color="auto"/>
                    <w:right w:val="none" w:sz="0" w:space="0" w:color="auto"/>
                  </w:divBdr>
                  <w:divsChild>
                    <w:div w:id="10034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5610">
      <w:marLeft w:val="0"/>
      <w:marRight w:val="0"/>
      <w:marTop w:val="0"/>
      <w:marBottom w:val="0"/>
      <w:divBdr>
        <w:top w:val="none" w:sz="0" w:space="0" w:color="auto"/>
        <w:left w:val="none" w:sz="0" w:space="0" w:color="auto"/>
        <w:bottom w:val="none" w:sz="0" w:space="0" w:color="auto"/>
        <w:right w:val="none" w:sz="0" w:space="0" w:color="auto"/>
      </w:divBdr>
      <w:divsChild>
        <w:div w:id="1003435631">
          <w:marLeft w:val="0"/>
          <w:marRight w:val="0"/>
          <w:marTop w:val="0"/>
          <w:marBottom w:val="0"/>
          <w:divBdr>
            <w:top w:val="none" w:sz="0" w:space="0" w:color="auto"/>
            <w:left w:val="none" w:sz="0" w:space="0" w:color="auto"/>
            <w:bottom w:val="none" w:sz="0" w:space="0" w:color="auto"/>
            <w:right w:val="none" w:sz="0" w:space="0" w:color="auto"/>
          </w:divBdr>
        </w:div>
      </w:divsChild>
    </w:div>
    <w:div w:id="1003435614">
      <w:marLeft w:val="0"/>
      <w:marRight w:val="0"/>
      <w:marTop w:val="0"/>
      <w:marBottom w:val="0"/>
      <w:divBdr>
        <w:top w:val="none" w:sz="0" w:space="0" w:color="auto"/>
        <w:left w:val="none" w:sz="0" w:space="0" w:color="auto"/>
        <w:bottom w:val="none" w:sz="0" w:space="0" w:color="auto"/>
        <w:right w:val="none" w:sz="0" w:space="0" w:color="auto"/>
      </w:divBdr>
      <w:divsChild>
        <w:div w:id="1003435727">
          <w:marLeft w:val="0"/>
          <w:marRight w:val="0"/>
          <w:marTop w:val="0"/>
          <w:marBottom w:val="0"/>
          <w:divBdr>
            <w:top w:val="none" w:sz="0" w:space="0" w:color="auto"/>
            <w:left w:val="none" w:sz="0" w:space="0" w:color="auto"/>
            <w:bottom w:val="none" w:sz="0" w:space="0" w:color="auto"/>
            <w:right w:val="none" w:sz="0" w:space="0" w:color="auto"/>
          </w:divBdr>
          <w:divsChild>
            <w:div w:id="1003435663">
              <w:marLeft w:val="0"/>
              <w:marRight w:val="0"/>
              <w:marTop w:val="0"/>
              <w:marBottom w:val="0"/>
              <w:divBdr>
                <w:top w:val="none" w:sz="0" w:space="0" w:color="auto"/>
                <w:left w:val="none" w:sz="0" w:space="0" w:color="auto"/>
                <w:bottom w:val="none" w:sz="0" w:space="0" w:color="auto"/>
                <w:right w:val="none" w:sz="0" w:space="0" w:color="auto"/>
              </w:divBdr>
              <w:divsChild>
                <w:div w:id="1003435706">
                  <w:marLeft w:val="0"/>
                  <w:marRight w:val="0"/>
                  <w:marTop w:val="0"/>
                  <w:marBottom w:val="0"/>
                  <w:divBdr>
                    <w:top w:val="none" w:sz="0" w:space="0" w:color="auto"/>
                    <w:left w:val="none" w:sz="0" w:space="0" w:color="auto"/>
                    <w:bottom w:val="none" w:sz="0" w:space="0" w:color="auto"/>
                    <w:right w:val="none" w:sz="0" w:space="0" w:color="auto"/>
                  </w:divBdr>
                  <w:divsChild>
                    <w:div w:id="10034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5627">
      <w:marLeft w:val="0"/>
      <w:marRight w:val="0"/>
      <w:marTop w:val="0"/>
      <w:marBottom w:val="0"/>
      <w:divBdr>
        <w:top w:val="none" w:sz="0" w:space="0" w:color="auto"/>
        <w:left w:val="none" w:sz="0" w:space="0" w:color="auto"/>
        <w:bottom w:val="none" w:sz="0" w:space="0" w:color="auto"/>
        <w:right w:val="none" w:sz="0" w:space="0" w:color="auto"/>
      </w:divBdr>
      <w:divsChild>
        <w:div w:id="1003435722">
          <w:marLeft w:val="0"/>
          <w:marRight w:val="0"/>
          <w:marTop w:val="0"/>
          <w:marBottom w:val="0"/>
          <w:divBdr>
            <w:top w:val="none" w:sz="0" w:space="0" w:color="auto"/>
            <w:left w:val="none" w:sz="0" w:space="0" w:color="auto"/>
            <w:bottom w:val="none" w:sz="0" w:space="0" w:color="auto"/>
            <w:right w:val="none" w:sz="0" w:space="0" w:color="auto"/>
          </w:divBdr>
          <w:divsChild>
            <w:div w:id="1003435626">
              <w:marLeft w:val="0"/>
              <w:marRight w:val="0"/>
              <w:marTop w:val="0"/>
              <w:marBottom w:val="0"/>
              <w:divBdr>
                <w:top w:val="none" w:sz="0" w:space="0" w:color="auto"/>
                <w:left w:val="none" w:sz="0" w:space="0" w:color="auto"/>
                <w:bottom w:val="none" w:sz="0" w:space="0" w:color="auto"/>
                <w:right w:val="none" w:sz="0" w:space="0" w:color="auto"/>
              </w:divBdr>
              <w:divsChild>
                <w:div w:id="1003435732">
                  <w:marLeft w:val="0"/>
                  <w:marRight w:val="0"/>
                  <w:marTop w:val="0"/>
                  <w:marBottom w:val="0"/>
                  <w:divBdr>
                    <w:top w:val="none" w:sz="0" w:space="0" w:color="auto"/>
                    <w:left w:val="none" w:sz="0" w:space="0" w:color="auto"/>
                    <w:bottom w:val="none" w:sz="0" w:space="0" w:color="auto"/>
                    <w:right w:val="none" w:sz="0" w:space="0" w:color="auto"/>
                  </w:divBdr>
                  <w:divsChild>
                    <w:div w:id="10034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5630">
      <w:marLeft w:val="0"/>
      <w:marRight w:val="0"/>
      <w:marTop w:val="0"/>
      <w:marBottom w:val="0"/>
      <w:divBdr>
        <w:top w:val="none" w:sz="0" w:space="0" w:color="auto"/>
        <w:left w:val="none" w:sz="0" w:space="0" w:color="auto"/>
        <w:bottom w:val="none" w:sz="0" w:space="0" w:color="auto"/>
        <w:right w:val="none" w:sz="0" w:space="0" w:color="auto"/>
      </w:divBdr>
      <w:divsChild>
        <w:div w:id="1003435622">
          <w:marLeft w:val="0"/>
          <w:marRight w:val="0"/>
          <w:marTop w:val="0"/>
          <w:marBottom w:val="0"/>
          <w:divBdr>
            <w:top w:val="none" w:sz="0" w:space="0" w:color="auto"/>
            <w:left w:val="none" w:sz="0" w:space="0" w:color="auto"/>
            <w:bottom w:val="none" w:sz="0" w:space="0" w:color="auto"/>
            <w:right w:val="none" w:sz="0" w:space="0" w:color="auto"/>
          </w:divBdr>
        </w:div>
      </w:divsChild>
    </w:div>
    <w:div w:id="1003435650">
      <w:marLeft w:val="0"/>
      <w:marRight w:val="0"/>
      <w:marTop w:val="0"/>
      <w:marBottom w:val="0"/>
      <w:divBdr>
        <w:top w:val="none" w:sz="0" w:space="0" w:color="auto"/>
        <w:left w:val="none" w:sz="0" w:space="0" w:color="auto"/>
        <w:bottom w:val="none" w:sz="0" w:space="0" w:color="auto"/>
        <w:right w:val="none" w:sz="0" w:space="0" w:color="auto"/>
      </w:divBdr>
      <w:divsChild>
        <w:div w:id="1003435637">
          <w:marLeft w:val="0"/>
          <w:marRight w:val="0"/>
          <w:marTop w:val="0"/>
          <w:marBottom w:val="0"/>
          <w:divBdr>
            <w:top w:val="none" w:sz="0" w:space="0" w:color="auto"/>
            <w:left w:val="none" w:sz="0" w:space="0" w:color="auto"/>
            <w:bottom w:val="none" w:sz="0" w:space="0" w:color="auto"/>
            <w:right w:val="none" w:sz="0" w:space="0" w:color="auto"/>
          </w:divBdr>
          <w:divsChild>
            <w:div w:id="1003435645">
              <w:marLeft w:val="0"/>
              <w:marRight w:val="0"/>
              <w:marTop w:val="0"/>
              <w:marBottom w:val="0"/>
              <w:divBdr>
                <w:top w:val="none" w:sz="0" w:space="0" w:color="auto"/>
                <w:left w:val="none" w:sz="0" w:space="0" w:color="auto"/>
                <w:bottom w:val="none" w:sz="0" w:space="0" w:color="auto"/>
                <w:right w:val="none" w:sz="0" w:space="0" w:color="auto"/>
              </w:divBdr>
              <w:divsChild>
                <w:div w:id="1003435649">
                  <w:marLeft w:val="0"/>
                  <w:marRight w:val="0"/>
                  <w:marTop w:val="0"/>
                  <w:marBottom w:val="0"/>
                  <w:divBdr>
                    <w:top w:val="none" w:sz="0" w:space="0" w:color="auto"/>
                    <w:left w:val="none" w:sz="0" w:space="0" w:color="auto"/>
                    <w:bottom w:val="none" w:sz="0" w:space="0" w:color="auto"/>
                    <w:right w:val="none" w:sz="0" w:space="0" w:color="auto"/>
                  </w:divBdr>
                  <w:divsChild>
                    <w:div w:id="100343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5652">
      <w:marLeft w:val="0"/>
      <w:marRight w:val="0"/>
      <w:marTop w:val="0"/>
      <w:marBottom w:val="0"/>
      <w:divBdr>
        <w:top w:val="none" w:sz="0" w:space="0" w:color="auto"/>
        <w:left w:val="none" w:sz="0" w:space="0" w:color="auto"/>
        <w:bottom w:val="none" w:sz="0" w:space="0" w:color="auto"/>
        <w:right w:val="none" w:sz="0" w:space="0" w:color="auto"/>
      </w:divBdr>
      <w:divsChild>
        <w:div w:id="1003435698">
          <w:marLeft w:val="0"/>
          <w:marRight w:val="0"/>
          <w:marTop w:val="0"/>
          <w:marBottom w:val="0"/>
          <w:divBdr>
            <w:top w:val="none" w:sz="0" w:space="0" w:color="auto"/>
            <w:left w:val="none" w:sz="0" w:space="0" w:color="auto"/>
            <w:bottom w:val="none" w:sz="0" w:space="0" w:color="auto"/>
            <w:right w:val="none" w:sz="0" w:space="0" w:color="auto"/>
          </w:divBdr>
          <w:divsChild>
            <w:div w:id="1003435623">
              <w:marLeft w:val="0"/>
              <w:marRight w:val="0"/>
              <w:marTop w:val="0"/>
              <w:marBottom w:val="0"/>
              <w:divBdr>
                <w:top w:val="none" w:sz="0" w:space="0" w:color="auto"/>
                <w:left w:val="none" w:sz="0" w:space="0" w:color="auto"/>
                <w:bottom w:val="none" w:sz="0" w:space="0" w:color="auto"/>
                <w:right w:val="none" w:sz="0" w:space="0" w:color="auto"/>
              </w:divBdr>
              <w:divsChild>
                <w:div w:id="1003435711">
                  <w:marLeft w:val="0"/>
                  <w:marRight w:val="0"/>
                  <w:marTop w:val="0"/>
                  <w:marBottom w:val="0"/>
                  <w:divBdr>
                    <w:top w:val="none" w:sz="0" w:space="0" w:color="auto"/>
                    <w:left w:val="none" w:sz="0" w:space="0" w:color="auto"/>
                    <w:bottom w:val="none" w:sz="0" w:space="0" w:color="auto"/>
                    <w:right w:val="none" w:sz="0" w:space="0" w:color="auto"/>
                  </w:divBdr>
                  <w:divsChild>
                    <w:div w:id="100343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5653">
      <w:marLeft w:val="0"/>
      <w:marRight w:val="0"/>
      <w:marTop w:val="0"/>
      <w:marBottom w:val="0"/>
      <w:divBdr>
        <w:top w:val="none" w:sz="0" w:space="0" w:color="auto"/>
        <w:left w:val="none" w:sz="0" w:space="0" w:color="auto"/>
        <w:bottom w:val="none" w:sz="0" w:space="0" w:color="auto"/>
        <w:right w:val="none" w:sz="0" w:space="0" w:color="auto"/>
      </w:divBdr>
      <w:divsChild>
        <w:div w:id="1003435678">
          <w:marLeft w:val="0"/>
          <w:marRight w:val="0"/>
          <w:marTop w:val="0"/>
          <w:marBottom w:val="0"/>
          <w:divBdr>
            <w:top w:val="none" w:sz="0" w:space="0" w:color="auto"/>
            <w:left w:val="none" w:sz="0" w:space="0" w:color="auto"/>
            <w:bottom w:val="none" w:sz="0" w:space="0" w:color="auto"/>
            <w:right w:val="none" w:sz="0" w:space="0" w:color="auto"/>
          </w:divBdr>
          <w:divsChild>
            <w:div w:id="1003435703">
              <w:marLeft w:val="0"/>
              <w:marRight w:val="0"/>
              <w:marTop w:val="0"/>
              <w:marBottom w:val="0"/>
              <w:divBdr>
                <w:top w:val="none" w:sz="0" w:space="0" w:color="auto"/>
                <w:left w:val="none" w:sz="0" w:space="0" w:color="auto"/>
                <w:bottom w:val="none" w:sz="0" w:space="0" w:color="auto"/>
                <w:right w:val="none" w:sz="0" w:space="0" w:color="auto"/>
              </w:divBdr>
              <w:divsChild>
                <w:div w:id="1003435620">
                  <w:marLeft w:val="0"/>
                  <w:marRight w:val="0"/>
                  <w:marTop w:val="0"/>
                  <w:marBottom w:val="0"/>
                  <w:divBdr>
                    <w:top w:val="none" w:sz="0" w:space="0" w:color="auto"/>
                    <w:left w:val="none" w:sz="0" w:space="0" w:color="auto"/>
                    <w:bottom w:val="none" w:sz="0" w:space="0" w:color="auto"/>
                    <w:right w:val="none" w:sz="0" w:space="0" w:color="auto"/>
                  </w:divBdr>
                  <w:divsChild>
                    <w:div w:id="10034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5654">
      <w:marLeft w:val="0"/>
      <w:marRight w:val="0"/>
      <w:marTop w:val="0"/>
      <w:marBottom w:val="0"/>
      <w:divBdr>
        <w:top w:val="none" w:sz="0" w:space="0" w:color="auto"/>
        <w:left w:val="none" w:sz="0" w:space="0" w:color="auto"/>
        <w:bottom w:val="none" w:sz="0" w:space="0" w:color="auto"/>
        <w:right w:val="none" w:sz="0" w:space="0" w:color="auto"/>
      </w:divBdr>
      <w:divsChild>
        <w:div w:id="1003435670">
          <w:marLeft w:val="0"/>
          <w:marRight w:val="0"/>
          <w:marTop w:val="0"/>
          <w:marBottom w:val="0"/>
          <w:divBdr>
            <w:top w:val="none" w:sz="0" w:space="0" w:color="auto"/>
            <w:left w:val="none" w:sz="0" w:space="0" w:color="auto"/>
            <w:bottom w:val="none" w:sz="0" w:space="0" w:color="auto"/>
            <w:right w:val="none" w:sz="0" w:space="0" w:color="auto"/>
          </w:divBdr>
          <w:divsChild>
            <w:div w:id="1003435651">
              <w:marLeft w:val="0"/>
              <w:marRight w:val="0"/>
              <w:marTop w:val="0"/>
              <w:marBottom w:val="0"/>
              <w:divBdr>
                <w:top w:val="none" w:sz="0" w:space="0" w:color="auto"/>
                <w:left w:val="none" w:sz="0" w:space="0" w:color="auto"/>
                <w:bottom w:val="none" w:sz="0" w:space="0" w:color="auto"/>
                <w:right w:val="none" w:sz="0" w:space="0" w:color="auto"/>
              </w:divBdr>
              <w:divsChild>
                <w:div w:id="1003435683">
                  <w:marLeft w:val="0"/>
                  <w:marRight w:val="0"/>
                  <w:marTop w:val="0"/>
                  <w:marBottom w:val="0"/>
                  <w:divBdr>
                    <w:top w:val="none" w:sz="0" w:space="0" w:color="auto"/>
                    <w:left w:val="none" w:sz="0" w:space="0" w:color="auto"/>
                    <w:bottom w:val="none" w:sz="0" w:space="0" w:color="auto"/>
                    <w:right w:val="none" w:sz="0" w:space="0" w:color="auto"/>
                  </w:divBdr>
                  <w:divsChild>
                    <w:div w:id="100343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5657">
      <w:marLeft w:val="0"/>
      <w:marRight w:val="0"/>
      <w:marTop w:val="0"/>
      <w:marBottom w:val="0"/>
      <w:divBdr>
        <w:top w:val="none" w:sz="0" w:space="0" w:color="auto"/>
        <w:left w:val="none" w:sz="0" w:space="0" w:color="auto"/>
        <w:bottom w:val="none" w:sz="0" w:space="0" w:color="auto"/>
        <w:right w:val="none" w:sz="0" w:space="0" w:color="auto"/>
      </w:divBdr>
      <w:divsChild>
        <w:div w:id="1003435640">
          <w:marLeft w:val="0"/>
          <w:marRight w:val="0"/>
          <w:marTop w:val="0"/>
          <w:marBottom w:val="0"/>
          <w:divBdr>
            <w:top w:val="none" w:sz="0" w:space="0" w:color="auto"/>
            <w:left w:val="none" w:sz="0" w:space="0" w:color="auto"/>
            <w:bottom w:val="none" w:sz="0" w:space="0" w:color="auto"/>
            <w:right w:val="none" w:sz="0" w:space="0" w:color="auto"/>
          </w:divBdr>
          <w:divsChild>
            <w:div w:id="1003435617">
              <w:marLeft w:val="0"/>
              <w:marRight w:val="0"/>
              <w:marTop w:val="0"/>
              <w:marBottom w:val="0"/>
              <w:divBdr>
                <w:top w:val="none" w:sz="0" w:space="0" w:color="auto"/>
                <w:left w:val="none" w:sz="0" w:space="0" w:color="auto"/>
                <w:bottom w:val="none" w:sz="0" w:space="0" w:color="auto"/>
                <w:right w:val="none" w:sz="0" w:space="0" w:color="auto"/>
              </w:divBdr>
              <w:divsChild>
                <w:div w:id="1003435695">
                  <w:marLeft w:val="0"/>
                  <w:marRight w:val="0"/>
                  <w:marTop w:val="0"/>
                  <w:marBottom w:val="0"/>
                  <w:divBdr>
                    <w:top w:val="none" w:sz="0" w:space="0" w:color="auto"/>
                    <w:left w:val="none" w:sz="0" w:space="0" w:color="auto"/>
                    <w:bottom w:val="none" w:sz="0" w:space="0" w:color="auto"/>
                    <w:right w:val="none" w:sz="0" w:space="0" w:color="auto"/>
                  </w:divBdr>
                  <w:divsChild>
                    <w:div w:id="10034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5659">
      <w:marLeft w:val="0"/>
      <w:marRight w:val="0"/>
      <w:marTop w:val="0"/>
      <w:marBottom w:val="0"/>
      <w:divBdr>
        <w:top w:val="none" w:sz="0" w:space="0" w:color="auto"/>
        <w:left w:val="none" w:sz="0" w:space="0" w:color="auto"/>
        <w:bottom w:val="none" w:sz="0" w:space="0" w:color="auto"/>
        <w:right w:val="none" w:sz="0" w:space="0" w:color="auto"/>
      </w:divBdr>
      <w:divsChild>
        <w:div w:id="1003435687">
          <w:marLeft w:val="0"/>
          <w:marRight w:val="0"/>
          <w:marTop w:val="0"/>
          <w:marBottom w:val="0"/>
          <w:divBdr>
            <w:top w:val="none" w:sz="0" w:space="0" w:color="auto"/>
            <w:left w:val="none" w:sz="0" w:space="0" w:color="auto"/>
            <w:bottom w:val="none" w:sz="0" w:space="0" w:color="auto"/>
            <w:right w:val="none" w:sz="0" w:space="0" w:color="auto"/>
          </w:divBdr>
          <w:divsChild>
            <w:div w:id="1003435719">
              <w:marLeft w:val="0"/>
              <w:marRight w:val="0"/>
              <w:marTop w:val="0"/>
              <w:marBottom w:val="0"/>
              <w:divBdr>
                <w:top w:val="none" w:sz="0" w:space="0" w:color="auto"/>
                <w:left w:val="none" w:sz="0" w:space="0" w:color="auto"/>
                <w:bottom w:val="none" w:sz="0" w:space="0" w:color="auto"/>
                <w:right w:val="none" w:sz="0" w:space="0" w:color="auto"/>
              </w:divBdr>
              <w:divsChild>
                <w:div w:id="1003435707">
                  <w:marLeft w:val="0"/>
                  <w:marRight w:val="0"/>
                  <w:marTop w:val="0"/>
                  <w:marBottom w:val="0"/>
                  <w:divBdr>
                    <w:top w:val="none" w:sz="0" w:space="0" w:color="auto"/>
                    <w:left w:val="none" w:sz="0" w:space="0" w:color="auto"/>
                    <w:bottom w:val="none" w:sz="0" w:space="0" w:color="auto"/>
                    <w:right w:val="none" w:sz="0" w:space="0" w:color="auto"/>
                  </w:divBdr>
                  <w:divsChild>
                    <w:div w:id="10034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5667">
      <w:marLeft w:val="0"/>
      <w:marRight w:val="0"/>
      <w:marTop w:val="0"/>
      <w:marBottom w:val="0"/>
      <w:divBdr>
        <w:top w:val="none" w:sz="0" w:space="0" w:color="auto"/>
        <w:left w:val="none" w:sz="0" w:space="0" w:color="auto"/>
        <w:bottom w:val="none" w:sz="0" w:space="0" w:color="auto"/>
        <w:right w:val="none" w:sz="0" w:space="0" w:color="auto"/>
      </w:divBdr>
      <w:divsChild>
        <w:div w:id="1003435714">
          <w:marLeft w:val="0"/>
          <w:marRight w:val="0"/>
          <w:marTop w:val="0"/>
          <w:marBottom w:val="0"/>
          <w:divBdr>
            <w:top w:val="none" w:sz="0" w:space="0" w:color="auto"/>
            <w:left w:val="none" w:sz="0" w:space="0" w:color="auto"/>
            <w:bottom w:val="none" w:sz="0" w:space="0" w:color="auto"/>
            <w:right w:val="none" w:sz="0" w:space="0" w:color="auto"/>
          </w:divBdr>
          <w:divsChild>
            <w:div w:id="1003435619">
              <w:marLeft w:val="0"/>
              <w:marRight w:val="0"/>
              <w:marTop w:val="0"/>
              <w:marBottom w:val="0"/>
              <w:divBdr>
                <w:top w:val="none" w:sz="0" w:space="0" w:color="auto"/>
                <w:left w:val="none" w:sz="0" w:space="0" w:color="auto"/>
                <w:bottom w:val="none" w:sz="0" w:space="0" w:color="auto"/>
                <w:right w:val="none" w:sz="0" w:space="0" w:color="auto"/>
              </w:divBdr>
              <w:divsChild>
                <w:div w:id="1003435625">
                  <w:marLeft w:val="0"/>
                  <w:marRight w:val="0"/>
                  <w:marTop w:val="0"/>
                  <w:marBottom w:val="0"/>
                  <w:divBdr>
                    <w:top w:val="none" w:sz="0" w:space="0" w:color="auto"/>
                    <w:left w:val="none" w:sz="0" w:space="0" w:color="auto"/>
                    <w:bottom w:val="none" w:sz="0" w:space="0" w:color="auto"/>
                    <w:right w:val="none" w:sz="0" w:space="0" w:color="auto"/>
                  </w:divBdr>
                  <w:divsChild>
                    <w:div w:id="10034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5668">
      <w:marLeft w:val="0"/>
      <w:marRight w:val="0"/>
      <w:marTop w:val="0"/>
      <w:marBottom w:val="0"/>
      <w:divBdr>
        <w:top w:val="none" w:sz="0" w:space="0" w:color="auto"/>
        <w:left w:val="none" w:sz="0" w:space="0" w:color="auto"/>
        <w:bottom w:val="none" w:sz="0" w:space="0" w:color="auto"/>
        <w:right w:val="none" w:sz="0" w:space="0" w:color="auto"/>
      </w:divBdr>
      <w:divsChild>
        <w:div w:id="1003435685">
          <w:marLeft w:val="0"/>
          <w:marRight w:val="0"/>
          <w:marTop w:val="0"/>
          <w:marBottom w:val="0"/>
          <w:divBdr>
            <w:top w:val="none" w:sz="0" w:space="0" w:color="auto"/>
            <w:left w:val="none" w:sz="0" w:space="0" w:color="auto"/>
            <w:bottom w:val="none" w:sz="0" w:space="0" w:color="auto"/>
            <w:right w:val="none" w:sz="0" w:space="0" w:color="auto"/>
          </w:divBdr>
        </w:div>
      </w:divsChild>
    </w:div>
    <w:div w:id="1003435682">
      <w:marLeft w:val="0"/>
      <w:marRight w:val="0"/>
      <w:marTop w:val="0"/>
      <w:marBottom w:val="0"/>
      <w:divBdr>
        <w:top w:val="none" w:sz="0" w:space="0" w:color="auto"/>
        <w:left w:val="none" w:sz="0" w:space="0" w:color="auto"/>
        <w:bottom w:val="none" w:sz="0" w:space="0" w:color="auto"/>
        <w:right w:val="none" w:sz="0" w:space="0" w:color="auto"/>
      </w:divBdr>
      <w:divsChild>
        <w:div w:id="1003435611">
          <w:marLeft w:val="0"/>
          <w:marRight w:val="0"/>
          <w:marTop w:val="0"/>
          <w:marBottom w:val="0"/>
          <w:divBdr>
            <w:top w:val="none" w:sz="0" w:space="0" w:color="auto"/>
            <w:left w:val="none" w:sz="0" w:space="0" w:color="auto"/>
            <w:bottom w:val="none" w:sz="0" w:space="0" w:color="auto"/>
            <w:right w:val="none" w:sz="0" w:space="0" w:color="auto"/>
          </w:divBdr>
        </w:div>
      </w:divsChild>
    </w:div>
    <w:div w:id="1003435686">
      <w:marLeft w:val="0"/>
      <w:marRight w:val="0"/>
      <w:marTop w:val="0"/>
      <w:marBottom w:val="0"/>
      <w:divBdr>
        <w:top w:val="none" w:sz="0" w:space="0" w:color="auto"/>
        <w:left w:val="none" w:sz="0" w:space="0" w:color="auto"/>
        <w:bottom w:val="none" w:sz="0" w:space="0" w:color="auto"/>
        <w:right w:val="none" w:sz="0" w:space="0" w:color="auto"/>
      </w:divBdr>
      <w:divsChild>
        <w:div w:id="1003435715">
          <w:marLeft w:val="0"/>
          <w:marRight w:val="0"/>
          <w:marTop w:val="0"/>
          <w:marBottom w:val="0"/>
          <w:divBdr>
            <w:top w:val="none" w:sz="0" w:space="0" w:color="auto"/>
            <w:left w:val="none" w:sz="0" w:space="0" w:color="auto"/>
            <w:bottom w:val="none" w:sz="0" w:space="0" w:color="auto"/>
            <w:right w:val="none" w:sz="0" w:space="0" w:color="auto"/>
          </w:divBdr>
          <w:divsChild>
            <w:div w:id="1003435603">
              <w:marLeft w:val="0"/>
              <w:marRight w:val="0"/>
              <w:marTop w:val="0"/>
              <w:marBottom w:val="0"/>
              <w:divBdr>
                <w:top w:val="none" w:sz="0" w:space="0" w:color="auto"/>
                <w:left w:val="none" w:sz="0" w:space="0" w:color="auto"/>
                <w:bottom w:val="none" w:sz="0" w:space="0" w:color="auto"/>
                <w:right w:val="none" w:sz="0" w:space="0" w:color="auto"/>
              </w:divBdr>
              <w:divsChild>
                <w:div w:id="1003435648">
                  <w:marLeft w:val="0"/>
                  <w:marRight w:val="0"/>
                  <w:marTop w:val="0"/>
                  <w:marBottom w:val="0"/>
                  <w:divBdr>
                    <w:top w:val="none" w:sz="0" w:space="0" w:color="auto"/>
                    <w:left w:val="none" w:sz="0" w:space="0" w:color="auto"/>
                    <w:bottom w:val="none" w:sz="0" w:space="0" w:color="auto"/>
                    <w:right w:val="none" w:sz="0" w:space="0" w:color="auto"/>
                  </w:divBdr>
                  <w:divsChild>
                    <w:div w:id="10034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5689">
      <w:marLeft w:val="0"/>
      <w:marRight w:val="0"/>
      <w:marTop w:val="0"/>
      <w:marBottom w:val="0"/>
      <w:divBdr>
        <w:top w:val="none" w:sz="0" w:space="0" w:color="auto"/>
        <w:left w:val="none" w:sz="0" w:space="0" w:color="auto"/>
        <w:bottom w:val="none" w:sz="0" w:space="0" w:color="auto"/>
        <w:right w:val="none" w:sz="0" w:space="0" w:color="auto"/>
      </w:divBdr>
      <w:divsChild>
        <w:div w:id="1003435628">
          <w:marLeft w:val="0"/>
          <w:marRight w:val="0"/>
          <w:marTop w:val="0"/>
          <w:marBottom w:val="0"/>
          <w:divBdr>
            <w:top w:val="none" w:sz="0" w:space="0" w:color="auto"/>
            <w:left w:val="none" w:sz="0" w:space="0" w:color="auto"/>
            <w:bottom w:val="none" w:sz="0" w:space="0" w:color="auto"/>
            <w:right w:val="none" w:sz="0" w:space="0" w:color="auto"/>
          </w:divBdr>
          <w:divsChild>
            <w:div w:id="1003435725">
              <w:marLeft w:val="0"/>
              <w:marRight w:val="0"/>
              <w:marTop w:val="0"/>
              <w:marBottom w:val="0"/>
              <w:divBdr>
                <w:top w:val="none" w:sz="0" w:space="0" w:color="auto"/>
                <w:left w:val="none" w:sz="0" w:space="0" w:color="auto"/>
                <w:bottom w:val="none" w:sz="0" w:space="0" w:color="auto"/>
                <w:right w:val="none" w:sz="0" w:space="0" w:color="auto"/>
              </w:divBdr>
              <w:divsChild>
                <w:div w:id="1003435680">
                  <w:marLeft w:val="0"/>
                  <w:marRight w:val="0"/>
                  <w:marTop w:val="0"/>
                  <w:marBottom w:val="0"/>
                  <w:divBdr>
                    <w:top w:val="none" w:sz="0" w:space="0" w:color="auto"/>
                    <w:left w:val="none" w:sz="0" w:space="0" w:color="auto"/>
                    <w:bottom w:val="none" w:sz="0" w:space="0" w:color="auto"/>
                    <w:right w:val="none" w:sz="0" w:space="0" w:color="auto"/>
                  </w:divBdr>
                  <w:divsChild>
                    <w:div w:id="10034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5690">
      <w:marLeft w:val="0"/>
      <w:marRight w:val="0"/>
      <w:marTop w:val="0"/>
      <w:marBottom w:val="0"/>
      <w:divBdr>
        <w:top w:val="none" w:sz="0" w:space="0" w:color="auto"/>
        <w:left w:val="none" w:sz="0" w:space="0" w:color="auto"/>
        <w:bottom w:val="none" w:sz="0" w:space="0" w:color="auto"/>
        <w:right w:val="none" w:sz="0" w:space="0" w:color="auto"/>
      </w:divBdr>
      <w:divsChild>
        <w:div w:id="1003435674">
          <w:marLeft w:val="0"/>
          <w:marRight w:val="0"/>
          <w:marTop w:val="0"/>
          <w:marBottom w:val="0"/>
          <w:divBdr>
            <w:top w:val="none" w:sz="0" w:space="0" w:color="auto"/>
            <w:left w:val="none" w:sz="0" w:space="0" w:color="auto"/>
            <w:bottom w:val="none" w:sz="0" w:space="0" w:color="auto"/>
            <w:right w:val="none" w:sz="0" w:space="0" w:color="auto"/>
          </w:divBdr>
        </w:div>
      </w:divsChild>
    </w:div>
    <w:div w:id="1003435691">
      <w:marLeft w:val="0"/>
      <w:marRight w:val="0"/>
      <w:marTop w:val="0"/>
      <w:marBottom w:val="0"/>
      <w:divBdr>
        <w:top w:val="none" w:sz="0" w:space="0" w:color="auto"/>
        <w:left w:val="none" w:sz="0" w:space="0" w:color="auto"/>
        <w:bottom w:val="none" w:sz="0" w:space="0" w:color="auto"/>
        <w:right w:val="none" w:sz="0" w:space="0" w:color="auto"/>
      </w:divBdr>
      <w:divsChild>
        <w:div w:id="1003435718">
          <w:marLeft w:val="0"/>
          <w:marRight w:val="0"/>
          <w:marTop w:val="0"/>
          <w:marBottom w:val="0"/>
          <w:divBdr>
            <w:top w:val="none" w:sz="0" w:space="0" w:color="auto"/>
            <w:left w:val="none" w:sz="0" w:space="0" w:color="auto"/>
            <w:bottom w:val="none" w:sz="0" w:space="0" w:color="auto"/>
            <w:right w:val="none" w:sz="0" w:space="0" w:color="auto"/>
          </w:divBdr>
        </w:div>
      </w:divsChild>
    </w:div>
    <w:div w:id="1003435696">
      <w:marLeft w:val="0"/>
      <w:marRight w:val="0"/>
      <w:marTop w:val="0"/>
      <w:marBottom w:val="0"/>
      <w:divBdr>
        <w:top w:val="none" w:sz="0" w:space="0" w:color="auto"/>
        <w:left w:val="none" w:sz="0" w:space="0" w:color="auto"/>
        <w:bottom w:val="none" w:sz="0" w:space="0" w:color="auto"/>
        <w:right w:val="none" w:sz="0" w:space="0" w:color="auto"/>
      </w:divBdr>
      <w:divsChild>
        <w:div w:id="1003435604">
          <w:marLeft w:val="0"/>
          <w:marRight w:val="0"/>
          <w:marTop w:val="0"/>
          <w:marBottom w:val="0"/>
          <w:divBdr>
            <w:top w:val="none" w:sz="0" w:space="0" w:color="auto"/>
            <w:left w:val="none" w:sz="0" w:space="0" w:color="auto"/>
            <w:bottom w:val="none" w:sz="0" w:space="0" w:color="auto"/>
            <w:right w:val="none" w:sz="0" w:space="0" w:color="auto"/>
          </w:divBdr>
          <w:divsChild>
            <w:div w:id="1003435641">
              <w:marLeft w:val="0"/>
              <w:marRight w:val="0"/>
              <w:marTop w:val="0"/>
              <w:marBottom w:val="0"/>
              <w:divBdr>
                <w:top w:val="none" w:sz="0" w:space="0" w:color="auto"/>
                <w:left w:val="none" w:sz="0" w:space="0" w:color="auto"/>
                <w:bottom w:val="none" w:sz="0" w:space="0" w:color="auto"/>
                <w:right w:val="none" w:sz="0" w:space="0" w:color="auto"/>
              </w:divBdr>
              <w:divsChild>
                <w:div w:id="1003435647">
                  <w:marLeft w:val="0"/>
                  <w:marRight w:val="0"/>
                  <w:marTop w:val="0"/>
                  <w:marBottom w:val="0"/>
                  <w:divBdr>
                    <w:top w:val="none" w:sz="0" w:space="0" w:color="auto"/>
                    <w:left w:val="none" w:sz="0" w:space="0" w:color="auto"/>
                    <w:bottom w:val="none" w:sz="0" w:space="0" w:color="auto"/>
                    <w:right w:val="none" w:sz="0" w:space="0" w:color="auto"/>
                  </w:divBdr>
                  <w:divsChild>
                    <w:div w:id="10034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5702">
      <w:marLeft w:val="0"/>
      <w:marRight w:val="0"/>
      <w:marTop w:val="0"/>
      <w:marBottom w:val="0"/>
      <w:divBdr>
        <w:top w:val="none" w:sz="0" w:space="0" w:color="auto"/>
        <w:left w:val="none" w:sz="0" w:space="0" w:color="auto"/>
        <w:bottom w:val="none" w:sz="0" w:space="0" w:color="auto"/>
        <w:right w:val="none" w:sz="0" w:space="0" w:color="auto"/>
      </w:divBdr>
      <w:divsChild>
        <w:div w:id="1003435700">
          <w:marLeft w:val="0"/>
          <w:marRight w:val="0"/>
          <w:marTop w:val="0"/>
          <w:marBottom w:val="0"/>
          <w:divBdr>
            <w:top w:val="none" w:sz="0" w:space="0" w:color="auto"/>
            <w:left w:val="none" w:sz="0" w:space="0" w:color="auto"/>
            <w:bottom w:val="none" w:sz="0" w:space="0" w:color="auto"/>
            <w:right w:val="none" w:sz="0" w:space="0" w:color="auto"/>
          </w:divBdr>
        </w:div>
      </w:divsChild>
    </w:div>
    <w:div w:id="1003435705">
      <w:marLeft w:val="0"/>
      <w:marRight w:val="0"/>
      <w:marTop w:val="0"/>
      <w:marBottom w:val="0"/>
      <w:divBdr>
        <w:top w:val="none" w:sz="0" w:space="0" w:color="auto"/>
        <w:left w:val="none" w:sz="0" w:space="0" w:color="auto"/>
        <w:bottom w:val="none" w:sz="0" w:space="0" w:color="auto"/>
        <w:right w:val="none" w:sz="0" w:space="0" w:color="auto"/>
      </w:divBdr>
      <w:divsChild>
        <w:div w:id="1003435633">
          <w:marLeft w:val="0"/>
          <w:marRight w:val="0"/>
          <w:marTop w:val="0"/>
          <w:marBottom w:val="0"/>
          <w:divBdr>
            <w:top w:val="none" w:sz="0" w:space="0" w:color="auto"/>
            <w:left w:val="none" w:sz="0" w:space="0" w:color="auto"/>
            <w:bottom w:val="none" w:sz="0" w:space="0" w:color="auto"/>
            <w:right w:val="none" w:sz="0" w:space="0" w:color="auto"/>
          </w:divBdr>
          <w:divsChild>
            <w:div w:id="1003435624">
              <w:marLeft w:val="0"/>
              <w:marRight w:val="0"/>
              <w:marTop w:val="0"/>
              <w:marBottom w:val="0"/>
              <w:divBdr>
                <w:top w:val="none" w:sz="0" w:space="0" w:color="auto"/>
                <w:left w:val="none" w:sz="0" w:space="0" w:color="auto"/>
                <w:bottom w:val="none" w:sz="0" w:space="0" w:color="auto"/>
                <w:right w:val="none" w:sz="0" w:space="0" w:color="auto"/>
              </w:divBdr>
              <w:divsChild>
                <w:div w:id="1003435729">
                  <w:marLeft w:val="0"/>
                  <w:marRight w:val="0"/>
                  <w:marTop w:val="0"/>
                  <w:marBottom w:val="0"/>
                  <w:divBdr>
                    <w:top w:val="none" w:sz="0" w:space="0" w:color="auto"/>
                    <w:left w:val="none" w:sz="0" w:space="0" w:color="auto"/>
                    <w:bottom w:val="none" w:sz="0" w:space="0" w:color="auto"/>
                    <w:right w:val="none" w:sz="0" w:space="0" w:color="auto"/>
                  </w:divBdr>
                  <w:divsChild>
                    <w:div w:id="10034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5708">
      <w:marLeft w:val="0"/>
      <w:marRight w:val="0"/>
      <w:marTop w:val="0"/>
      <w:marBottom w:val="0"/>
      <w:divBdr>
        <w:top w:val="none" w:sz="0" w:space="0" w:color="auto"/>
        <w:left w:val="none" w:sz="0" w:space="0" w:color="auto"/>
        <w:bottom w:val="none" w:sz="0" w:space="0" w:color="auto"/>
        <w:right w:val="none" w:sz="0" w:space="0" w:color="auto"/>
      </w:divBdr>
      <w:divsChild>
        <w:div w:id="1003435613">
          <w:marLeft w:val="0"/>
          <w:marRight w:val="0"/>
          <w:marTop w:val="0"/>
          <w:marBottom w:val="0"/>
          <w:divBdr>
            <w:top w:val="none" w:sz="0" w:space="0" w:color="auto"/>
            <w:left w:val="none" w:sz="0" w:space="0" w:color="auto"/>
            <w:bottom w:val="none" w:sz="0" w:space="0" w:color="auto"/>
            <w:right w:val="none" w:sz="0" w:space="0" w:color="auto"/>
          </w:divBdr>
        </w:div>
      </w:divsChild>
    </w:div>
    <w:div w:id="1003435712">
      <w:marLeft w:val="0"/>
      <w:marRight w:val="0"/>
      <w:marTop w:val="0"/>
      <w:marBottom w:val="0"/>
      <w:divBdr>
        <w:top w:val="none" w:sz="0" w:space="0" w:color="auto"/>
        <w:left w:val="none" w:sz="0" w:space="0" w:color="auto"/>
        <w:bottom w:val="none" w:sz="0" w:space="0" w:color="auto"/>
        <w:right w:val="none" w:sz="0" w:space="0" w:color="auto"/>
      </w:divBdr>
      <w:divsChild>
        <w:div w:id="1003435669">
          <w:marLeft w:val="0"/>
          <w:marRight w:val="0"/>
          <w:marTop w:val="0"/>
          <w:marBottom w:val="0"/>
          <w:divBdr>
            <w:top w:val="none" w:sz="0" w:space="0" w:color="auto"/>
            <w:left w:val="none" w:sz="0" w:space="0" w:color="auto"/>
            <w:bottom w:val="none" w:sz="0" w:space="0" w:color="auto"/>
            <w:right w:val="none" w:sz="0" w:space="0" w:color="auto"/>
          </w:divBdr>
          <w:divsChild>
            <w:div w:id="1003435656">
              <w:marLeft w:val="0"/>
              <w:marRight w:val="0"/>
              <w:marTop w:val="0"/>
              <w:marBottom w:val="0"/>
              <w:divBdr>
                <w:top w:val="none" w:sz="0" w:space="0" w:color="auto"/>
                <w:left w:val="none" w:sz="0" w:space="0" w:color="auto"/>
                <w:bottom w:val="none" w:sz="0" w:space="0" w:color="auto"/>
                <w:right w:val="none" w:sz="0" w:space="0" w:color="auto"/>
              </w:divBdr>
              <w:divsChild>
                <w:div w:id="1003435704">
                  <w:marLeft w:val="0"/>
                  <w:marRight w:val="0"/>
                  <w:marTop w:val="0"/>
                  <w:marBottom w:val="0"/>
                  <w:divBdr>
                    <w:top w:val="none" w:sz="0" w:space="0" w:color="auto"/>
                    <w:left w:val="none" w:sz="0" w:space="0" w:color="auto"/>
                    <w:bottom w:val="none" w:sz="0" w:space="0" w:color="auto"/>
                    <w:right w:val="none" w:sz="0" w:space="0" w:color="auto"/>
                  </w:divBdr>
                  <w:divsChild>
                    <w:div w:id="100343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5716">
      <w:marLeft w:val="0"/>
      <w:marRight w:val="0"/>
      <w:marTop w:val="0"/>
      <w:marBottom w:val="0"/>
      <w:divBdr>
        <w:top w:val="none" w:sz="0" w:space="0" w:color="auto"/>
        <w:left w:val="none" w:sz="0" w:space="0" w:color="auto"/>
        <w:bottom w:val="none" w:sz="0" w:space="0" w:color="auto"/>
        <w:right w:val="none" w:sz="0" w:space="0" w:color="auto"/>
      </w:divBdr>
      <w:divsChild>
        <w:div w:id="1003435658">
          <w:marLeft w:val="0"/>
          <w:marRight w:val="0"/>
          <w:marTop w:val="0"/>
          <w:marBottom w:val="0"/>
          <w:divBdr>
            <w:top w:val="none" w:sz="0" w:space="0" w:color="auto"/>
            <w:left w:val="none" w:sz="0" w:space="0" w:color="auto"/>
            <w:bottom w:val="none" w:sz="0" w:space="0" w:color="auto"/>
            <w:right w:val="none" w:sz="0" w:space="0" w:color="auto"/>
          </w:divBdr>
          <w:divsChild>
            <w:div w:id="1003435671">
              <w:marLeft w:val="0"/>
              <w:marRight w:val="0"/>
              <w:marTop w:val="0"/>
              <w:marBottom w:val="0"/>
              <w:divBdr>
                <w:top w:val="none" w:sz="0" w:space="0" w:color="auto"/>
                <w:left w:val="none" w:sz="0" w:space="0" w:color="auto"/>
                <w:bottom w:val="none" w:sz="0" w:space="0" w:color="auto"/>
                <w:right w:val="none" w:sz="0" w:space="0" w:color="auto"/>
              </w:divBdr>
              <w:divsChild>
                <w:div w:id="1003435684">
                  <w:marLeft w:val="0"/>
                  <w:marRight w:val="0"/>
                  <w:marTop w:val="0"/>
                  <w:marBottom w:val="0"/>
                  <w:divBdr>
                    <w:top w:val="none" w:sz="0" w:space="0" w:color="auto"/>
                    <w:left w:val="none" w:sz="0" w:space="0" w:color="auto"/>
                    <w:bottom w:val="none" w:sz="0" w:space="0" w:color="auto"/>
                    <w:right w:val="none" w:sz="0" w:space="0" w:color="auto"/>
                  </w:divBdr>
                  <w:divsChild>
                    <w:div w:id="10034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5717">
      <w:marLeft w:val="0"/>
      <w:marRight w:val="0"/>
      <w:marTop w:val="0"/>
      <w:marBottom w:val="0"/>
      <w:divBdr>
        <w:top w:val="none" w:sz="0" w:space="0" w:color="auto"/>
        <w:left w:val="none" w:sz="0" w:space="0" w:color="auto"/>
        <w:bottom w:val="none" w:sz="0" w:space="0" w:color="auto"/>
        <w:right w:val="none" w:sz="0" w:space="0" w:color="auto"/>
      </w:divBdr>
      <w:divsChild>
        <w:div w:id="1003435615">
          <w:marLeft w:val="0"/>
          <w:marRight w:val="0"/>
          <w:marTop w:val="0"/>
          <w:marBottom w:val="0"/>
          <w:divBdr>
            <w:top w:val="none" w:sz="0" w:space="0" w:color="auto"/>
            <w:left w:val="none" w:sz="0" w:space="0" w:color="auto"/>
            <w:bottom w:val="none" w:sz="0" w:space="0" w:color="auto"/>
            <w:right w:val="none" w:sz="0" w:space="0" w:color="auto"/>
          </w:divBdr>
        </w:div>
      </w:divsChild>
    </w:div>
    <w:div w:id="1003435721">
      <w:marLeft w:val="0"/>
      <w:marRight w:val="0"/>
      <w:marTop w:val="0"/>
      <w:marBottom w:val="0"/>
      <w:divBdr>
        <w:top w:val="none" w:sz="0" w:space="0" w:color="auto"/>
        <w:left w:val="none" w:sz="0" w:space="0" w:color="auto"/>
        <w:bottom w:val="none" w:sz="0" w:space="0" w:color="auto"/>
        <w:right w:val="none" w:sz="0" w:space="0" w:color="auto"/>
      </w:divBdr>
      <w:divsChild>
        <w:div w:id="1003435643">
          <w:marLeft w:val="0"/>
          <w:marRight w:val="0"/>
          <w:marTop w:val="0"/>
          <w:marBottom w:val="0"/>
          <w:divBdr>
            <w:top w:val="none" w:sz="0" w:space="0" w:color="auto"/>
            <w:left w:val="none" w:sz="0" w:space="0" w:color="auto"/>
            <w:bottom w:val="none" w:sz="0" w:space="0" w:color="auto"/>
            <w:right w:val="none" w:sz="0" w:space="0" w:color="auto"/>
          </w:divBdr>
          <w:divsChild>
            <w:div w:id="1003435662">
              <w:marLeft w:val="0"/>
              <w:marRight w:val="0"/>
              <w:marTop w:val="0"/>
              <w:marBottom w:val="0"/>
              <w:divBdr>
                <w:top w:val="none" w:sz="0" w:space="0" w:color="auto"/>
                <w:left w:val="none" w:sz="0" w:space="0" w:color="auto"/>
                <w:bottom w:val="none" w:sz="0" w:space="0" w:color="auto"/>
                <w:right w:val="none" w:sz="0" w:space="0" w:color="auto"/>
              </w:divBdr>
              <w:divsChild>
                <w:div w:id="1003435723">
                  <w:marLeft w:val="0"/>
                  <w:marRight w:val="0"/>
                  <w:marTop w:val="0"/>
                  <w:marBottom w:val="0"/>
                  <w:divBdr>
                    <w:top w:val="none" w:sz="0" w:space="0" w:color="auto"/>
                    <w:left w:val="none" w:sz="0" w:space="0" w:color="auto"/>
                    <w:bottom w:val="none" w:sz="0" w:space="0" w:color="auto"/>
                    <w:right w:val="none" w:sz="0" w:space="0" w:color="auto"/>
                  </w:divBdr>
                  <w:divsChild>
                    <w:div w:id="10034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5724">
      <w:marLeft w:val="0"/>
      <w:marRight w:val="0"/>
      <w:marTop w:val="0"/>
      <w:marBottom w:val="0"/>
      <w:divBdr>
        <w:top w:val="none" w:sz="0" w:space="0" w:color="auto"/>
        <w:left w:val="none" w:sz="0" w:space="0" w:color="auto"/>
        <w:bottom w:val="none" w:sz="0" w:space="0" w:color="auto"/>
        <w:right w:val="none" w:sz="0" w:space="0" w:color="auto"/>
      </w:divBdr>
      <w:divsChild>
        <w:div w:id="1003435733">
          <w:marLeft w:val="0"/>
          <w:marRight w:val="0"/>
          <w:marTop w:val="0"/>
          <w:marBottom w:val="0"/>
          <w:divBdr>
            <w:top w:val="none" w:sz="0" w:space="0" w:color="auto"/>
            <w:left w:val="none" w:sz="0" w:space="0" w:color="auto"/>
            <w:bottom w:val="none" w:sz="0" w:space="0" w:color="auto"/>
            <w:right w:val="none" w:sz="0" w:space="0" w:color="auto"/>
          </w:divBdr>
          <w:divsChild>
            <w:div w:id="1003435679">
              <w:marLeft w:val="0"/>
              <w:marRight w:val="0"/>
              <w:marTop w:val="0"/>
              <w:marBottom w:val="0"/>
              <w:divBdr>
                <w:top w:val="none" w:sz="0" w:space="0" w:color="auto"/>
                <w:left w:val="none" w:sz="0" w:space="0" w:color="auto"/>
                <w:bottom w:val="none" w:sz="0" w:space="0" w:color="auto"/>
                <w:right w:val="none" w:sz="0" w:space="0" w:color="auto"/>
              </w:divBdr>
              <w:divsChild>
                <w:div w:id="1003435612">
                  <w:marLeft w:val="0"/>
                  <w:marRight w:val="0"/>
                  <w:marTop w:val="0"/>
                  <w:marBottom w:val="0"/>
                  <w:divBdr>
                    <w:top w:val="none" w:sz="0" w:space="0" w:color="auto"/>
                    <w:left w:val="none" w:sz="0" w:space="0" w:color="auto"/>
                    <w:bottom w:val="none" w:sz="0" w:space="0" w:color="auto"/>
                    <w:right w:val="none" w:sz="0" w:space="0" w:color="auto"/>
                  </w:divBdr>
                  <w:divsChild>
                    <w:div w:id="10034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5728">
      <w:marLeft w:val="0"/>
      <w:marRight w:val="0"/>
      <w:marTop w:val="0"/>
      <w:marBottom w:val="0"/>
      <w:divBdr>
        <w:top w:val="none" w:sz="0" w:space="0" w:color="auto"/>
        <w:left w:val="none" w:sz="0" w:space="0" w:color="auto"/>
        <w:bottom w:val="none" w:sz="0" w:space="0" w:color="auto"/>
        <w:right w:val="none" w:sz="0" w:space="0" w:color="auto"/>
      </w:divBdr>
      <w:divsChild>
        <w:div w:id="1003435642">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3435693">
                  <w:marLeft w:val="0"/>
                  <w:marRight w:val="0"/>
                  <w:marTop w:val="0"/>
                  <w:marBottom w:val="0"/>
                  <w:divBdr>
                    <w:top w:val="none" w:sz="0" w:space="0" w:color="auto"/>
                    <w:left w:val="none" w:sz="0" w:space="0" w:color="auto"/>
                    <w:bottom w:val="none" w:sz="0" w:space="0" w:color="auto"/>
                    <w:right w:val="none" w:sz="0" w:space="0" w:color="auto"/>
                  </w:divBdr>
                  <w:divsChild>
                    <w:div w:id="10034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5730">
      <w:marLeft w:val="0"/>
      <w:marRight w:val="0"/>
      <w:marTop w:val="0"/>
      <w:marBottom w:val="0"/>
      <w:divBdr>
        <w:top w:val="none" w:sz="0" w:space="0" w:color="auto"/>
        <w:left w:val="none" w:sz="0" w:space="0" w:color="auto"/>
        <w:bottom w:val="none" w:sz="0" w:space="0" w:color="auto"/>
        <w:right w:val="none" w:sz="0" w:space="0" w:color="auto"/>
      </w:divBdr>
      <w:divsChild>
        <w:div w:id="1003435672">
          <w:marLeft w:val="0"/>
          <w:marRight w:val="0"/>
          <w:marTop w:val="0"/>
          <w:marBottom w:val="0"/>
          <w:divBdr>
            <w:top w:val="none" w:sz="0" w:space="0" w:color="auto"/>
            <w:left w:val="none" w:sz="0" w:space="0" w:color="auto"/>
            <w:bottom w:val="none" w:sz="0" w:space="0" w:color="auto"/>
            <w:right w:val="none" w:sz="0" w:space="0" w:color="auto"/>
          </w:divBdr>
          <w:divsChild>
            <w:div w:id="1003435635">
              <w:marLeft w:val="0"/>
              <w:marRight w:val="0"/>
              <w:marTop w:val="0"/>
              <w:marBottom w:val="0"/>
              <w:divBdr>
                <w:top w:val="none" w:sz="0" w:space="0" w:color="auto"/>
                <w:left w:val="none" w:sz="0" w:space="0" w:color="auto"/>
                <w:bottom w:val="none" w:sz="0" w:space="0" w:color="auto"/>
                <w:right w:val="none" w:sz="0" w:space="0" w:color="auto"/>
              </w:divBdr>
              <w:divsChild>
                <w:div w:id="1003435697">
                  <w:marLeft w:val="0"/>
                  <w:marRight w:val="0"/>
                  <w:marTop w:val="0"/>
                  <w:marBottom w:val="0"/>
                  <w:divBdr>
                    <w:top w:val="none" w:sz="0" w:space="0" w:color="auto"/>
                    <w:left w:val="none" w:sz="0" w:space="0" w:color="auto"/>
                    <w:bottom w:val="none" w:sz="0" w:space="0" w:color="auto"/>
                    <w:right w:val="none" w:sz="0" w:space="0" w:color="auto"/>
                  </w:divBdr>
                  <w:divsChild>
                    <w:div w:id="100343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5731">
      <w:marLeft w:val="0"/>
      <w:marRight w:val="0"/>
      <w:marTop w:val="0"/>
      <w:marBottom w:val="0"/>
      <w:divBdr>
        <w:top w:val="none" w:sz="0" w:space="0" w:color="auto"/>
        <w:left w:val="none" w:sz="0" w:space="0" w:color="auto"/>
        <w:bottom w:val="none" w:sz="0" w:space="0" w:color="auto"/>
        <w:right w:val="none" w:sz="0" w:space="0" w:color="auto"/>
      </w:divBdr>
      <w:divsChild>
        <w:div w:id="1003435629">
          <w:marLeft w:val="0"/>
          <w:marRight w:val="0"/>
          <w:marTop w:val="0"/>
          <w:marBottom w:val="0"/>
          <w:divBdr>
            <w:top w:val="none" w:sz="0" w:space="0" w:color="auto"/>
            <w:left w:val="none" w:sz="0" w:space="0" w:color="auto"/>
            <w:bottom w:val="none" w:sz="0" w:space="0" w:color="auto"/>
            <w:right w:val="none" w:sz="0" w:space="0" w:color="auto"/>
          </w:divBdr>
          <w:divsChild>
            <w:div w:id="1003435632">
              <w:marLeft w:val="0"/>
              <w:marRight w:val="0"/>
              <w:marTop w:val="0"/>
              <w:marBottom w:val="0"/>
              <w:divBdr>
                <w:top w:val="none" w:sz="0" w:space="0" w:color="auto"/>
                <w:left w:val="none" w:sz="0" w:space="0" w:color="auto"/>
                <w:bottom w:val="none" w:sz="0" w:space="0" w:color="auto"/>
                <w:right w:val="none" w:sz="0" w:space="0" w:color="auto"/>
              </w:divBdr>
              <w:divsChild>
                <w:div w:id="1003435660">
                  <w:marLeft w:val="0"/>
                  <w:marRight w:val="0"/>
                  <w:marTop w:val="0"/>
                  <w:marBottom w:val="0"/>
                  <w:divBdr>
                    <w:top w:val="none" w:sz="0" w:space="0" w:color="auto"/>
                    <w:left w:val="none" w:sz="0" w:space="0" w:color="auto"/>
                    <w:bottom w:val="none" w:sz="0" w:space="0" w:color="auto"/>
                    <w:right w:val="none" w:sz="0" w:space="0" w:color="auto"/>
                  </w:divBdr>
                  <w:divsChild>
                    <w:div w:id="10034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5734">
      <w:marLeft w:val="0"/>
      <w:marRight w:val="0"/>
      <w:marTop w:val="0"/>
      <w:marBottom w:val="0"/>
      <w:divBdr>
        <w:top w:val="none" w:sz="0" w:space="0" w:color="auto"/>
        <w:left w:val="none" w:sz="0" w:space="0" w:color="auto"/>
        <w:bottom w:val="none" w:sz="0" w:space="0" w:color="auto"/>
        <w:right w:val="none" w:sz="0" w:space="0" w:color="auto"/>
      </w:divBdr>
      <w:divsChild>
        <w:div w:id="1003435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F2DD0-5BE2-48DB-A505-060CF7D55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4039</Words>
  <Characters>23027</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АльвинСервис</Company>
  <LinksUpToDate>false</LinksUpToDate>
  <CharactersWithSpaces>27012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КирилловЮЮ</dc:creator>
  <cp:keywords/>
  <dc:description/>
  <cp:lastModifiedBy>admin</cp:lastModifiedBy>
  <cp:revision>2</cp:revision>
  <dcterms:created xsi:type="dcterms:W3CDTF">2014-03-12T14:05:00Z</dcterms:created>
  <dcterms:modified xsi:type="dcterms:W3CDTF">2014-03-12T14:05:00Z</dcterms:modified>
</cp:coreProperties>
</file>