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12" w:rsidRPr="00944C23" w:rsidRDefault="00944C23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Международная </w:t>
      </w:r>
      <w:r w:rsidRPr="00944C23">
        <w:rPr>
          <w:bCs/>
          <w:iCs/>
          <w:sz w:val="28"/>
          <w:szCs w:val="28"/>
        </w:rPr>
        <w:t>"</w:t>
      </w:r>
      <w:r w:rsidR="00FD7A12" w:rsidRPr="00944C23">
        <w:rPr>
          <w:bCs/>
          <w:iCs/>
          <w:sz w:val="28"/>
          <w:szCs w:val="28"/>
        </w:rPr>
        <w:t>Лига р</w:t>
      </w:r>
      <w:r>
        <w:rPr>
          <w:bCs/>
          <w:iCs/>
          <w:sz w:val="28"/>
          <w:szCs w:val="28"/>
        </w:rPr>
        <w:t>азвития науки и образования</w:t>
      </w:r>
      <w:r w:rsidRPr="00944C23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 xml:space="preserve"> (Россия</w:t>
      </w:r>
      <w:r w:rsidR="00FD7A12" w:rsidRPr="00944C23">
        <w:rPr>
          <w:bCs/>
          <w:iCs/>
          <w:sz w:val="28"/>
          <w:szCs w:val="28"/>
        </w:rPr>
        <w:t>)</w:t>
      </w: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944C23">
        <w:rPr>
          <w:bCs/>
          <w:iCs/>
          <w:sz w:val="28"/>
          <w:szCs w:val="28"/>
        </w:rPr>
        <w:t>Международная ассоциация развития науки,</w:t>
      </w:r>
    </w:p>
    <w:p w:rsidR="00FD7A12" w:rsidRPr="00944C23" w:rsidRDefault="00944C23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и культуры России (Италия</w:t>
      </w:r>
      <w:r w:rsidR="00FD7A12" w:rsidRPr="00944C23">
        <w:rPr>
          <w:bCs/>
          <w:iCs/>
          <w:sz w:val="28"/>
          <w:szCs w:val="28"/>
        </w:rPr>
        <w:t>)</w:t>
      </w:r>
    </w:p>
    <w:p w:rsidR="00FD7A12" w:rsidRDefault="00944C23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944C23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>ИНСТИТУТ УПРАВЛЕНИЯ</w:t>
      </w:r>
      <w:r w:rsidRPr="00944C23">
        <w:rPr>
          <w:bCs/>
          <w:iCs/>
          <w:sz w:val="28"/>
          <w:szCs w:val="28"/>
        </w:rPr>
        <w:t>"</w:t>
      </w:r>
    </w:p>
    <w:p w:rsidR="00944C23" w:rsidRDefault="00944C23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Волгоградский филиал</w:t>
      </w:r>
    </w:p>
    <w:p w:rsidR="00944C23" w:rsidRDefault="00944C23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944C23" w:rsidRDefault="00944C23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944C23" w:rsidRPr="00944C23" w:rsidRDefault="00944C23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FD7A12" w:rsidRPr="00944C23" w:rsidRDefault="00FD7A12" w:rsidP="00944C23">
      <w:pPr>
        <w:pStyle w:val="1"/>
        <w:spacing w:line="360" w:lineRule="auto"/>
        <w:ind w:firstLine="709"/>
        <w:rPr>
          <w:b w:val="0"/>
          <w:sz w:val="28"/>
          <w:szCs w:val="28"/>
        </w:rPr>
      </w:pPr>
      <w:r w:rsidRPr="00944C23">
        <w:rPr>
          <w:b w:val="0"/>
          <w:sz w:val="28"/>
          <w:szCs w:val="28"/>
        </w:rPr>
        <w:t>КОНТРОЛЬНАЯ  РАБОТА</w:t>
      </w:r>
    </w:p>
    <w:p w:rsidR="00FD7A12" w:rsidRPr="00944C23" w:rsidRDefault="00FD7A12" w:rsidP="00944C23">
      <w:pPr>
        <w:spacing w:line="360" w:lineRule="auto"/>
        <w:ind w:firstLine="709"/>
        <w:jc w:val="center"/>
        <w:rPr>
          <w:sz w:val="28"/>
          <w:szCs w:val="28"/>
        </w:rPr>
      </w:pPr>
    </w:p>
    <w:p w:rsidR="00FD7A12" w:rsidRPr="00944C23" w:rsidRDefault="00FD7A12" w:rsidP="00944C23">
      <w:pPr>
        <w:spacing w:line="360" w:lineRule="auto"/>
        <w:ind w:firstLine="709"/>
        <w:jc w:val="center"/>
        <w:rPr>
          <w:sz w:val="28"/>
          <w:szCs w:val="28"/>
        </w:rPr>
      </w:pPr>
    </w:p>
    <w:p w:rsidR="00FD7A12" w:rsidRPr="00944C23" w:rsidRDefault="00944C23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дисциплине </w:t>
      </w:r>
      <w:r w:rsidRPr="00944C23">
        <w:rPr>
          <w:bCs/>
          <w:sz w:val="28"/>
          <w:szCs w:val="28"/>
        </w:rPr>
        <w:t>"</w:t>
      </w:r>
      <w:r w:rsidR="00202101" w:rsidRPr="00944C23">
        <w:rPr>
          <w:bCs/>
          <w:sz w:val="28"/>
          <w:szCs w:val="28"/>
        </w:rPr>
        <w:t>И</w:t>
      </w:r>
      <w:r w:rsidR="00FD7A12" w:rsidRPr="00944C23">
        <w:rPr>
          <w:bCs/>
          <w:sz w:val="28"/>
          <w:szCs w:val="28"/>
        </w:rPr>
        <w:t>сследование сис</w:t>
      </w:r>
      <w:r>
        <w:rPr>
          <w:bCs/>
          <w:sz w:val="28"/>
          <w:szCs w:val="28"/>
        </w:rPr>
        <w:t>тем управления</w:t>
      </w:r>
      <w:r w:rsidRPr="00944C23">
        <w:rPr>
          <w:bCs/>
          <w:sz w:val="28"/>
          <w:szCs w:val="28"/>
        </w:rPr>
        <w:t>"</w:t>
      </w:r>
    </w:p>
    <w:p w:rsidR="00FD7A12" w:rsidRPr="00944C23" w:rsidRDefault="00944C23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FD7A12" w:rsidRPr="00944C23">
        <w:rPr>
          <w:bCs/>
          <w:sz w:val="28"/>
          <w:szCs w:val="28"/>
        </w:rPr>
        <w:t>ема</w:t>
      </w:r>
      <w:r w:rsidR="00202101" w:rsidRPr="00944C23">
        <w:rPr>
          <w:bCs/>
          <w:sz w:val="28"/>
          <w:szCs w:val="28"/>
        </w:rPr>
        <w:t>:</w:t>
      </w:r>
      <w:r w:rsidR="00FD7A12" w:rsidRPr="00944C23">
        <w:rPr>
          <w:bCs/>
          <w:sz w:val="28"/>
          <w:szCs w:val="28"/>
        </w:rPr>
        <w:t xml:space="preserve"> </w:t>
      </w:r>
      <w:r w:rsidRPr="00944C23">
        <w:rPr>
          <w:bCs/>
          <w:sz w:val="28"/>
          <w:szCs w:val="28"/>
        </w:rPr>
        <w:t>"</w:t>
      </w:r>
      <w:r w:rsidR="00FD7A12" w:rsidRPr="00944C23">
        <w:rPr>
          <w:bCs/>
          <w:sz w:val="28"/>
          <w:szCs w:val="28"/>
        </w:rPr>
        <w:t>Исследование доходной части бюдж</w:t>
      </w:r>
      <w:r>
        <w:rPr>
          <w:bCs/>
          <w:sz w:val="28"/>
          <w:szCs w:val="28"/>
        </w:rPr>
        <w:t>ета муниципального образования</w:t>
      </w:r>
      <w:r w:rsidRPr="00944C23">
        <w:rPr>
          <w:bCs/>
          <w:sz w:val="28"/>
          <w:szCs w:val="28"/>
        </w:rPr>
        <w:t>"</w:t>
      </w: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44C23">
        <w:rPr>
          <w:bCs/>
          <w:sz w:val="28"/>
          <w:szCs w:val="28"/>
        </w:rPr>
        <w:t>Выполнила: студентка</w:t>
      </w: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44C23">
        <w:rPr>
          <w:bCs/>
          <w:sz w:val="28"/>
          <w:szCs w:val="28"/>
        </w:rPr>
        <w:t>гр. М 401-05</w:t>
      </w:r>
    </w:p>
    <w:p w:rsidR="00FD7A12" w:rsidRPr="00944C23" w:rsidRDefault="00944C23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Кузнецова А.</w:t>
      </w:r>
      <w:r w:rsidR="00FD7A12" w:rsidRPr="00944C23">
        <w:rPr>
          <w:bCs/>
          <w:sz w:val="28"/>
          <w:szCs w:val="28"/>
        </w:rPr>
        <w:t>В.</w:t>
      </w: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44C23">
        <w:rPr>
          <w:bCs/>
          <w:sz w:val="28"/>
          <w:szCs w:val="28"/>
        </w:rPr>
        <w:t>Проверил преподаватель:</w:t>
      </w:r>
    </w:p>
    <w:p w:rsidR="00FD7A12" w:rsidRPr="00944C23" w:rsidRDefault="00944C23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Бганцев В.</w:t>
      </w:r>
      <w:r w:rsidR="00FD7A12" w:rsidRPr="00944C23">
        <w:rPr>
          <w:bCs/>
          <w:sz w:val="28"/>
          <w:szCs w:val="28"/>
        </w:rPr>
        <w:t>В.</w:t>
      </w: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D7A12" w:rsidRP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944C23" w:rsidRDefault="00FD7A12" w:rsidP="00944C2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44C23">
        <w:rPr>
          <w:bCs/>
          <w:sz w:val="28"/>
          <w:szCs w:val="28"/>
        </w:rPr>
        <w:t xml:space="preserve">Волгоград – </w:t>
      </w:r>
      <w:smartTag w:uri="urn:schemas-microsoft-com:office:smarttags" w:element="metricconverter">
        <w:smartTagPr>
          <w:attr w:name="ProductID" w:val="2009 г"/>
        </w:smartTagPr>
        <w:r w:rsidRPr="00944C23">
          <w:rPr>
            <w:bCs/>
            <w:sz w:val="28"/>
            <w:szCs w:val="28"/>
          </w:rPr>
          <w:t>2009 г</w:t>
        </w:r>
      </w:smartTag>
      <w:r w:rsidRPr="00944C23">
        <w:rPr>
          <w:bCs/>
          <w:sz w:val="28"/>
          <w:szCs w:val="28"/>
        </w:rPr>
        <w:t>.</w:t>
      </w:r>
    </w:p>
    <w:p w:rsidR="008F7D40" w:rsidRPr="008F7D40" w:rsidRDefault="00944C23" w:rsidP="00944C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E724A" w:rsidRPr="008F7D40">
        <w:rPr>
          <w:sz w:val="28"/>
          <w:szCs w:val="28"/>
        </w:rPr>
        <w:t>Проблема</w:t>
      </w:r>
      <w:r w:rsidR="008F7D40" w:rsidRPr="008F7D40">
        <w:rPr>
          <w:sz w:val="28"/>
          <w:szCs w:val="28"/>
        </w:rPr>
        <w:t>:</w:t>
      </w:r>
    </w:p>
    <w:p w:rsidR="008F7D40" w:rsidRPr="00944C23" w:rsidRDefault="00BE724A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Доля собственных доходов в бюджете муниципального образования ниже плана, что приводит к дефициту бюджета</w:t>
      </w:r>
      <w:r w:rsidR="00202101" w:rsidRPr="00944C23">
        <w:rPr>
          <w:sz w:val="28"/>
          <w:szCs w:val="28"/>
        </w:rPr>
        <w:t xml:space="preserve"> муниципального образования</w:t>
      </w:r>
      <w:r w:rsidRPr="00944C23">
        <w:rPr>
          <w:sz w:val="28"/>
          <w:szCs w:val="28"/>
        </w:rPr>
        <w:t>, уменьшению дотаций из регионального и федерального бюджетов и как следствие не возможна в полно</w:t>
      </w:r>
      <w:r w:rsidR="008F7D40">
        <w:rPr>
          <w:sz w:val="28"/>
          <w:szCs w:val="28"/>
        </w:rPr>
        <w:t>м объеме реализация социально–</w:t>
      </w:r>
      <w:r w:rsidRPr="00944C23">
        <w:rPr>
          <w:sz w:val="28"/>
          <w:szCs w:val="28"/>
        </w:rPr>
        <w:t>экономических программ развития сельского поселения.</w:t>
      </w:r>
    </w:p>
    <w:p w:rsidR="008F7D40" w:rsidRPr="008F7D40" w:rsidRDefault="00BE724A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8F7D40">
        <w:rPr>
          <w:sz w:val="28"/>
          <w:szCs w:val="28"/>
        </w:rPr>
        <w:t>Цель исследования</w:t>
      </w:r>
      <w:r w:rsidR="008F7D40">
        <w:rPr>
          <w:sz w:val="28"/>
          <w:szCs w:val="28"/>
        </w:rPr>
        <w:t>:</w:t>
      </w:r>
    </w:p>
    <w:p w:rsidR="00BE724A" w:rsidRPr="00944C23" w:rsidRDefault="00BE724A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Выявить возможности повышения доходной части бюджета муниципального образования за счет собственных доходов.</w:t>
      </w:r>
    </w:p>
    <w:p w:rsidR="005067E3" w:rsidRPr="00944C23" w:rsidRDefault="00BE724A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Обосновать методы повышения доходной части бюджета муниципального образования за счет собственных доходов</w:t>
      </w:r>
      <w:r w:rsidR="002D6C5F" w:rsidRPr="00944C23">
        <w:rPr>
          <w:sz w:val="28"/>
          <w:szCs w:val="28"/>
        </w:rPr>
        <w:t>.</w:t>
      </w:r>
    </w:p>
    <w:p w:rsidR="002D6C5F" w:rsidRPr="00944C23" w:rsidRDefault="002D6C5F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Задачи исследования</w:t>
      </w:r>
      <w:r w:rsidRPr="00944C23">
        <w:rPr>
          <w:sz w:val="28"/>
          <w:szCs w:val="28"/>
          <w:lang w:val="en-US"/>
        </w:rPr>
        <w:t>:</w:t>
      </w:r>
    </w:p>
    <w:p w:rsidR="002D6C5F" w:rsidRPr="00944C23" w:rsidRDefault="002D6C5F" w:rsidP="00944C2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44C23">
        <w:rPr>
          <w:sz w:val="28"/>
          <w:szCs w:val="28"/>
        </w:rPr>
        <w:t>Изучение доходной части бюджета муниципального образования в разрезе по его структуре. Структура доходной части бюджета муниципального образования состоит</w:t>
      </w:r>
      <w:r w:rsidRPr="00944C23">
        <w:rPr>
          <w:sz w:val="28"/>
          <w:szCs w:val="28"/>
          <w:lang w:val="en-US"/>
        </w:rPr>
        <w:t>:</w:t>
      </w:r>
    </w:p>
    <w:p w:rsidR="002D6C5F" w:rsidRPr="00944C23" w:rsidRDefault="005067E3" w:rsidP="00944C23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налоговых доходов</w:t>
      </w:r>
      <w:r w:rsidR="00202101" w:rsidRPr="00944C23">
        <w:rPr>
          <w:sz w:val="28"/>
          <w:szCs w:val="28"/>
        </w:rPr>
        <w:t>, которые включают в себя налог на имущество физических лиц, земельный налог, налог на доходы физических лиц</w:t>
      </w:r>
      <w:r w:rsidRPr="00944C23">
        <w:rPr>
          <w:sz w:val="28"/>
          <w:szCs w:val="28"/>
        </w:rPr>
        <w:t>;</w:t>
      </w:r>
    </w:p>
    <w:p w:rsidR="005067E3" w:rsidRPr="00944C23" w:rsidRDefault="005067E3" w:rsidP="00944C23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неналоговых доходов</w:t>
      </w:r>
      <w:r w:rsidR="00202101" w:rsidRPr="00944C23">
        <w:rPr>
          <w:sz w:val="28"/>
          <w:szCs w:val="28"/>
        </w:rPr>
        <w:t>, которые включают в себя доходы от использования имущества, находящегося в муниципальной собственности, доходы от платных услуг, оказываемых бюджетными учреждениями, доходы от деятельности административной комиссии</w:t>
      </w:r>
      <w:r w:rsidRPr="00944C23">
        <w:rPr>
          <w:sz w:val="28"/>
          <w:szCs w:val="28"/>
        </w:rPr>
        <w:t>;</w:t>
      </w:r>
    </w:p>
    <w:p w:rsidR="005067E3" w:rsidRPr="00944C23" w:rsidRDefault="005067E3" w:rsidP="00944C23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безвозмездных перечислений</w:t>
      </w:r>
      <w:r w:rsidR="00202101" w:rsidRPr="00944C23">
        <w:rPr>
          <w:sz w:val="28"/>
          <w:szCs w:val="28"/>
        </w:rPr>
        <w:t>, которые включают в себя межбюджетные трансферты</w:t>
      </w:r>
      <w:r w:rsidRPr="00944C23">
        <w:rPr>
          <w:sz w:val="28"/>
          <w:szCs w:val="28"/>
        </w:rPr>
        <w:t>.</w:t>
      </w:r>
    </w:p>
    <w:p w:rsidR="005067E3" w:rsidRPr="00944C23" w:rsidRDefault="005067E3" w:rsidP="00944C2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Выявление показателей в доходной части бюджета муниципального образования</w:t>
      </w:r>
      <w:r w:rsidR="00202101" w:rsidRPr="00944C23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по которым не выполняется план и причины его не выполнения.</w:t>
      </w:r>
    </w:p>
    <w:p w:rsidR="005067E3" w:rsidRPr="00944C23" w:rsidRDefault="005067E3" w:rsidP="00944C2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Разработка практических рекомендаций по увеличению доходной части бюджета муниципального образования за счет собственных доходов.</w:t>
      </w:r>
    </w:p>
    <w:p w:rsidR="005067E3" w:rsidRPr="00944C23" w:rsidRDefault="005067E3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Объект исследования:</w:t>
      </w:r>
    </w:p>
    <w:p w:rsidR="005067E3" w:rsidRPr="00944C23" w:rsidRDefault="005067E3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Экономическое состояние муниципального образования.</w:t>
      </w:r>
    </w:p>
    <w:p w:rsidR="005067E3" w:rsidRPr="00944C23" w:rsidRDefault="005067E3" w:rsidP="00944C2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4C23">
        <w:rPr>
          <w:sz w:val="28"/>
          <w:szCs w:val="28"/>
        </w:rPr>
        <w:t>Предмет исследования</w:t>
      </w:r>
      <w:r w:rsidRPr="00944C23">
        <w:rPr>
          <w:sz w:val="28"/>
          <w:szCs w:val="28"/>
          <w:lang w:val="en-US"/>
        </w:rPr>
        <w:t>:</w:t>
      </w:r>
    </w:p>
    <w:p w:rsidR="005067E3" w:rsidRPr="00944C23" w:rsidRDefault="005067E3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Система управления муниципальным образованием. Данная система управления относится к открытым системам, так как имеет множественные связи с внешней средой. Система управления характеризуется четкой иерархией и разделением труда, следовательно</w:t>
      </w:r>
      <w:r w:rsidR="00202101" w:rsidRPr="00944C23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относится к централизованным механистическим структурам.</w:t>
      </w:r>
    </w:p>
    <w:p w:rsidR="00202101" w:rsidRPr="00944C23" w:rsidRDefault="001F2B5F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Подход к</w:t>
      </w:r>
      <w:r w:rsidR="00202101" w:rsidRPr="00944C23">
        <w:rPr>
          <w:sz w:val="28"/>
          <w:szCs w:val="28"/>
        </w:rPr>
        <w:t xml:space="preserve"> исследованию:</w:t>
      </w:r>
    </w:p>
    <w:p w:rsidR="00202101" w:rsidRPr="00944C23" w:rsidRDefault="00202101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Проблема пополнения доходной части бюджета муниципального образования будет рассма</w:t>
      </w:r>
      <w:r w:rsidR="00944C23">
        <w:rPr>
          <w:sz w:val="28"/>
          <w:szCs w:val="28"/>
        </w:rPr>
        <w:t>триваться в рамках структурно–</w:t>
      </w:r>
      <w:r w:rsidRPr="00944C23">
        <w:rPr>
          <w:sz w:val="28"/>
          <w:szCs w:val="28"/>
        </w:rPr>
        <w:t>функционального подхода, так как доходная часть бюджета муниципального образования имеет свою структуру</w:t>
      </w:r>
      <w:r w:rsidR="008F7D40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и выявит</w:t>
      </w:r>
      <w:r w:rsidR="001F2B5F" w:rsidRPr="00944C23">
        <w:rPr>
          <w:sz w:val="28"/>
          <w:szCs w:val="28"/>
        </w:rPr>
        <w:t>ь</w:t>
      </w:r>
      <w:r w:rsidRPr="00944C23">
        <w:rPr>
          <w:sz w:val="28"/>
          <w:szCs w:val="28"/>
        </w:rPr>
        <w:t xml:space="preserve"> проблему нужно</w:t>
      </w:r>
      <w:r w:rsidR="008F7D40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разбивая целое на части, затем каждую часть надо проанализировать</w:t>
      </w:r>
      <w:r w:rsidR="001F2B5F" w:rsidRPr="00944C23">
        <w:rPr>
          <w:sz w:val="28"/>
          <w:szCs w:val="28"/>
        </w:rPr>
        <w:t xml:space="preserve">, следовательно, для исследования данной проблемы </w:t>
      </w:r>
      <w:r w:rsidR="006C7D35" w:rsidRPr="00944C23">
        <w:rPr>
          <w:sz w:val="28"/>
          <w:szCs w:val="28"/>
        </w:rPr>
        <w:t>буду использовать метод анализа</w:t>
      </w:r>
      <w:r w:rsidR="001F2B5F" w:rsidRPr="00944C23">
        <w:rPr>
          <w:sz w:val="28"/>
          <w:szCs w:val="28"/>
        </w:rPr>
        <w:t>.</w:t>
      </w:r>
    </w:p>
    <w:p w:rsidR="001F2B5F" w:rsidRPr="00944C23" w:rsidRDefault="001F2B5F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Гипотеза</w:t>
      </w:r>
      <w:r w:rsidRPr="00944C23">
        <w:rPr>
          <w:sz w:val="28"/>
          <w:szCs w:val="28"/>
          <w:lang w:val="en-US"/>
        </w:rPr>
        <w:t>:</w:t>
      </w:r>
    </w:p>
    <w:p w:rsidR="008F7D40" w:rsidRDefault="001F2B5F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Согласно гипотезе</w:t>
      </w:r>
      <w:r w:rsidR="00944C23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рост доходов в бюджете муниципального образования зависит от экономической активности жителей данного сельского поселения, от наличия природных ресурсов на данной территории, развитой ресурсной базы. Имеет так же значение выявление внутренних резервов экономии расходов.</w:t>
      </w:r>
    </w:p>
    <w:p w:rsidR="001F2B5F" w:rsidRPr="008F7D40" w:rsidRDefault="008F7D40" w:rsidP="00944C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F7D40">
        <w:rPr>
          <w:b/>
          <w:sz w:val="28"/>
          <w:szCs w:val="28"/>
        </w:rPr>
        <w:t>Основная часть</w:t>
      </w:r>
    </w:p>
    <w:p w:rsidR="008F7D40" w:rsidRPr="00944C23" w:rsidRDefault="008F7D40" w:rsidP="00944C23">
      <w:pPr>
        <w:spacing w:line="360" w:lineRule="auto"/>
        <w:ind w:firstLine="709"/>
        <w:jc w:val="both"/>
        <w:rPr>
          <w:sz w:val="28"/>
          <w:szCs w:val="28"/>
        </w:rPr>
      </w:pPr>
    </w:p>
    <w:p w:rsidR="005067E3" w:rsidRPr="00944C23" w:rsidRDefault="00744C0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Рассмотрим</w:t>
      </w:r>
      <w:r w:rsidR="000438F2" w:rsidRPr="00944C23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из чего складывается доходная часть бюджета муниципального образования. Она состоит из трех частей:</w:t>
      </w:r>
    </w:p>
    <w:p w:rsidR="00744C02" w:rsidRPr="00944C23" w:rsidRDefault="00744C02" w:rsidP="00944C2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44C23">
        <w:rPr>
          <w:sz w:val="28"/>
          <w:szCs w:val="28"/>
        </w:rPr>
        <w:t>Налоговые доходы</w:t>
      </w:r>
      <w:r w:rsidRPr="00944C23">
        <w:rPr>
          <w:sz w:val="28"/>
          <w:szCs w:val="28"/>
          <w:lang w:val="en-US"/>
        </w:rPr>
        <w:t>;</w:t>
      </w:r>
    </w:p>
    <w:p w:rsidR="00744C02" w:rsidRPr="00944C23" w:rsidRDefault="00744C02" w:rsidP="00944C2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44C23">
        <w:rPr>
          <w:sz w:val="28"/>
          <w:szCs w:val="28"/>
        </w:rPr>
        <w:t>Неналоговые доходы</w:t>
      </w:r>
      <w:r w:rsidRPr="00944C23">
        <w:rPr>
          <w:sz w:val="28"/>
          <w:szCs w:val="28"/>
          <w:lang w:val="en-US"/>
        </w:rPr>
        <w:t>;</w:t>
      </w:r>
    </w:p>
    <w:p w:rsidR="00744C02" w:rsidRPr="00944C23" w:rsidRDefault="00744C02" w:rsidP="00944C2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44C23">
        <w:rPr>
          <w:sz w:val="28"/>
          <w:szCs w:val="28"/>
        </w:rPr>
        <w:t>Безвозмездные поступления.</w:t>
      </w:r>
    </w:p>
    <w:p w:rsidR="00744C02" w:rsidRPr="008F7D40" w:rsidRDefault="00744C0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Налоговые доходы в свою очередь включают в себя местные налоги</w:t>
      </w:r>
      <w:r w:rsidR="008F7D40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принятые представительным органом местного самоуправления. К ним относятся</w:t>
      </w:r>
      <w:r w:rsidRPr="008F7D40">
        <w:rPr>
          <w:sz w:val="28"/>
          <w:szCs w:val="28"/>
        </w:rPr>
        <w:t>:</w:t>
      </w:r>
    </w:p>
    <w:p w:rsidR="00744C02" w:rsidRPr="00944C23" w:rsidRDefault="00744C02" w:rsidP="00944C2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налог на имущество физических лиц;</w:t>
      </w:r>
    </w:p>
    <w:p w:rsidR="00744C02" w:rsidRPr="00944C23" w:rsidRDefault="00744C02" w:rsidP="00944C2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налог на землю</w:t>
      </w:r>
      <w:r w:rsidRPr="00944C23">
        <w:rPr>
          <w:sz w:val="28"/>
          <w:szCs w:val="28"/>
          <w:lang w:val="en-US"/>
        </w:rPr>
        <w:t>;</w:t>
      </w:r>
    </w:p>
    <w:p w:rsidR="00744C02" w:rsidRPr="00944C23" w:rsidRDefault="00744C02" w:rsidP="00944C2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</w:t>
      </w:r>
      <w:r w:rsidR="00944C23">
        <w:rPr>
          <w:sz w:val="28"/>
          <w:szCs w:val="28"/>
        </w:rPr>
        <w:t>алог на доходы физических лиц (</w:t>
      </w:r>
      <w:r w:rsidRPr="00944C23">
        <w:rPr>
          <w:sz w:val="28"/>
          <w:szCs w:val="28"/>
        </w:rPr>
        <w:t>в бюджет муниципальных обра</w:t>
      </w:r>
      <w:r w:rsidR="00944C23">
        <w:rPr>
          <w:sz w:val="28"/>
          <w:szCs w:val="28"/>
        </w:rPr>
        <w:t>зований зачисляется 10% от НДФЛ</w:t>
      </w:r>
      <w:r w:rsidRPr="00944C23">
        <w:rPr>
          <w:sz w:val="28"/>
          <w:szCs w:val="28"/>
        </w:rPr>
        <w:t>).</w:t>
      </w:r>
    </w:p>
    <w:p w:rsidR="00744C02" w:rsidRPr="00944C23" w:rsidRDefault="00744C0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К неналоговым доходам относят</w:t>
      </w:r>
      <w:r w:rsidRPr="00944C23">
        <w:rPr>
          <w:sz w:val="28"/>
          <w:szCs w:val="28"/>
          <w:lang w:val="en-US"/>
        </w:rPr>
        <w:t>;</w:t>
      </w:r>
    </w:p>
    <w:p w:rsidR="00744C02" w:rsidRPr="00944C23" w:rsidRDefault="00744C0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- доходы от использования муниципального имущества, находящегося в муниципальной собственности в частности арендная плата;</w:t>
      </w:r>
    </w:p>
    <w:p w:rsidR="00744C02" w:rsidRPr="00944C23" w:rsidRDefault="00744C0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- доходы от платных услуг</w:t>
      </w:r>
      <w:r w:rsidR="000438F2" w:rsidRPr="00944C23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оказываемых муниципальными бюджетными учреждениями;</w:t>
      </w:r>
    </w:p>
    <w:p w:rsidR="00744C02" w:rsidRPr="00944C23" w:rsidRDefault="00744C0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- доходы от деятельности административной комиссии.</w:t>
      </w:r>
    </w:p>
    <w:p w:rsidR="005D187F" w:rsidRPr="00944C23" w:rsidRDefault="005D187F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Безвозмездные перечисления включают в себя межбюджетные трансферты.</w:t>
      </w:r>
    </w:p>
    <w:p w:rsidR="005F4B76" w:rsidRPr="00944C23" w:rsidRDefault="005D187F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Для выявления показателей в доходной части бюджета муниципального образования</w:t>
      </w:r>
      <w:r w:rsidR="006C7D35" w:rsidRPr="00944C23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по которым не выполняется план</w:t>
      </w:r>
      <w:r w:rsidR="006C7D35" w:rsidRPr="00944C23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обратимся к  статистическому отчету за период с 2006 по 2008 год и проанализируем его.</w:t>
      </w:r>
    </w:p>
    <w:p w:rsidR="005F4B76" w:rsidRPr="00944C23" w:rsidRDefault="005F4B76" w:rsidP="00944C2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2046"/>
        <w:gridCol w:w="2046"/>
        <w:gridCol w:w="1905"/>
      </w:tblGrid>
      <w:tr w:rsidR="005F4B76" w:rsidRPr="00260A5F" w:rsidTr="00260A5F">
        <w:tc>
          <w:tcPr>
            <w:tcW w:w="3003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Статьи доходов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 xml:space="preserve">% исполнения плана 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60A5F">
                <w:rPr>
                  <w:sz w:val="20"/>
                  <w:szCs w:val="20"/>
                </w:rPr>
                <w:t>2006 г</w:t>
              </w:r>
            </w:smartTag>
            <w:r w:rsidRPr="00260A5F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 xml:space="preserve">% исполнения плана 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60A5F">
                <w:rPr>
                  <w:sz w:val="20"/>
                  <w:szCs w:val="20"/>
                </w:rPr>
                <w:t>2007 г</w:t>
              </w:r>
            </w:smartTag>
            <w:r w:rsidRPr="00260A5F"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 xml:space="preserve">% исполнения плана за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60A5F">
                <w:rPr>
                  <w:sz w:val="20"/>
                  <w:szCs w:val="20"/>
                </w:rPr>
                <w:t>2008 г</w:t>
              </w:r>
            </w:smartTag>
            <w:r w:rsidRPr="00260A5F">
              <w:rPr>
                <w:sz w:val="20"/>
                <w:szCs w:val="20"/>
              </w:rPr>
              <w:t>.</w:t>
            </w:r>
          </w:p>
        </w:tc>
      </w:tr>
      <w:tr w:rsidR="005F4B76" w:rsidRPr="00260A5F" w:rsidTr="00260A5F">
        <w:tc>
          <w:tcPr>
            <w:tcW w:w="3003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43,8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45,7</w:t>
            </w:r>
          </w:p>
        </w:tc>
        <w:tc>
          <w:tcPr>
            <w:tcW w:w="1905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59,7</w:t>
            </w:r>
          </w:p>
        </w:tc>
      </w:tr>
      <w:tr w:rsidR="005F4B76" w:rsidRPr="00260A5F" w:rsidTr="00260A5F">
        <w:tc>
          <w:tcPr>
            <w:tcW w:w="3003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Налог на землю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84,5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88,1</w:t>
            </w:r>
          </w:p>
        </w:tc>
        <w:tc>
          <w:tcPr>
            <w:tcW w:w="1905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92,3</w:t>
            </w:r>
          </w:p>
        </w:tc>
      </w:tr>
      <w:tr w:rsidR="005F4B76" w:rsidRPr="00260A5F" w:rsidTr="00260A5F">
        <w:tc>
          <w:tcPr>
            <w:tcW w:w="3003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НДФЛ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93,0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94,2</w:t>
            </w:r>
          </w:p>
        </w:tc>
        <w:tc>
          <w:tcPr>
            <w:tcW w:w="1905" w:type="dxa"/>
            <w:shd w:val="clear" w:color="auto" w:fill="auto"/>
          </w:tcPr>
          <w:p w:rsidR="005F4B76" w:rsidRPr="00260A5F" w:rsidRDefault="005F4B76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95,1</w:t>
            </w:r>
          </w:p>
        </w:tc>
      </w:tr>
      <w:tr w:rsidR="005F4B76" w:rsidRPr="00260A5F" w:rsidTr="00260A5F">
        <w:tc>
          <w:tcPr>
            <w:tcW w:w="3003" w:type="dxa"/>
            <w:shd w:val="clear" w:color="auto" w:fill="auto"/>
          </w:tcPr>
          <w:p w:rsidR="005F4B76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Доходы от использования муниципального имущества в т.ч. арендная плата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22,7</w:t>
            </w:r>
          </w:p>
        </w:tc>
        <w:tc>
          <w:tcPr>
            <w:tcW w:w="2046" w:type="dxa"/>
            <w:shd w:val="clear" w:color="auto" w:fill="auto"/>
          </w:tcPr>
          <w:p w:rsidR="005F4B76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32,6</w:t>
            </w:r>
          </w:p>
        </w:tc>
        <w:tc>
          <w:tcPr>
            <w:tcW w:w="1905" w:type="dxa"/>
            <w:shd w:val="clear" w:color="auto" w:fill="auto"/>
          </w:tcPr>
          <w:p w:rsidR="005F4B76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42,4</w:t>
            </w:r>
          </w:p>
        </w:tc>
      </w:tr>
      <w:tr w:rsidR="00BB049C" w:rsidRPr="00260A5F" w:rsidTr="00260A5F">
        <w:tc>
          <w:tcPr>
            <w:tcW w:w="3003" w:type="dxa"/>
            <w:shd w:val="clear" w:color="auto" w:fill="auto"/>
          </w:tcPr>
          <w:p w:rsidR="00BB049C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Платные услуги оказываемые бюджетными учреждениями</w:t>
            </w:r>
          </w:p>
        </w:tc>
        <w:tc>
          <w:tcPr>
            <w:tcW w:w="2046" w:type="dxa"/>
            <w:shd w:val="clear" w:color="auto" w:fill="auto"/>
          </w:tcPr>
          <w:p w:rsidR="00BB049C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84,1</w:t>
            </w:r>
          </w:p>
        </w:tc>
        <w:tc>
          <w:tcPr>
            <w:tcW w:w="2046" w:type="dxa"/>
            <w:shd w:val="clear" w:color="auto" w:fill="auto"/>
          </w:tcPr>
          <w:p w:rsidR="00BB049C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85,0</w:t>
            </w:r>
          </w:p>
        </w:tc>
        <w:tc>
          <w:tcPr>
            <w:tcW w:w="1905" w:type="dxa"/>
            <w:shd w:val="clear" w:color="auto" w:fill="auto"/>
          </w:tcPr>
          <w:p w:rsidR="00BB049C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86,7</w:t>
            </w:r>
          </w:p>
        </w:tc>
      </w:tr>
      <w:tr w:rsidR="00BB049C" w:rsidRPr="00260A5F" w:rsidTr="00260A5F">
        <w:tc>
          <w:tcPr>
            <w:tcW w:w="3003" w:type="dxa"/>
            <w:shd w:val="clear" w:color="auto" w:fill="auto"/>
          </w:tcPr>
          <w:p w:rsidR="00BB049C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Доходы от деятельности административной комиссии</w:t>
            </w:r>
          </w:p>
        </w:tc>
        <w:tc>
          <w:tcPr>
            <w:tcW w:w="2046" w:type="dxa"/>
            <w:shd w:val="clear" w:color="auto" w:fill="auto"/>
          </w:tcPr>
          <w:p w:rsidR="00BB049C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21,3</w:t>
            </w:r>
          </w:p>
        </w:tc>
        <w:tc>
          <w:tcPr>
            <w:tcW w:w="2046" w:type="dxa"/>
            <w:shd w:val="clear" w:color="auto" w:fill="auto"/>
          </w:tcPr>
          <w:p w:rsidR="00BB049C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25,6</w:t>
            </w:r>
          </w:p>
        </w:tc>
        <w:tc>
          <w:tcPr>
            <w:tcW w:w="1905" w:type="dxa"/>
            <w:shd w:val="clear" w:color="auto" w:fill="auto"/>
          </w:tcPr>
          <w:p w:rsidR="00BB049C" w:rsidRPr="00260A5F" w:rsidRDefault="00BB049C" w:rsidP="00260A5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60A5F">
              <w:rPr>
                <w:sz w:val="20"/>
                <w:szCs w:val="20"/>
              </w:rPr>
              <w:t>31,2</w:t>
            </w:r>
          </w:p>
        </w:tc>
      </w:tr>
    </w:tbl>
    <w:p w:rsidR="005067E3" w:rsidRPr="00944C23" w:rsidRDefault="005067E3" w:rsidP="00944C23">
      <w:pPr>
        <w:spacing w:line="360" w:lineRule="auto"/>
        <w:ind w:firstLine="709"/>
        <w:jc w:val="both"/>
        <w:rPr>
          <w:sz w:val="28"/>
          <w:szCs w:val="28"/>
        </w:rPr>
      </w:pPr>
    </w:p>
    <w:p w:rsidR="00BB049C" w:rsidRPr="00944C23" w:rsidRDefault="00BB049C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Как видим из таблицы</w:t>
      </w:r>
      <w:r w:rsidR="003713DE" w:rsidRPr="00944C23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наиболее приемлемым является выполнение плана по земельному налогу.</w:t>
      </w:r>
      <w:r w:rsidR="003713DE" w:rsidRPr="00944C23">
        <w:rPr>
          <w:sz w:val="28"/>
          <w:szCs w:val="28"/>
        </w:rPr>
        <w:t xml:space="preserve"> </w:t>
      </w:r>
    </w:p>
    <w:p w:rsidR="003713DE" w:rsidRPr="00944C23" w:rsidRDefault="003713DE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Не выполняется план по налогу на имущество физических лиц, но с 2006 года по 2008 год имеется небольшая тенденция к улучшению показателей по этому виду налога. Низкий процент выполнения плана по налогу на имущество ф</w:t>
      </w:r>
      <w:r w:rsidR="008F7D40">
        <w:rPr>
          <w:sz w:val="28"/>
          <w:szCs w:val="28"/>
        </w:rPr>
        <w:t>изических лиц складывается из–</w:t>
      </w:r>
      <w:r w:rsidRPr="00944C23">
        <w:rPr>
          <w:sz w:val="28"/>
          <w:szCs w:val="28"/>
        </w:rPr>
        <w:t>за того, что многие потенциальные налогоплательщики данного налога не подают заявление на регистрацию права собственности на недвижимое имущество и земельные участки и соответственно не уплачивают налог по указанному имуществу, что приводит к значительным потерям местного бюджета муниципального образования.</w:t>
      </w:r>
    </w:p>
    <w:p w:rsidR="003713DE" w:rsidRPr="00944C23" w:rsidRDefault="003713DE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Налог на доходы физических лиц на протяжении двух лет практически выполняется. Количество предпринимателей, проживающих на террито</w:t>
      </w:r>
      <w:r w:rsidR="008D240C" w:rsidRPr="00944C23">
        <w:rPr>
          <w:sz w:val="28"/>
          <w:szCs w:val="28"/>
        </w:rPr>
        <w:t>рии муниципального образования 11</w:t>
      </w:r>
      <w:r w:rsidRPr="00944C23">
        <w:rPr>
          <w:sz w:val="28"/>
          <w:szCs w:val="28"/>
        </w:rPr>
        <w:t xml:space="preserve"> человек, налог на доходы физических лиц уплачиваются своевременно, исключение составляют два человека имеющие задолженность по данному виду налога</w:t>
      </w:r>
      <w:r w:rsidR="008D240C" w:rsidRPr="00944C23">
        <w:rPr>
          <w:sz w:val="28"/>
          <w:szCs w:val="28"/>
        </w:rPr>
        <w:t>.</w:t>
      </w:r>
    </w:p>
    <w:p w:rsidR="008D240C" w:rsidRPr="00944C23" w:rsidRDefault="008D240C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 xml:space="preserve">Также низкий процент выполнения плана на протяжении трех лет получает бюджет муниципального образования от использования муниципального имущества. Это связано с тем, что недостаточно эффективно используется муниципальное имущество, на протяжении двух лет не поступала плата за аренду площадей в двух муниципальных учреждениях. </w:t>
      </w:r>
    </w:p>
    <w:p w:rsidR="008D240C" w:rsidRPr="00944C23" w:rsidRDefault="008D240C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Доходы от платных услуг, оказываемых муниципальными учреждениями</w:t>
      </w:r>
      <w:r w:rsidR="000438F2" w:rsidRPr="00944C23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подлежат зачислению в местный бюджет, процент выполнения по этому виду дохода ниже запланированного, с наметившейся тенденцией к увеличению. Низкий процент выполнения плана обусловлен тем, что расценки и тарифы на платные услуги, оказываемые бюджетными учреждениями</w:t>
      </w:r>
      <w:r w:rsidR="008F7D40">
        <w:rPr>
          <w:sz w:val="28"/>
          <w:szCs w:val="28"/>
        </w:rPr>
        <w:t>,</w:t>
      </w:r>
      <w:r w:rsidRPr="00944C23">
        <w:rPr>
          <w:sz w:val="28"/>
          <w:szCs w:val="28"/>
        </w:rPr>
        <w:t xml:space="preserve"> </w:t>
      </w:r>
      <w:r w:rsidR="00B62CC5" w:rsidRPr="00944C23">
        <w:rPr>
          <w:sz w:val="28"/>
          <w:szCs w:val="28"/>
        </w:rPr>
        <w:t xml:space="preserve"> устарели и занижены, т.е., ниже рыночных.</w:t>
      </w:r>
    </w:p>
    <w:p w:rsidR="000438F2" w:rsidRPr="00944C23" w:rsidRDefault="000438F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Доходы, поступающие от деятельности административной комиссии – это штрафы за административные правонарушения. Процент выполнения этого вида дохода низкий, так как административная комиссия за административные правонарушения ограничивается в основном предупреждениями, а не штрафами.</w:t>
      </w:r>
    </w:p>
    <w:p w:rsidR="000438F2" w:rsidRPr="00944C23" w:rsidRDefault="000438F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Практические рекомендации по увеличению доходной части бюджета муниципального образования за счет собственных доходов.</w:t>
      </w:r>
    </w:p>
    <w:p w:rsidR="000438F2" w:rsidRPr="00944C23" w:rsidRDefault="000438F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Одним из источников мобилизации доходов местного бюджета муниципального образования является увеличение поступлений от местных налогов. Это налог на имущество физических лиц и земельный налог</w:t>
      </w:r>
      <w:r w:rsidR="00825341" w:rsidRPr="00944C23">
        <w:rPr>
          <w:sz w:val="28"/>
          <w:szCs w:val="28"/>
        </w:rPr>
        <w:t>.</w:t>
      </w:r>
    </w:p>
    <w:p w:rsidR="00825341" w:rsidRPr="00944C23" w:rsidRDefault="00825341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Налог на имущество физических лиц имеет низкий процент поступления за последние три года в связи с этим необходимо организовать контроль за начислением и поступлением данного вида налога в бюджет муниципального образования, для этого необходимо:</w:t>
      </w:r>
    </w:p>
    <w:p w:rsidR="00825341" w:rsidRPr="00944C23" w:rsidRDefault="00825341" w:rsidP="00944C2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Провести мероприятия по выявлению собственников земельных участков и недвижимого имущества с целью привлечения их к налогообложению;</w:t>
      </w:r>
    </w:p>
    <w:p w:rsidR="00825341" w:rsidRPr="00944C23" w:rsidRDefault="00825341" w:rsidP="00944C2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Содействовать в оформлении прав собственности на земельные участки и имущество физических лиц;</w:t>
      </w:r>
    </w:p>
    <w:p w:rsidR="00825341" w:rsidRPr="00944C23" w:rsidRDefault="00825341" w:rsidP="00944C2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Рекомендовать представительному органу местного самоуправления устанавливать экономические обоснованные налоговые ставки по местным налогам;</w:t>
      </w:r>
    </w:p>
    <w:p w:rsidR="00825341" w:rsidRPr="00944C23" w:rsidRDefault="00825341" w:rsidP="00944C2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Органам местного самоуправления в целях обеспечения полноты учета налогоплательщиков</w:t>
      </w:r>
      <w:r w:rsidR="00C834F9" w:rsidRPr="00944C23">
        <w:rPr>
          <w:sz w:val="28"/>
          <w:szCs w:val="28"/>
        </w:rPr>
        <w:t xml:space="preserve"> необходимо и целесообразно провести работу по выявлению собственников имущества и земельных участков</w:t>
      </w:r>
      <w:r w:rsidR="008F7D40">
        <w:rPr>
          <w:sz w:val="28"/>
          <w:szCs w:val="28"/>
        </w:rPr>
        <w:t>,</w:t>
      </w:r>
      <w:r w:rsidR="00C834F9" w:rsidRPr="00944C23">
        <w:rPr>
          <w:sz w:val="28"/>
          <w:szCs w:val="28"/>
        </w:rPr>
        <w:t xml:space="preserve"> не оформивших имущественные права в установленном порядке, а так же необходимо проводить разъяснительную работу с физическими лицами, которые являются потенциальными плательщиками налога на имущество физических лиц и на землю.</w:t>
      </w:r>
      <w:r w:rsidR="00206912" w:rsidRPr="00944C23">
        <w:rPr>
          <w:sz w:val="28"/>
          <w:szCs w:val="28"/>
        </w:rPr>
        <w:t xml:space="preserve"> При оформлении органами местного самоуправления разрешений на строительство и ввод в эксплуатацию объектов, застройщик обязан предоставить в органы местного самоуправления правоустанавливающие документы на земельный участок.</w:t>
      </w:r>
    </w:p>
    <w:p w:rsidR="00F37F07" w:rsidRPr="00944C23" w:rsidRDefault="00F37F07" w:rsidP="00944C2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4C23">
        <w:rPr>
          <w:sz w:val="28"/>
          <w:szCs w:val="28"/>
        </w:rPr>
        <w:t>В целях увеличения доходной части бюджета муниципального образования необходимо разработать комплекс мер по поступлению неналоговых доходов в бюджет муниципального образования. Для увеличения доходов от использования муниципального имущества необходимо систематизировать сведения о его наличии и использовании. В связи с этим рекомендуются следующие мероприятия</w:t>
      </w:r>
      <w:r w:rsidRPr="00944C23">
        <w:rPr>
          <w:sz w:val="28"/>
          <w:szCs w:val="28"/>
          <w:lang w:val="en-US"/>
        </w:rPr>
        <w:t>:</w:t>
      </w:r>
    </w:p>
    <w:p w:rsidR="00F37F07" w:rsidRPr="00944C23" w:rsidRDefault="00F37F07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1. Проведение инвентаризации имущества, находящегося в муниципальной собственности с целью выявления</w:t>
      </w:r>
      <w:r w:rsidR="008F7D40">
        <w:rPr>
          <w:sz w:val="28"/>
          <w:szCs w:val="28"/>
        </w:rPr>
        <w:t xml:space="preserve"> неиспользованного (бесхозного</w:t>
      </w:r>
      <w:r w:rsidRPr="00944C23">
        <w:rPr>
          <w:sz w:val="28"/>
          <w:szCs w:val="28"/>
        </w:rPr>
        <w:t>) и установление направления по его эффективному использованию;</w:t>
      </w:r>
    </w:p>
    <w:p w:rsidR="00F37F07" w:rsidRPr="00944C23" w:rsidRDefault="00F37F07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 xml:space="preserve">2. Определение и утверждения перечня, сдаваемого в аренду имущества с целью увеличения доходов, получаемых в виде арендной платы или иной платы за сдачу во временное пользование и распоряжение; </w:t>
      </w:r>
    </w:p>
    <w:p w:rsidR="00F37F07" w:rsidRPr="00944C23" w:rsidRDefault="00F37F07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3. Выявление неиспользуемых основных фондов бюджетных учреждений и принятие мер по их продаже или сдаче в аренду.</w:t>
      </w:r>
    </w:p>
    <w:p w:rsidR="008F7D40" w:rsidRDefault="00F37F07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В целях мо</w:t>
      </w:r>
      <w:r w:rsidR="004D5C8C" w:rsidRPr="00944C23">
        <w:rPr>
          <w:sz w:val="28"/>
          <w:szCs w:val="28"/>
        </w:rPr>
        <w:t>билизации доходов от платных услуг</w:t>
      </w:r>
      <w:r w:rsidR="007D690D" w:rsidRPr="00944C23">
        <w:rPr>
          <w:sz w:val="28"/>
          <w:szCs w:val="28"/>
        </w:rPr>
        <w:t>, оказываемых муниципальными учреждениями необходимо органам местного самоуправления предусмотреть установление заданий по объемам привлечения дополнительных средств муниципальными учреждениями, находящимися в ведении органов местного самоуправления, без ущерба размеру и качеству услуг, предоставляемых населения бесплатно. Так же необходимо пересмотреть установленные ранее расценки и тарифы по предоставляемым платным услугам в сторону их увеличения, так как данные расценки занижены.</w:t>
      </w:r>
    </w:p>
    <w:p w:rsidR="007D690D" w:rsidRPr="008F7D40" w:rsidRDefault="008F7D40" w:rsidP="00944C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690D" w:rsidRPr="008F7D40">
        <w:rPr>
          <w:b/>
          <w:sz w:val="28"/>
          <w:szCs w:val="28"/>
        </w:rPr>
        <w:t>Вывод</w:t>
      </w:r>
    </w:p>
    <w:p w:rsidR="008F7D40" w:rsidRPr="008F7D40" w:rsidRDefault="008F7D40" w:rsidP="00944C23">
      <w:pPr>
        <w:spacing w:line="360" w:lineRule="auto"/>
        <w:ind w:firstLine="709"/>
        <w:jc w:val="both"/>
        <w:rPr>
          <w:sz w:val="28"/>
          <w:szCs w:val="28"/>
        </w:rPr>
      </w:pPr>
    </w:p>
    <w:p w:rsidR="007D690D" w:rsidRPr="00944C23" w:rsidRDefault="007D690D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Системный анализ показал, что экономическая активность населения муниципального образования низкая, так как потенциальные налогоплательщики не оформляют право собственности на недвижимость и земельные участки, тем самым бюджет муниципального образования не получает доходы в нужном объеме от местных налогов и как следствие возможность по реализации социально – экономических программ развития сельского поселения уменьшается.</w:t>
      </w:r>
    </w:p>
    <w:p w:rsidR="007D690D" w:rsidRPr="00944C23" w:rsidRDefault="007D690D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Органы местного самоуправления</w:t>
      </w:r>
      <w:r w:rsidR="007B1561" w:rsidRPr="00944C23">
        <w:rPr>
          <w:sz w:val="28"/>
          <w:szCs w:val="28"/>
        </w:rPr>
        <w:t xml:space="preserve"> сельского поселения недостаточно используют свой потенциал по разъяснительной работе с населением</w:t>
      </w:r>
      <w:r w:rsidR="006C7D35" w:rsidRPr="00944C23">
        <w:rPr>
          <w:sz w:val="28"/>
          <w:szCs w:val="28"/>
        </w:rPr>
        <w:t xml:space="preserve"> по поводу оформления прав собственности на недвижимость и земельные участки. Имеет смыл привлекать населения к работам по благоустройству территории собственного поселения, организовывать субботники с целью увеличения экономической активности населения муниципального образования.</w:t>
      </w:r>
    </w:p>
    <w:p w:rsidR="006C7D35" w:rsidRPr="00944C23" w:rsidRDefault="006C7D35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Также органам местного самоуправления необходимо систематизировать сведения о наличии и использовании муниципального имущества, провести его инвентаризацию и найти пути наиболее эффективного его использования.</w:t>
      </w:r>
    </w:p>
    <w:p w:rsidR="000438F2" w:rsidRPr="00944C23" w:rsidRDefault="00AD7692" w:rsidP="00944C23">
      <w:pPr>
        <w:spacing w:line="360" w:lineRule="auto"/>
        <w:ind w:firstLine="709"/>
        <w:jc w:val="both"/>
        <w:rPr>
          <w:sz w:val="28"/>
          <w:szCs w:val="28"/>
        </w:rPr>
      </w:pPr>
      <w:r w:rsidRPr="00944C23">
        <w:rPr>
          <w:sz w:val="28"/>
          <w:szCs w:val="28"/>
        </w:rPr>
        <w:t>Необходимо найти пути для более эффективной работы административной комиссии, необходимо регулярно проводить рейды членам административной комиссии и в качестве наказания прибегать не к предупреждениям, а штрафным санкциям.</w:t>
      </w:r>
      <w:bookmarkStart w:id="0" w:name="_GoBack"/>
      <w:bookmarkEnd w:id="0"/>
    </w:p>
    <w:sectPr w:rsidR="000438F2" w:rsidRPr="00944C23" w:rsidSect="00944C2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5F" w:rsidRDefault="00260A5F">
      <w:r>
        <w:separator/>
      </w:r>
    </w:p>
  </w:endnote>
  <w:endnote w:type="continuationSeparator" w:id="0">
    <w:p w:rsidR="00260A5F" w:rsidRDefault="0026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92" w:rsidRDefault="00AD7692" w:rsidP="005067E3">
    <w:pPr>
      <w:pStyle w:val="a3"/>
      <w:framePr w:wrap="around" w:vAnchor="text" w:hAnchor="margin" w:xAlign="right" w:y="1"/>
      <w:rPr>
        <w:rStyle w:val="a5"/>
      </w:rPr>
    </w:pPr>
  </w:p>
  <w:p w:rsidR="00AD7692" w:rsidRDefault="00AD7692" w:rsidP="005067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92" w:rsidRDefault="00F106EB" w:rsidP="005067E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D7692" w:rsidRDefault="00AD7692" w:rsidP="005067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5F" w:rsidRDefault="00260A5F">
      <w:r>
        <w:separator/>
      </w:r>
    </w:p>
  </w:footnote>
  <w:footnote w:type="continuationSeparator" w:id="0">
    <w:p w:rsidR="00260A5F" w:rsidRDefault="0026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826"/>
    <w:multiLevelType w:val="hybridMultilevel"/>
    <w:tmpl w:val="EC0881A4"/>
    <w:lvl w:ilvl="0" w:tplc="4FD2A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D0983"/>
    <w:multiLevelType w:val="hybridMultilevel"/>
    <w:tmpl w:val="879AB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52FB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B0139F"/>
    <w:multiLevelType w:val="hybridMultilevel"/>
    <w:tmpl w:val="43A6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2D6953"/>
    <w:multiLevelType w:val="hybridMultilevel"/>
    <w:tmpl w:val="B2864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A12"/>
    <w:rsid w:val="000438F2"/>
    <w:rsid w:val="0012461B"/>
    <w:rsid w:val="0013349A"/>
    <w:rsid w:val="0014670D"/>
    <w:rsid w:val="0017362A"/>
    <w:rsid w:val="00190D55"/>
    <w:rsid w:val="001F2B5F"/>
    <w:rsid w:val="00202101"/>
    <w:rsid w:val="00206912"/>
    <w:rsid w:val="00260A5F"/>
    <w:rsid w:val="0029294F"/>
    <w:rsid w:val="002D6C5F"/>
    <w:rsid w:val="003713DE"/>
    <w:rsid w:val="004D5C8C"/>
    <w:rsid w:val="005067E3"/>
    <w:rsid w:val="00512A11"/>
    <w:rsid w:val="005508F8"/>
    <w:rsid w:val="00570011"/>
    <w:rsid w:val="005D187F"/>
    <w:rsid w:val="005F4B76"/>
    <w:rsid w:val="006B6D94"/>
    <w:rsid w:val="006C7D35"/>
    <w:rsid w:val="006E4B8F"/>
    <w:rsid w:val="00744C02"/>
    <w:rsid w:val="007B1561"/>
    <w:rsid w:val="007D690D"/>
    <w:rsid w:val="00824B7E"/>
    <w:rsid w:val="00825341"/>
    <w:rsid w:val="008D21A9"/>
    <w:rsid w:val="008D240C"/>
    <w:rsid w:val="008F7D40"/>
    <w:rsid w:val="00944C23"/>
    <w:rsid w:val="00993BE7"/>
    <w:rsid w:val="00A01991"/>
    <w:rsid w:val="00AD7692"/>
    <w:rsid w:val="00B62CC5"/>
    <w:rsid w:val="00BB049C"/>
    <w:rsid w:val="00BE724A"/>
    <w:rsid w:val="00BF65C5"/>
    <w:rsid w:val="00C834F9"/>
    <w:rsid w:val="00D2061A"/>
    <w:rsid w:val="00D70EBF"/>
    <w:rsid w:val="00DF065E"/>
    <w:rsid w:val="00EE57BE"/>
    <w:rsid w:val="00F106EB"/>
    <w:rsid w:val="00F316C8"/>
    <w:rsid w:val="00F37F07"/>
    <w:rsid w:val="00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3CFB2F-934B-4556-B0B9-AC6D8037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7A1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5067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067E3"/>
    <w:rPr>
      <w:rFonts w:cs="Times New Roman"/>
    </w:rPr>
  </w:style>
  <w:style w:type="table" w:styleId="a6">
    <w:name w:val="Table Grid"/>
    <w:basedOn w:val="a1"/>
    <w:uiPriority w:val="99"/>
    <w:rsid w:val="005F4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"Лига развития науки и образования" (Россия)</vt:lpstr>
    </vt:vector>
  </TitlesOfParts>
  <Company>Reanimator EE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"Лига развития науки и образования" (Россия)</dc:title>
  <dc:subject/>
  <dc:creator>виктор</dc:creator>
  <cp:keywords/>
  <dc:description/>
  <cp:lastModifiedBy>admin</cp:lastModifiedBy>
  <cp:revision>2</cp:revision>
  <dcterms:created xsi:type="dcterms:W3CDTF">2014-03-12T14:33:00Z</dcterms:created>
  <dcterms:modified xsi:type="dcterms:W3CDTF">2014-03-12T14:33:00Z</dcterms:modified>
</cp:coreProperties>
</file>