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4B1" w:rsidRDefault="00D274B1">
      <w:pPr>
        <w:pStyle w:val="1"/>
        <w:outlineLvl w:val="0"/>
      </w:pPr>
      <w:r>
        <w:t>НИЖНЕВАРТОВСКИЙ  НЕФТЯНОЙ  ТЕХНИКУМ</w:t>
      </w:r>
    </w:p>
    <w:p w:rsidR="00D274B1" w:rsidRDefault="00D274B1">
      <w:pPr>
        <w:spacing w:before="0" w:after="0" w:line="360" w:lineRule="auto"/>
        <w:jc w:val="center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jc w:val="center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jc w:val="center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jc w:val="center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  <w:lang w:val="en-US"/>
        </w:rPr>
      </w:pPr>
    </w:p>
    <w:p w:rsidR="00D274B1" w:rsidRDefault="00D274B1">
      <w:pPr>
        <w:spacing w:before="0" w:after="0" w:line="360" w:lineRule="auto"/>
        <w:rPr>
          <w:sz w:val="28"/>
          <w:szCs w:val="28"/>
          <w:lang w:val="en-US"/>
        </w:rPr>
      </w:pPr>
    </w:p>
    <w:p w:rsidR="00D274B1" w:rsidRDefault="00D274B1">
      <w:pPr>
        <w:spacing w:before="0" w:after="0" w:line="360" w:lineRule="auto"/>
        <w:rPr>
          <w:sz w:val="28"/>
          <w:szCs w:val="28"/>
          <w:lang w:val="en-US"/>
        </w:rPr>
      </w:pPr>
    </w:p>
    <w:p w:rsidR="00D274B1" w:rsidRDefault="00D274B1">
      <w:pPr>
        <w:spacing w:before="0" w:after="0" w:line="360" w:lineRule="auto"/>
        <w:rPr>
          <w:sz w:val="28"/>
          <w:szCs w:val="28"/>
          <w:lang w:val="en-US"/>
        </w:rPr>
      </w:pPr>
    </w:p>
    <w:p w:rsidR="00D274B1" w:rsidRDefault="00D274B1">
      <w:pPr>
        <w:pStyle w:val="2"/>
        <w:outlineLvl w:val="1"/>
      </w:pPr>
      <w:r>
        <w:t>КОНТРОЛЬНАЯ  РАБОТА</w:t>
      </w:r>
    </w:p>
    <w:p w:rsidR="00D274B1" w:rsidRDefault="00D274B1">
      <w:pPr>
        <w:spacing w:before="0" w:after="0"/>
        <w:jc w:val="center"/>
        <w:rPr>
          <w:sz w:val="20"/>
          <w:szCs w:val="20"/>
        </w:rPr>
      </w:pPr>
      <w:r>
        <w:rPr>
          <w:sz w:val="32"/>
          <w:szCs w:val="32"/>
        </w:rPr>
        <w:t xml:space="preserve">по  курсу:  Гражданское право  </w:t>
      </w:r>
    </w:p>
    <w:p w:rsidR="00D274B1" w:rsidRDefault="00D274B1">
      <w:pPr>
        <w:spacing w:before="0" w:after="0"/>
        <w:rPr>
          <w:sz w:val="20"/>
          <w:szCs w:val="20"/>
        </w:rPr>
      </w:pPr>
    </w:p>
    <w:p w:rsidR="00D274B1" w:rsidRDefault="00D274B1">
      <w:pPr>
        <w:pStyle w:val="3"/>
        <w:outlineLvl w:val="2"/>
        <w:rPr>
          <w:sz w:val="20"/>
          <w:szCs w:val="20"/>
        </w:rPr>
      </w:pPr>
      <w:r>
        <w:rPr>
          <w:sz w:val="20"/>
          <w:szCs w:val="20"/>
        </w:rPr>
        <w:t>Контрольная работа № 2</w:t>
      </w:r>
    </w:p>
    <w:p w:rsidR="00D274B1" w:rsidRDefault="00D274B1">
      <w:pPr>
        <w:spacing w:before="0" w:after="0" w:line="360" w:lineRule="auto"/>
        <w:jc w:val="center"/>
        <w:rPr>
          <w:sz w:val="20"/>
          <w:szCs w:val="20"/>
        </w:rPr>
      </w:pPr>
    </w:p>
    <w:p w:rsidR="00D274B1" w:rsidRDefault="00D274B1">
      <w:pPr>
        <w:spacing w:before="0" w:after="0" w:line="360" w:lineRule="auto"/>
        <w:jc w:val="center"/>
        <w:rPr>
          <w:sz w:val="20"/>
          <w:szCs w:val="20"/>
          <w:lang w:val="en-US"/>
        </w:rPr>
      </w:pPr>
    </w:p>
    <w:p w:rsidR="00D274B1" w:rsidRDefault="00D274B1">
      <w:pPr>
        <w:spacing w:before="0" w:after="0" w:line="360" w:lineRule="auto"/>
        <w:rPr>
          <w:sz w:val="20"/>
          <w:szCs w:val="20"/>
        </w:rPr>
      </w:pPr>
    </w:p>
    <w:p w:rsidR="00D274B1" w:rsidRDefault="00D274B1">
      <w:pPr>
        <w:spacing w:before="0" w:after="0" w:line="360" w:lineRule="auto"/>
        <w:rPr>
          <w:sz w:val="20"/>
          <w:szCs w:val="20"/>
        </w:rPr>
      </w:pPr>
    </w:p>
    <w:p w:rsidR="00D274B1" w:rsidRDefault="00D274B1">
      <w:pPr>
        <w:spacing w:before="0" w:after="0" w:line="360" w:lineRule="auto"/>
        <w:rPr>
          <w:sz w:val="20"/>
          <w:szCs w:val="20"/>
        </w:rPr>
      </w:pPr>
    </w:p>
    <w:p w:rsidR="00D274B1" w:rsidRDefault="00D274B1">
      <w:pPr>
        <w:spacing w:before="0" w:after="0" w:line="360" w:lineRule="auto"/>
        <w:ind w:left="5760"/>
        <w:rPr>
          <w:sz w:val="20"/>
          <w:szCs w:val="20"/>
        </w:rPr>
      </w:pPr>
      <w:r>
        <w:rPr>
          <w:sz w:val="20"/>
          <w:szCs w:val="20"/>
        </w:rPr>
        <w:t xml:space="preserve">Выполнил:  студент  </w:t>
      </w:r>
      <w:r>
        <w:rPr>
          <w:sz w:val="20"/>
          <w:szCs w:val="20"/>
          <w:lang w:val="en-US"/>
        </w:rPr>
        <w:t>IV</w:t>
      </w:r>
      <w:r>
        <w:rPr>
          <w:sz w:val="20"/>
          <w:szCs w:val="20"/>
        </w:rPr>
        <w:t>-Юз  группы</w:t>
      </w:r>
    </w:p>
    <w:p w:rsidR="00D274B1" w:rsidRDefault="00D274B1">
      <w:pPr>
        <w:spacing w:before="0"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Юридического  факультета</w:t>
      </w:r>
    </w:p>
    <w:p w:rsidR="00D274B1" w:rsidRDefault="00D274B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:rsidR="00D274B1" w:rsidRDefault="00D274B1">
      <w:pPr>
        <w:spacing w:before="0" w:after="0" w:line="360" w:lineRule="auto"/>
        <w:ind w:left="21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</w:p>
    <w:p w:rsidR="00D274B1" w:rsidRDefault="00D274B1">
      <w:pPr>
        <w:spacing w:before="0" w:after="0" w:line="360" w:lineRule="auto"/>
        <w:ind w:left="21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Проверил:</w:t>
      </w: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г. Нижневартовск, 2002 г.</w:t>
      </w:r>
    </w:p>
    <w:p w:rsidR="00D274B1" w:rsidRDefault="00D274B1">
      <w:pPr>
        <w:spacing w:before="0" w:after="0" w:line="360" w:lineRule="auto"/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pStyle w:val="1"/>
        <w:ind w:firstLine="720"/>
        <w:outlineLvl w:val="0"/>
      </w:pPr>
      <w:r>
        <w:t>Контрольная  работа  № 2</w:t>
      </w: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numPr>
          <w:ilvl w:val="0"/>
          <w:numId w:val="1"/>
        </w:num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Комплектность  и  комплект  товара.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3-4</w:t>
      </w:r>
    </w:p>
    <w:p w:rsidR="00D274B1" w:rsidRDefault="00D274B1">
      <w:pPr>
        <w:spacing w:before="0" w:after="0" w:line="360" w:lineRule="auto"/>
        <w:ind w:left="720"/>
        <w:rPr>
          <w:sz w:val="28"/>
          <w:szCs w:val="28"/>
        </w:rPr>
      </w:pPr>
    </w:p>
    <w:p w:rsidR="00D274B1" w:rsidRDefault="00D274B1">
      <w:pPr>
        <w:numPr>
          <w:ilvl w:val="0"/>
          <w:numId w:val="1"/>
        </w:num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Договор  контрактации.  Особенности  субъективного  </w:t>
      </w:r>
    </w:p>
    <w:p w:rsidR="00D274B1" w:rsidRDefault="00D274B1">
      <w:p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состава,  предмета  ответственности.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5-8</w:t>
      </w: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numPr>
          <w:ilvl w:val="0"/>
          <w:numId w:val="1"/>
        </w:num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Понятие  и  признаки  рентных  договоров.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9-11</w:t>
      </w: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4.  Задачи  № 25, 15, 5.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10-16</w:t>
      </w: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Список литературы.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</w:t>
      </w: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numPr>
          <w:ilvl w:val="0"/>
          <w:numId w:val="3"/>
        </w:num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Комплектность  и  комплект  товара.</w:t>
      </w:r>
    </w:p>
    <w:p w:rsidR="00D274B1" w:rsidRDefault="00D274B1">
      <w:pPr>
        <w:spacing w:before="0" w:after="0" w:line="360" w:lineRule="auto"/>
        <w:ind w:firstLine="720"/>
        <w:rPr>
          <w:snapToGrid w:val="0"/>
          <w:sz w:val="28"/>
          <w:szCs w:val="28"/>
        </w:rPr>
      </w:pPr>
    </w:p>
    <w:p w:rsidR="00D274B1" w:rsidRDefault="00D274B1">
      <w:pPr>
        <w:pStyle w:val="20"/>
        <w:ind w:firstLine="720"/>
      </w:pPr>
      <w:r>
        <w:t>Комплект товаров - это их определенный набор (п. 1 ст. 479 ГК РФ). При этом каждый из товаров, входящих в комплект, является самостоятельным товаром, который может продаваться и использоваться по своему целевому назначению, независимо от других товаров, включенных в комплект. Состав комплекта является  договорным условием.</w:t>
      </w:r>
    </w:p>
    <w:p w:rsidR="00D274B1" w:rsidRDefault="00D274B1">
      <w:pPr>
        <w:spacing w:before="0" w:after="0" w:line="360" w:lineRule="auto"/>
        <w:ind w:firstLine="7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отличие от комплекта, под комплектностью следует понимать такую совокупность составных частей, которые и образуют с определенными потребительскими свойствами. Эти составные части конструктивно скомпонованы в единое изделие,  и самостоятельно не используются. </w:t>
      </w:r>
    </w:p>
    <w:p w:rsidR="00D274B1" w:rsidRDefault="00D274B1">
      <w:pPr>
        <w:spacing w:before="0" w:after="0" w:line="360" w:lineRule="auto"/>
        <w:ind w:firstLine="7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Отдельные части товара - комплектующие изделия, могут быть отделены от основной части товара и, как правило, изнашиваются быстрее последнего. В силу этого п. 3 ст. 470 ГК допускает возможность установления на эти части в договоре купли-продажи самостоятельного гарантийного срока, отличающегося по продолжительности от гарантийного срока на основное изделие. Если договором это не предусмотрено, гарантийный срок на основное изделие распространяется и на комплектующие изделия.</w:t>
      </w:r>
    </w:p>
    <w:p w:rsidR="00D274B1" w:rsidRDefault="00D274B1">
      <w:pPr>
        <w:spacing w:before="0" w:after="0" w:line="360" w:lineRule="auto"/>
        <w:ind w:firstLine="7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Технически сложные изделия иногда не могут выполнять свои функции без так называемых расходных материалов и деталей, которые не входят в состав товара (например, краска для принтеров  и т.п.).</w:t>
      </w:r>
    </w:p>
    <w:p w:rsidR="00D274B1" w:rsidRDefault="00D274B1">
      <w:pPr>
        <w:spacing w:before="0" w:after="0" w:line="360" w:lineRule="auto"/>
        <w:ind w:firstLine="7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Потому по избежание споров по поводу того, на что именно распространяются гарантийные обязательства, изготовитель (продавец) товара должен точно определить его комплектность. </w:t>
      </w:r>
    </w:p>
    <w:p w:rsidR="00D274B1" w:rsidRDefault="00D274B1">
      <w:pPr>
        <w:spacing w:before="0" w:after="0" w:line="360" w:lineRule="auto"/>
        <w:ind w:firstLine="7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Применительно к устранению недостатков товаров, в том числе и недокомплект, применяется ст. 18. Федерального закона от 9 января 1996 г. N 2-ФЗ  </w:t>
      </w:r>
      <w:r>
        <w:rPr>
          <w:sz w:val="28"/>
          <w:szCs w:val="28"/>
        </w:rPr>
        <w:t>"О защите прав потребителей", в которой указано, что</w:t>
      </w:r>
      <w:r>
        <w:rPr>
          <w:snapToGrid w:val="0"/>
          <w:sz w:val="28"/>
          <w:szCs w:val="28"/>
        </w:rPr>
        <w:t xml:space="preserve"> Потребитель, которому продан товар ненадлежащего качества, если оно не было оговорено продавцом, вправе по своему выбору потребовать безвозмездного устранения недостатков товара или возмещения расходов на их исправление потребителем или третьим лицом.</w:t>
      </w:r>
    </w:p>
    <w:p w:rsidR="00D274B1" w:rsidRDefault="00D274B1">
      <w:pPr>
        <w:spacing w:before="0" w:after="0" w:line="360" w:lineRule="auto"/>
        <w:ind w:firstLine="7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Согласно ст. 478 ГК, комплектность определяется договором купли-продажи. Это можно сделать различными способами: </w:t>
      </w:r>
    </w:p>
    <w:p w:rsidR="00D274B1" w:rsidRDefault="00D274B1">
      <w:pPr>
        <w:numPr>
          <w:ilvl w:val="0"/>
          <w:numId w:val="5"/>
        </w:numPr>
        <w:spacing w:before="0" w:after="0" w:line="360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путем ссылки на соответствующую техническую документацию в документах, прилагаемых к товару; </w:t>
      </w:r>
    </w:p>
    <w:p w:rsidR="00D274B1" w:rsidRDefault="00D274B1">
      <w:pPr>
        <w:numPr>
          <w:ilvl w:val="0"/>
          <w:numId w:val="5"/>
        </w:numPr>
        <w:spacing w:before="0" w:after="0" w:line="360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путем перечисления в этих документах составных частей товара; </w:t>
      </w:r>
    </w:p>
    <w:p w:rsidR="00D274B1" w:rsidRDefault="00D274B1">
      <w:pPr>
        <w:numPr>
          <w:ilvl w:val="0"/>
          <w:numId w:val="5"/>
        </w:numPr>
        <w:spacing w:before="0" w:after="0" w:line="360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путем перечисления расходных деталей или материалов, на которые гарантийные обязательства не распространяются.</w:t>
      </w:r>
    </w:p>
    <w:p w:rsidR="00D274B1" w:rsidRDefault="00D274B1">
      <w:pPr>
        <w:spacing w:before="0" w:after="0" w:line="360" w:lineRule="auto"/>
        <w:ind w:firstLine="7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Если договором комплектность товара не определена, она определяется обычаем делового оборота, т.е. сложившимися в определенной области правилами, не предусмотренными законодательством. О том, что определенная составная часть не входит в состав комплектности товара, можно заключить из указания, что цена этой части не входит в цену товара.</w:t>
      </w:r>
    </w:p>
    <w:p w:rsidR="00D274B1" w:rsidRDefault="00D274B1">
      <w:pPr>
        <w:spacing w:before="0" w:after="0" w:line="360" w:lineRule="auto"/>
        <w:ind w:firstLine="7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От комплекта товаров и комплектности товара отличается понятие "комплект поставки". В этот перечень обычно включают все, что передается потребителю (включая основное изделие, комплектующие изделия, запчасти, инструмент, предметы упаковки, различную документацию). Иногда комплект поставки ошибочно называют в документации комплектностью, что расширяет пределы ответственности изготовителя (продавца).</w:t>
      </w: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numPr>
          <w:ilvl w:val="0"/>
          <w:numId w:val="3"/>
        </w:num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Договор  контрактации.  Особенности  субъективного  состава,  предмета  ответственности.</w:t>
      </w: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ст. 535 ГК РФ дается следующее понятие договора контрактации: это договор, по которому производитель сельскохозяйственной продукции обязуется передать выращенную (произведенную) им сельскохозяйственную продукцию заготовителю. Заготовителем является лицо, осуществляющее закупки вышеназванной продукции для переработки или продажи. В обязанность производителя входит передача продукции в количестве ассортименте, предусмотренных договором контрактации, что закреплено в ст. 537 ГК РФ. Заготовитель же, согласно ст. 536 ГК РФ, обязан принять сельскохозяйственную продукцию у производителя по месту ее нахождения, а также обеспечить ее вывоз. Также естественной обязанностью заготовителя является уплата денег за продукцию. </w:t>
      </w:r>
    </w:p>
    <w:p w:rsidR="00D274B1" w:rsidRDefault="00D274B1">
      <w:pPr>
        <w:pStyle w:val="22"/>
        <w:rPr>
          <w:sz w:val="28"/>
          <w:szCs w:val="28"/>
        </w:rPr>
      </w:pPr>
      <w:r>
        <w:rPr>
          <w:sz w:val="28"/>
          <w:szCs w:val="28"/>
        </w:rPr>
        <w:t>Согласно статей параграфа 5 “Контрактация” ч. 2. ГК РФ можно выделить два вида данных договоров:</w:t>
      </w:r>
    </w:p>
    <w:p w:rsidR="00D274B1" w:rsidRDefault="00D274B1">
      <w:pPr>
        <w:pStyle w:val="22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договор, который заключается между государством и юридическими лицами;</w:t>
      </w:r>
    </w:p>
    <w:p w:rsidR="00D274B1" w:rsidRDefault="00D274B1">
      <w:pPr>
        <w:pStyle w:val="22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договор, заключаемый между любыми юридическими лицами, гражданами. </w:t>
      </w:r>
    </w:p>
    <w:p w:rsidR="00D274B1" w:rsidRDefault="00D274B1">
      <w:pPr>
        <w:spacing w:before="0" w:after="0" w:line="360" w:lineRule="auto"/>
        <w:ind w:left="485" w:firstLine="82"/>
        <w:rPr>
          <w:sz w:val="28"/>
          <w:szCs w:val="28"/>
        </w:rPr>
      </w:pPr>
      <w:r>
        <w:rPr>
          <w:sz w:val="28"/>
          <w:szCs w:val="28"/>
        </w:rPr>
        <w:t xml:space="preserve">Но исходя из практики применения, договор контрактации действует лишь в первом виде. </w:t>
      </w:r>
    </w:p>
    <w:p w:rsidR="00D274B1" w:rsidRDefault="00D274B1">
      <w:pPr>
        <w:spacing w:before="0"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Можно выделить характерные черты договора контрактации: </w:t>
      </w:r>
    </w:p>
    <w:p w:rsidR="00D274B1" w:rsidRDefault="00D274B1">
      <w:pPr>
        <w:numPr>
          <w:ilvl w:val="0"/>
          <w:numId w:val="5"/>
        </w:num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формальный, т. е. заключается в письменной форме;</w:t>
      </w:r>
    </w:p>
    <w:p w:rsidR="00D274B1" w:rsidRDefault="00D274B1">
      <w:pPr>
        <w:numPr>
          <w:ilvl w:val="0"/>
          <w:numId w:val="5"/>
        </w:num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срочный;</w:t>
      </w:r>
    </w:p>
    <w:p w:rsidR="00D274B1" w:rsidRDefault="00D274B1">
      <w:pPr>
        <w:numPr>
          <w:ilvl w:val="0"/>
          <w:numId w:val="5"/>
        </w:num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возмездный;</w:t>
      </w:r>
    </w:p>
    <w:p w:rsidR="00D274B1" w:rsidRDefault="00D274B1">
      <w:pPr>
        <w:numPr>
          <w:ilvl w:val="0"/>
          <w:numId w:val="5"/>
        </w:num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двухсторонний;</w:t>
      </w:r>
    </w:p>
    <w:p w:rsidR="00D274B1" w:rsidRDefault="00D274B1">
      <w:pPr>
        <w:numPr>
          <w:ilvl w:val="0"/>
          <w:numId w:val="5"/>
        </w:num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консенсуальный, т.е. считается заключенным с момента соглашения сторон. </w:t>
      </w:r>
    </w:p>
    <w:p w:rsidR="00D274B1" w:rsidRDefault="00D274B1">
      <w:pPr>
        <w:spacing w:before="0"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Развивающиеся в нашей стране рыночные отношения, диктуют свои особенности заключения договоров контрактации, в том числе и по кругу субъектов. </w:t>
      </w:r>
    </w:p>
    <w:p w:rsidR="00D274B1" w:rsidRDefault="00D274B1">
      <w:pPr>
        <w:spacing w:before="0"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Следует  отметить существование своеобразных уровней заключения договора контрактации. Они различаются в зависимости от субъекта, формирующего заказ: </w:t>
      </w:r>
    </w:p>
    <w:p w:rsidR="00D274B1" w:rsidRDefault="00D274B1">
      <w:pPr>
        <w:numPr>
          <w:ilvl w:val="0"/>
          <w:numId w:val="7"/>
        </w:num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первый уровень - заключение договора в целях обеспечения государственных федеральных нужд (федеральный фонд );</w:t>
      </w:r>
    </w:p>
    <w:p w:rsidR="00D274B1" w:rsidRDefault="00D274B1">
      <w:pPr>
        <w:numPr>
          <w:ilvl w:val="0"/>
          <w:numId w:val="7"/>
        </w:num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Второй уровень - заключение договора для региональных государственных нужд  (региональные фонды). </w:t>
      </w:r>
    </w:p>
    <w:p w:rsidR="00D274B1" w:rsidRDefault="00D274B1">
      <w:pPr>
        <w:spacing w:before="0"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Различаются названные уровни: </w:t>
      </w:r>
    </w:p>
    <w:p w:rsidR="00D274B1" w:rsidRDefault="00D274B1">
      <w:pPr>
        <w:numPr>
          <w:ilvl w:val="0"/>
          <w:numId w:val="9"/>
        </w:num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по территориальному охвату и целям;</w:t>
      </w:r>
    </w:p>
    <w:p w:rsidR="00D274B1" w:rsidRDefault="00D274B1">
      <w:pPr>
        <w:spacing w:before="0"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2)   по источникам финансирования.</w:t>
      </w:r>
    </w:p>
    <w:p w:rsidR="00D274B1" w:rsidRDefault="00D274B1">
      <w:pPr>
        <w:numPr>
          <w:ilvl w:val="0"/>
          <w:numId w:val="7"/>
        </w:num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 субъектам, разрабатывающим программы поставок. </w:t>
      </w:r>
    </w:p>
    <w:p w:rsidR="00D274B1" w:rsidRDefault="00D274B1">
      <w:pPr>
        <w:spacing w:before="0" w:after="0"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Федеральный фонд создается для удовлетворения потребностей в сельскохозяйственной </w:t>
      </w:r>
    </w:p>
    <w:p w:rsidR="00D274B1" w:rsidRDefault="00D274B1">
      <w:p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продукции районов Крайнего Севера и приравненных к ним территорий, экологически неблагополучных мест, и т. п.; финансируется из федерального бюджета и различных внебюджетных источников.</w:t>
      </w:r>
    </w:p>
    <w:p w:rsidR="00D274B1" w:rsidRDefault="00D274B1">
      <w:pPr>
        <w:spacing w:before="0"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Региональные фонды образуются для удовлетворения нужд субъектов РФ; финансируются из местных бюджетов, и внебюджетных фондов. </w:t>
      </w:r>
    </w:p>
    <w:p w:rsidR="00D274B1" w:rsidRDefault="00D274B1">
      <w:pPr>
        <w:spacing w:before="0"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Субъектами, разрабатывающими программы поставок, являются либо Правительство РФ, либо органы исполнительной власти субъектов РФ. </w:t>
      </w:r>
    </w:p>
    <w:p w:rsidR="00D274B1" w:rsidRDefault="00D274B1">
      <w:pPr>
        <w:spacing w:before="0"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Чаще всего заготовителем по рассматриваемому договору являются специально созданные для этого федеральные корпорации, но могут быть и юридические и физические лица при наличии соответствующих лицензий. Также контрактантом может выступать Федеральная продовольственная корпорация, созданная при Министерстве сельского хозяйства и продовольствия РФ Постановлением Правительства РФ от 3 октября 1994 г. №1121 “О создании федеральной продовольственной корпорации и системы органов продовольственного рынка”.</w:t>
      </w:r>
    </w:p>
    <w:p w:rsidR="00D274B1" w:rsidRDefault="00D274B1">
      <w:pPr>
        <w:spacing w:before="0"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роли поставщиков могут выступать: </w:t>
      </w:r>
    </w:p>
    <w:p w:rsidR="00D274B1" w:rsidRDefault="00D274B1">
      <w:pPr>
        <w:spacing w:before="0"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а) Любые сельскохозяйственные предприятия, непосредственно производящие сельскохозяйственную продукцию; </w:t>
      </w:r>
    </w:p>
    <w:p w:rsidR="00D274B1" w:rsidRDefault="00D274B1">
      <w:pPr>
        <w:spacing w:before="0"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б) Крестьянские (фермерские) хозяйства; </w:t>
      </w:r>
    </w:p>
    <w:p w:rsidR="00D274B1" w:rsidRDefault="00D274B1">
      <w:pPr>
        <w:spacing w:before="0"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в) Граждане, предприниматели, осуществляющие предпринимательскую деятельность без образования юридического лица ст. 17 Закона РСФСР от 22 ноября 1990 г. “О крестьянском </w:t>
      </w:r>
    </w:p>
    <w:p w:rsidR="00D274B1" w:rsidRDefault="00D274B1">
      <w:p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(фермерском) хозяйстве”.</w:t>
      </w:r>
    </w:p>
    <w:p w:rsidR="00D274B1" w:rsidRDefault="00D274B1">
      <w:pPr>
        <w:spacing w:before="0"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ab/>
        <w:t xml:space="preserve">Рассмотрим ответственность сторон по договору контрактации. </w:t>
      </w:r>
    </w:p>
    <w:p w:rsidR="00D274B1" w:rsidRDefault="00D274B1">
      <w:pPr>
        <w:spacing w:before="0" w:after="0" w:line="360" w:lineRule="auto"/>
        <w:ind w:firstLine="72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1. Ответственность государственного заказчика ( контрактанта, заготовителя ): </w:t>
      </w:r>
    </w:p>
    <w:p w:rsidR="00D274B1" w:rsidRDefault="00D274B1">
      <w:pPr>
        <w:spacing w:before="0"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а) При неисполнении или ненадлежащем исполнении Правительством РФ или органами исполнительной власти субъектов РФ гарантий по выделению государственным заказчикам финансовых средств (убытки возмещаются поставщикам (хозяйствам) и покупателям из средств сельскохозяйственных бюджетов); </w:t>
      </w:r>
    </w:p>
    <w:p w:rsidR="00D274B1" w:rsidRDefault="00D274B1">
      <w:pPr>
        <w:spacing w:before="0"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б) По общему правилу сторона, не исполнившая или ненадлежаще исполнившая обязательство, возмещает другой стороне причиненные убытки в порядке, предусмотренном в договоре или по ст. 15 ГК РФ, регулирующей порядок возмещения убытков; </w:t>
      </w:r>
    </w:p>
    <w:p w:rsidR="00D274B1" w:rsidRDefault="00D274B1">
      <w:pPr>
        <w:spacing w:before="0"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в) Если государственный заказчик полностью или частично отказывается от закупки сельскохозяйственной продукции по договору контрактации, то он возмещает убытки в полном объеме, если иное не предусмотрено в договоре (по ст. 534 ГК РФ); </w:t>
      </w:r>
    </w:p>
    <w:p w:rsidR="00D274B1" w:rsidRDefault="00D274B1">
      <w:pPr>
        <w:spacing w:before="0"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г) За несвоевременную оплату закупленной и поставленной сельскохозяйственной продукции для государственных нужд, покупатель уплачивает пени в размере 2% от суммы несвоевременно оплаченной продукции за каждый день просрочки. А при просрочке более 30 дней в размере 3%. Пеня взыскивается в безакцептном порядке банками покупателя продукции с взиманием в свою пользу до 5 % от суммы пени. </w:t>
      </w:r>
    </w:p>
    <w:p w:rsidR="00D274B1" w:rsidRDefault="00D274B1">
      <w:pPr>
        <w:spacing w:before="0" w:after="0" w:line="360" w:lineRule="auto"/>
        <w:ind w:firstLine="567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2. Ответственность хозяйства (поставщика). </w:t>
      </w:r>
    </w:p>
    <w:p w:rsidR="00D274B1" w:rsidRDefault="00D274B1">
      <w:pPr>
        <w:spacing w:before="0"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а) Поставщик, не исполнивший или ненадлежащим образом исполнивший обязательство, может быть лишен полностью или частично права получения льгот. Но по статье 538 ГК РФ он несет ответственность лишь при наличии вины; </w:t>
      </w:r>
    </w:p>
    <w:p w:rsidR="00D274B1" w:rsidRDefault="00D274B1">
      <w:pPr>
        <w:spacing w:before="0"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б) Если поставщиком не выполнен объем поставки, то ему грозит неустойка в размере </w:t>
      </w:r>
    </w:p>
    <w:p w:rsidR="00D274B1" w:rsidRDefault="00D274B1">
      <w:p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50 % от стоимости недопоставленной продукции и убытки в части непокрытой неустойки. </w:t>
      </w:r>
    </w:p>
    <w:p w:rsidR="00D274B1" w:rsidRDefault="00D274B1">
      <w:pPr>
        <w:spacing w:before="0"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в) При необоснованном уклонении поставщика от заключения государственного контракта на поставку сельскохозяйственной продукции в случаях, когда обязанность заключения этого договора установлена законом, поставщик уплачивает покупателю штраф в размере стоимости продукции, определенной в проекте. Также по п. 5 ст. 529 ГК РФ покупатель может обратиться в суд с требованием о понуждении поставщика заключить с ним договор. </w:t>
      </w:r>
    </w:p>
    <w:p w:rsidR="00D274B1" w:rsidRDefault="00D274B1">
      <w:pPr>
        <w:spacing w:before="0"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По Закону РФ от 26 октября 1994 г. “ О закупках и поставках сельскохозяйственной продукции для государственных нужд “ ( п.б ст.8 ), сторона может быть освобождена от ответственности за полное или частичное неисполнение обязательства по договору в случаях непредвиденных обстоятельств, возникших в результате событий чрезвычайного характера. </w:t>
      </w:r>
    </w:p>
    <w:p w:rsidR="00D274B1" w:rsidRDefault="00D274B1">
      <w:pPr>
        <w:spacing w:before="0"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Ранее контрактация связывалась с выполнением государственного плана закупки сельскохозяйственной продукции, который носил обязательный характер для обеих сторон договора. На сегодняшний день ситуация изменилась - уже не существует планов такого рода. Отношения по данному виду договора связаны с продажей продукции, которая может принимать форму поставки, если момент заключения и исполнения договора разорваны во времени. Если же этого промежутка во времени нет - имеет смысл говорить о купле - продаже, когда закупается наличная сельскохозяйственная продукция. </w:t>
      </w:r>
    </w:p>
    <w:p w:rsidR="00D274B1" w:rsidRDefault="00D274B1">
      <w:pPr>
        <w:spacing w:before="0" w:after="0" w:line="360" w:lineRule="auto"/>
        <w:ind w:firstLine="567"/>
        <w:rPr>
          <w:sz w:val="28"/>
          <w:szCs w:val="28"/>
        </w:rPr>
      </w:pPr>
    </w:p>
    <w:p w:rsidR="00D274B1" w:rsidRDefault="00D274B1">
      <w:pPr>
        <w:numPr>
          <w:ilvl w:val="0"/>
          <w:numId w:val="3"/>
        </w:num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Понятие  и  признаки  рентных  договоров.</w:t>
      </w:r>
    </w:p>
    <w:p w:rsidR="00D274B1" w:rsidRDefault="00D274B1">
      <w:pPr>
        <w:spacing w:before="0" w:after="0" w:line="360" w:lineRule="auto"/>
        <w:ind w:left="720"/>
        <w:rPr>
          <w:snapToGrid w:val="0"/>
          <w:sz w:val="28"/>
          <w:szCs w:val="28"/>
        </w:rPr>
      </w:pPr>
    </w:p>
    <w:p w:rsidR="00D274B1" w:rsidRDefault="00D274B1">
      <w:pPr>
        <w:spacing w:before="0" w:after="0" w:line="360" w:lineRule="auto"/>
        <w:ind w:firstLine="485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Рента относится к группе институтов гражданского права, связанных с отчуждением (за плату или бесплатно) имущества, обеспечивающее регулярный гарантированный доход, получаемый лицом в обмен на отчуждение имущества, сопряженный с риском и неопределенностью размера ренты в силу длительности выплаты рентных платежей.</w:t>
      </w:r>
    </w:p>
    <w:p w:rsidR="00D274B1" w:rsidRDefault="00D274B1">
      <w:pPr>
        <w:spacing w:before="0" w:after="0" w:line="360" w:lineRule="auto"/>
        <w:ind w:firstLine="485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Сторонами договора ренты являются:</w:t>
      </w:r>
    </w:p>
    <w:p w:rsidR="00D274B1" w:rsidRDefault="00D274B1">
      <w:pPr>
        <w:numPr>
          <w:ilvl w:val="0"/>
          <w:numId w:val="10"/>
        </w:numPr>
        <w:spacing w:before="0" w:after="0" w:line="360" w:lineRule="auto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плательщик ренты;</w:t>
      </w:r>
    </w:p>
    <w:p w:rsidR="00D274B1" w:rsidRDefault="00D274B1">
      <w:pPr>
        <w:numPr>
          <w:ilvl w:val="0"/>
          <w:numId w:val="10"/>
        </w:numPr>
        <w:spacing w:before="0" w:after="0" w:line="360" w:lineRule="auto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получатель ренты. </w:t>
      </w:r>
    </w:p>
    <w:p w:rsidR="00D274B1" w:rsidRDefault="00D274B1">
      <w:pPr>
        <w:spacing w:before="0" w:after="0" w:line="360" w:lineRule="auto"/>
        <w:ind w:left="485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Предмет договора: действия сторон по передаче имущества получателя ренты с целью получения рентных платежей, выплачиваемых ему плательщиком ренты. </w:t>
      </w:r>
    </w:p>
    <w:p w:rsidR="00D274B1" w:rsidRDefault="00D274B1">
      <w:pPr>
        <w:spacing w:before="0" w:after="0" w:line="360" w:lineRule="auto"/>
        <w:ind w:left="485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Характерные признаки договора ренты:</w:t>
      </w:r>
    </w:p>
    <w:p w:rsidR="00D274B1" w:rsidRDefault="00D274B1">
      <w:pPr>
        <w:numPr>
          <w:ilvl w:val="0"/>
          <w:numId w:val="5"/>
        </w:numPr>
        <w:spacing w:before="0" w:after="0" w:line="360" w:lineRule="auto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формальный (письменная форма, нотариальное удостоверение, государственная регистрация (ст. 584 ГК РФ);</w:t>
      </w:r>
    </w:p>
    <w:p w:rsidR="00D274B1" w:rsidRDefault="00D274B1">
      <w:pPr>
        <w:numPr>
          <w:ilvl w:val="0"/>
          <w:numId w:val="5"/>
        </w:numPr>
        <w:spacing w:before="0" w:after="0" w:line="360" w:lineRule="auto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возмездный;</w:t>
      </w:r>
    </w:p>
    <w:p w:rsidR="00D274B1" w:rsidRDefault="00D274B1">
      <w:pPr>
        <w:numPr>
          <w:ilvl w:val="0"/>
          <w:numId w:val="5"/>
        </w:numPr>
        <w:spacing w:before="0" w:after="0" w:line="360" w:lineRule="auto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односторонний;</w:t>
      </w:r>
    </w:p>
    <w:p w:rsidR="00D274B1" w:rsidRDefault="00D274B1">
      <w:pPr>
        <w:numPr>
          <w:ilvl w:val="0"/>
          <w:numId w:val="5"/>
        </w:numPr>
        <w:spacing w:before="0" w:after="0" w:line="360" w:lineRule="auto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бессрочный (постоянная рента) или долгосрочный (пожизненная рента);</w:t>
      </w:r>
    </w:p>
    <w:p w:rsidR="00D274B1" w:rsidRDefault="00D274B1">
      <w:pPr>
        <w:numPr>
          <w:ilvl w:val="0"/>
          <w:numId w:val="5"/>
        </w:numPr>
        <w:spacing w:before="0" w:after="0" w:line="360" w:lineRule="auto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реальный (начинает действовать только с момента, когда получатель ренты передает </w:t>
      </w:r>
    </w:p>
    <w:p w:rsidR="00D274B1" w:rsidRDefault="00D274B1">
      <w:pPr>
        <w:spacing w:before="0" w:after="0" w:line="360" w:lineRule="auto"/>
        <w:ind w:left="485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     плательщику ренты в собственность соответствующее имущество);</w:t>
      </w:r>
    </w:p>
    <w:p w:rsidR="00D274B1" w:rsidRDefault="00D274B1">
      <w:pPr>
        <w:numPr>
          <w:ilvl w:val="0"/>
          <w:numId w:val="5"/>
        </w:numPr>
        <w:spacing w:before="0" w:after="0" w:line="360" w:lineRule="auto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сопряжен с риском.</w:t>
      </w:r>
    </w:p>
    <w:p w:rsidR="00D274B1" w:rsidRDefault="00D274B1">
      <w:pPr>
        <w:pStyle w:val="30"/>
      </w:pPr>
      <w:r>
        <w:t xml:space="preserve">В текст договора включаются: обязательство получателя ренты передать свое имущество </w:t>
      </w:r>
    </w:p>
    <w:p w:rsidR="00D274B1" w:rsidRDefault="00D274B1">
      <w:pPr>
        <w:pStyle w:val="a7"/>
        <w:rPr>
          <w:sz w:val="28"/>
          <w:szCs w:val="28"/>
        </w:rPr>
      </w:pPr>
      <w:r>
        <w:rPr>
          <w:sz w:val="28"/>
          <w:szCs w:val="28"/>
        </w:rPr>
        <w:t>(за плату или бесплатно) в собственность другой стороне; обязательство плательщика ренты систематически выплачивать рентные платежи их получателю на протяжении времени действия договора. Они составляют непрерывный рассроченный доход их получателя. Договор сопряжен с определенным риском для каждой из сторон возможности преждевременного его прекращения. Этим и длящимся действием договор ренты отличается от договора мены, который завершается передачей в собственность имущества каждой из сторон.</w:t>
      </w:r>
    </w:p>
    <w:p w:rsidR="00D274B1" w:rsidRDefault="00D274B1">
      <w:pPr>
        <w:spacing w:before="0" w:after="0" w:line="360" w:lineRule="auto"/>
        <w:ind w:firstLine="488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Договор ренты является, как и заем, односторонним договором. Обязанности в нем несет только плательщик ренты: в обмен на полученное имущество периодически выплачивать ренту.</w:t>
      </w:r>
    </w:p>
    <w:p w:rsidR="00D274B1" w:rsidRDefault="00D274B1">
      <w:pPr>
        <w:spacing w:before="0" w:after="0" w:line="360" w:lineRule="auto"/>
        <w:ind w:firstLine="488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 договоре ренты возмездность выражена в уплате одних лишь процентов. В данном случае сумма, переданная получателем ренты ее плательщику, трансформируется в проценты, выплата которых осуществляется в указанные в договоре сроки и в установленных им размерах. При этом договором может быть предусмотрена выплата бессрочно (имеется в виду постоянная рента) либо на срок жизни получателя (пожизненная рента и ее разновидность - пожизненное содержание с иждивением).</w:t>
      </w:r>
    </w:p>
    <w:p w:rsidR="00D274B1" w:rsidRDefault="00D274B1">
      <w:pPr>
        <w:spacing w:before="0" w:after="0" w:line="360" w:lineRule="auto"/>
        <w:ind w:firstLine="485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Получателей ренты может быть несколько, как и плательщиков. </w:t>
      </w:r>
    </w:p>
    <w:p w:rsidR="00D274B1" w:rsidRDefault="00D274B1">
      <w:pPr>
        <w:spacing w:before="0" w:after="0" w:line="360" w:lineRule="auto"/>
        <w:ind w:firstLine="485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Права получателя по договору постоянной ренты могут передаваться (п. 2 ст. 589 ГК РФ). В случае смерти последнего получателя пожизненной ренты обязательство выплаты прекращается. Договор пожизненной ренты в пользу гражданина, который умер к моменту его заключения, ничтожен (ст. 596 ГК РФ).</w:t>
      </w:r>
    </w:p>
    <w:p w:rsidR="00D274B1" w:rsidRDefault="00D274B1">
      <w:pPr>
        <w:spacing w:before="0" w:after="0" w:line="360" w:lineRule="auto"/>
        <w:ind w:firstLine="485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Состав плательщиков ренты законом не ограничен, тогда как ее получателей ограничен: в пожизненной ренте - лишь граждане, в постоянной - граждане и некоммерческие организации. Объектом имущества, которое участвует в отношениях ренты, могут быть как движимые, так и недвижимые вещи: денежные суммы, предприятия, частные коллекции картин, посуда, мебель, изделия из драгоценных металлов, а также квартира, жилой дом, дача, гараж. </w:t>
      </w:r>
    </w:p>
    <w:p w:rsidR="00D274B1" w:rsidRDefault="00D274B1">
      <w:pPr>
        <w:spacing w:before="0" w:after="0" w:line="360" w:lineRule="auto"/>
        <w:ind w:firstLine="485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Выплата рентных платежей в зависимости от характера ренты осуществляется в разных формах: предоставлением вещей, деньгами, выполнением работ или оказанием услуг, удовлетворением потребностей получателя ренты в жилище, питании и одежде, а также уходе за ним, оплате ритуальных услуг. Важные условия договора - периодичность, размер и обеспечение выплат (ст. 587 ГК РФ).</w:t>
      </w:r>
    </w:p>
    <w:p w:rsidR="00D274B1" w:rsidRDefault="00D274B1">
      <w:pPr>
        <w:spacing w:before="0" w:after="0" w:line="360" w:lineRule="auto"/>
        <w:ind w:firstLine="485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Существенным условием, определяющим разновидность договора ренты, является его срок. Он дифференцирует ренту на постоянную, т.е. непрерывную, не имеющую срока прекращения платежа, а также пожизненную, т.е. на время жизни одного или нескольких получателей ренты, каковы бы ни были ее продолжительность и обременительность рентных платежей. В случае смерти получателя прекращается обязательство по выплате ренты. Рента на условиях пожизненного содержания лица с иждивением может быть только пожизненной.</w:t>
      </w: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4.  Задачи  № 25, 15, 5.</w:t>
      </w: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Задача 25.</w:t>
      </w: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pStyle w:val="22"/>
        <w:rPr>
          <w:sz w:val="28"/>
          <w:szCs w:val="28"/>
        </w:rPr>
      </w:pPr>
      <w:r>
        <w:rPr>
          <w:sz w:val="28"/>
          <w:szCs w:val="28"/>
        </w:rPr>
        <w:t>Определение  существенных  условий  договора  дает  ст. 432  ГК  РФ,  в  соответствии  с  которой  существенными  являются  условия  о  предмете  договора,  условиях,  которые   названы  в  законе  или  иных  правовых  актах,  как  существенные  или  необходимые  для  договоров  данного  типа,  а  также  все  те  условия,  относительно  которых  по  заявлению  одной  из  сторон  должно  быть  достигнуть  соглашение.</w:t>
      </w:r>
    </w:p>
    <w:p w:rsidR="00D274B1" w:rsidRDefault="00D274B1">
      <w:p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То  есть  любой  возмездный  договор  должен  содержать  предмет  договора,  цену,  способы  и  порядок  выполнения  сторонами  условий  договора,  ответственность  за  нарушение  сторонами  условий  договора,  условия  освобождения  от  ответственности,  а  также  другие  необходимые  условия. </w:t>
      </w:r>
    </w:p>
    <w:p w:rsidR="00D274B1" w:rsidRDefault="00D274B1">
      <w:p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>Так  как  договор  мены  является  возмездным  договором, при  обмене  приватизированной  квартиры  на  неприватизированную  (находящуюся  в  государственной,  муниципальной  собственности  и  др.),  после  регистрации  договора  мены  в  органах  юстиции,  к  сторонам  взаимно  переходят:</w:t>
      </w:r>
    </w:p>
    <w:p w:rsidR="00D274B1" w:rsidRDefault="00D274B1">
      <w:pPr>
        <w:spacing w:before="0" w:after="0" w:line="360" w:lineRule="auto"/>
        <w:ind w:left="485"/>
        <w:rPr>
          <w:sz w:val="28"/>
          <w:szCs w:val="28"/>
        </w:rPr>
      </w:pPr>
      <w:r>
        <w:rPr>
          <w:sz w:val="28"/>
          <w:szCs w:val="28"/>
        </w:rPr>
        <w:t xml:space="preserve">   -  К  владельцу  приватизированной  квартиры - право                    </w:t>
      </w:r>
    </w:p>
    <w:p w:rsidR="00D274B1" w:rsidRDefault="00D274B1">
      <w:pPr>
        <w:spacing w:before="0" w:after="0" w:line="360" w:lineRule="auto"/>
        <w:ind w:left="485"/>
        <w:rPr>
          <w:sz w:val="28"/>
          <w:szCs w:val="28"/>
        </w:rPr>
      </w:pPr>
      <w:r>
        <w:rPr>
          <w:sz w:val="28"/>
          <w:szCs w:val="28"/>
        </w:rPr>
        <w:t xml:space="preserve">      пользования  неприватизированной  квартирой; </w:t>
      </w:r>
    </w:p>
    <w:p w:rsidR="00D274B1" w:rsidRDefault="00D274B1">
      <w:pPr>
        <w:spacing w:before="0" w:after="0" w:line="360" w:lineRule="auto"/>
        <w:ind w:left="485"/>
        <w:rPr>
          <w:sz w:val="28"/>
          <w:szCs w:val="28"/>
        </w:rPr>
      </w:pPr>
      <w:r>
        <w:rPr>
          <w:sz w:val="28"/>
          <w:szCs w:val="28"/>
        </w:rPr>
        <w:t xml:space="preserve">   -  К  пользователю  неприватизированной  квартиры – право  владения  </w:t>
      </w:r>
    </w:p>
    <w:p w:rsidR="00D274B1" w:rsidRDefault="00D274B1">
      <w:pPr>
        <w:spacing w:before="0" w:after="0" w:line="360" w:lineRule="auto"/>
        <w:ind w:left="485"/>
        <w:rPr>
          <w:sz w:val="28"/>
          <w:szCs w:val="28"/>
        </w:rPr>
      </w:pPr>
      <w:r>
        <w:rPr>
          <w:sz w:val="28"/>
          <w:szCs w:val="28"/>
        </w:rPr>
        <w:t xml:space="preserve">      приватизированной  квартирой. </w:t>
      </w:r>
    </w:p>
    <w:p w:rsidR="00D274B1" w:rsidRDefault="00D274B1">
      <w:pPr>
        <w:spacing w:before="0" w:after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 настоящее  время  действует  Инструкция  о  порядке  обмена  жилых  помещений утвержденная  Приказом  Министра  коммунального  хозяйства  РСФСР  от  9  января  1967 г.  N 12,  регламентирующая  порядок  обмена  жилых  помещений. </w:t>
      </w:r>
    </w:p>
    <w:p w:rsidR="00D274B1" w:rsidRDefault="00D274B1">
      <w:p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Данная  Инструкция  от  9 января  1967  г.  не  приведена  в соответствие  с  текущим  законодательством - так,  в  ней  имеются  ссылки  на  статьи Гражданского  кодекса  </w:t>
      </w:r>
      <w:r>
        <w:rPr>
          <w:rStyle w:val="a9"/>
          <w:i w:val="0"/>
          <w:iCs w:val="0"/>
          <w:sz w:val="28"/>
          <w:szCs w:val="28"/>
        </w:rPr>
        <w:t>РСФСР</w:t>
      </w:r>
      <w:r>
        <w:rPr>
          <w:sz w:val="28"/>
          <w:szCs w:val="28"/>
        </w:rPr>
        <w:t xml:space="preserve">,  уже  не  действующего,  поскольку  введены  части  1  и  2 Гражданского  кодекса  </w:t>
      </w:r>
      <w:r>
        <w:rPr>
          <w:rStyle w:val="a9"/>
          <w:i w:val="0"/>
          <w:iCs w:val="0"/>
          <w:sz w:val="28"/>
          <w:szCs w:val="28"/>
        </w:rPr>
        <w:t>РФ</w:t>
      </w:r>
      <w:r>
        <w:rPr>
          <w:sz w:val="28"/>
          <w:szCs w:val="28"/>
        </w:rPr>
        <w:t xml:space="preserve">. </w:t>
      </w:r>
    </w:p>
    <w:p w:rsidR="00D274B1" w:rsidRDefault="00D274B1">
      <w:p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Поэтому  при  чтении  Инструкции  нужно  руководствоваться  ее  духом,  а  не  буквой  и  применять  ее  в  той  части,  в  которой  она  не  противоречит  действующему законодательству  (Гражданскому  кодексу  РФ,  Жилищному  кодексу  РСФСР  и  др.).     </w:t>
      </w:r>
    </w:p>
    <w:p w:rsidR="00D274B1" w:rsidRDefault="00D274B1">
      <w:p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Можно  обратить  внимание  и  на  </w:t>
      </w:r>
      <w:hyperlink r:id="rId7" w:history="1">
        <w:r>
          <w:rPr>
            <w:rStyle w:val="aa"/>
            <w:color w:val="000000"/>
            <w:sz w:val="28"/>
            <w:szCs w:val="28"/>
          </w:rPr>
          <w:t>Временное  положение  о  порядке  обмена  и  (или) мены  жилых  помещений  в  г. Москве</w:t>
        </w:r>
        <w:r>
          <w:rPr>
            <w:rStyle w:val="aa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 xml:space="preserve"> (ред. от 08.07.97).  (являющимся  приложением  к  Распоряжение  Правительства  Москвы  от  9  апреля  1996 г.  N 74)  В  частности  так  есть  такие  пункты:  </w:t>
      </w:r>
    </w:p>
    <w:p w:rsidR="00D274B1" w:rsidRDefault="00D274B1">
      <w:pPr>
        <w:numPr>
          <w:ilvl w:val="0"/>
          <w:numId w:val="12"/>
        </w:num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Правовое  регулирование  отношений  по  договору  мены  осуществляется  по  тем же  правилам,  что  и  договоры  купли - продажи.  </w:t>
      </w:r>
    </w:p>
    <w:p w:rsidR="00D274B1" w:rsidRDefault="00D274B1">
      <w:pPr>
        <w:numPr>
          <w:ilvl w:val="0"/>
          <w:numId w:val="12"/>
        </w:num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Договор  отчуждения  содержит характеристику  отчуждаемого  жилого  помещения  (место  нахождения,  общая  и  жилая площадь,  количество  комнат,  инвентаризационная  оценка  и  другие  необходимые  условия  договора  и реквизиты  сторон),  указание  об  основании  возникновения  права  собственности  на  жилое  помещение,  указание  лица  (лиц),  приобретающего право  собственности  на  жилое  помещение,  а  в  случае,  если  право собственности  на  жилое  помещение  возникает  у  нескольких  лиц, - указывается  вид  общей  собственности  (долевая,  совместная). </w:t>
      </w:r>
    </w:p>
    <w:p w:rsidR="00D274B1" w:rsidRDefault="00D274B1">
      <w:pPr>
        <w:spacing w:before="0" w:after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Согласно ст. 567 ГК РФ:  “п. 1. По договору мены каждая из сторон обязуется передать в собственность другой стороны один товар в обмен на другой. П. 2. К договору мены применяются соответственно правила о купле-продаже….При этом каждая из сторон признается продавцом товара, который она обязуется передать, и покупателем товара, который она обязуется принять в обмен.”</w:t>
      </w:r>
    </w:p>
    <w:p w:rsidR="00D274B1" w:rsidRDefault="00D274B1">
      <w:pPr>
        <w:spacing w:before="0" w:after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Т. е. в законе определенно сказано, что к договору мены применяются </w:t>
      </w:r>
    </w:p>
    <w:p w:rsidR="00D274B1" w:rsidRDefault="00D274B1">
      <w:p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правила купли-продажи и что каждая из сторон является покупателем и продавцом.  А  в  ст. 454  “Договор купли-продажи” указано, что  покупатель обязуется принять этот товар и уплатить за него определенную денежную сумму. Сумма естественно должна быть указана в договоре.  </w:t>
      </w:r>
    </w:p>
    <w:p w:rsidR="00D274B1" w:rsidRDefault="00D274B1">
      <w:p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Что касается обмена приватизированной квартиры на неприватизированную, то законодательством это не запрещается. Инвентаризационная стоимость обеих квартир на основании технических паспортов выданных БТИ,  должна быть внесена  в  договор. </w:t>
      </w:r>
    </w:p>
    <w:p w:rsidR="00D274B1" w:rsidRDefault="00D274B1">
      <w:p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Нанимателю квартиры нужно получить согласие наймодателя на обмен </w:t>
      </w:r>
    </w:p>
    <w:p w:rsidR="00D274B1" w:rsidRDefault="00D274B1">
      <w:p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квартиры. </w:t>
      </w:r>
    </w:p>
    <w:p w:rsidR="00D274B1" w:rsidRDefault="00D274B1">
      <w:pPr>
        <w:spacing w:before="0" w:after="0" w:line="360" w:lineRule="auto"/>
        <w:rPr>
          <w:sz w:val="20"/>
          <w:szCs w:val="20"/>
        </w:rPr>
      </w:pPr>
    </w:p>
    <w:p w:rsidR="00D274B1" w:rsidRDefault="00D274B1">
      <w:pPr>
        <w:spacing w:before="0"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Задача 15.</w:t>
      </w: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numPr>
          <w:ilvl w:val="0"/>
          <w:numId w:val="13"/>
        </w:num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Собственники  жилых  помещений  выступают  заказчиками  на  </w:t>
      </w:r>
    </w:p>
    <w:p w:rsidR="00D274B1" w:rsidRDefault="00D274B1">
      <w:p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техническое обслуживание,  содержание,  ремонт приватизированных  квартир  и  развитие придомовых  территорий. </w:t>
      </w:r>
    </w:p>
    <w:p w:rsidR="00D274B1" w:rsidRDefault="00D274B1">
      <w:pPr>
        <w:spacing w:before="0" w:after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Только  на  условиях  заключения  договора  на  техническое  </w:t>
      </w:r>
    </w:p>
    <w:p w:rsidR="00D274B1" w:rsidRDefault="00D274B1">
      <w:p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обслуживание  и  ремонт  приватизированных  квартир,  государственные  или  негосударственные  жилищно-эксплуатационные  и  ремонтно-строительные  службы  осуществляют  техническое  обслуживание  и ремонт многоквартирных  домов  находящихся  в  собственности  граждан  (ст. 147 ЖК  РФ). </w:t>
      </w:r>
    </w:p>
    <w:p w:rsidR="00D274B1" w:rsidRDefault="00D274B1">
      <w:p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Также,  согласно  ст. 129  ЖК  РФ,  за  государственными  жилищно-эксплуатационными  и  ремонтно-строительными  организациями  сохраняются обязательства  по  обслуживанию  и  ремонту  приватизированных  жилых помещений  по  договору  с  их  собственниками. </w:t>
      </w:r>
    </w:p>
    <w:p w:rsidR="00D274B1" w:rsidRDefault="00D274B1">
      <w:p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>Согласно  условий  задачи,  собственники  квартир  в  12-квартирном  доме  полагают, что  никто  из  них  не  заключал  договор  на  обслуживание  с  гос. предприятием  “Теплосеть”.  Наверняка  они  правы  в  этом  вопросе,  но  они  должны  были  заключать договор  на  техническое  обслуживание  и  ремонт  приватизированных  квартир  с  жилищно-эксплуатационным  управлением,  на  чьем  балансе  числится  дом.  Вот  ЖЭУ  должно  иметь  договор  с гос. предприятием  “Теплосеть”  на  обслуживание  этого  дома.</w:t>
      </w:r>
    </w:p>
    <w:p w:rsidR="00D274B1" w:rsidRDefault="00D274B1">
      <w:p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Если  собственники  квартир  в  12-квартирном  доме  самовольно  отключатся  от  теплоснабжения,  то  согласно  ст. 155 ЖК  РФ,  они  должны  возместить  ущерб,  причиненный  жилищному  фонду,  жилым  помещениям,  инженерному  оборудованию. </w:t>
      </w:r>
    </w:p>
    <w:p w:rsidR="00D274B1" w:rsidRDefault="00D274B1">
      <w:p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>Согласно  ст. 147  ЖК  РФ,  собственники  жилых  помещений  в  полностью  приватизированном  доме,  вправе  самостоятельно  определять  организацию  для  обслуживания  этого  дома,  включая  государственные  жилищно-эксплуатационные  и  ремонтно-строительные  организации,  кооперативы,  частные  фирмы  и  иные  субъекты  хозяйствования.  Так  что  собственники  конечно  могут  выбрать  другое  ЖЭУ  или  службу  для  обслуживания  полностью  приватизированного  дома,  но  должны  предупредить  то  ЖЭУ,  на  чьем  балансе  находится  дом.</w:t>
      </w: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2)  Если  в  ближайшие  дни  будет  осуществлена  регистрация  созданного  собственниками  квартир  товарищества  собственников  жилья,  то  указанное  товарищество   может  самостоятельно  осуществлять  ремонтно-эксплуатационное  обслуживание  кондоминимума,  но  при  наличии  лицензии  на  соответствующие  виды  деятельности.  Если  таковые  отсутствуют,  то  заключаются  договоры  на  управление  или  обслуживание  и  эксплуатацию  общего  имущества,  в  том  числе  помещений,  находящихся  в  собственности  товарищества,  с  любым  физическим  лицо  или  организацией  любой  формы  собственности. </w:t>
      </w: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Задача 5.</w:t>
      </w: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В  части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ГК  РФ,  введенной  в  действие  с  01  января  1995 г.,  более  детально,  чем  в  ГК  РСФСР  1964 г.,  регламентированы  вопросы,  возникающие  в  связи  с  признанием  сделки  недействительной.</w:t>
      </w:r>
    </w:p>
    <w:p w:rsidR="00D274B1" w:rsidRDefault="00D274B1">
      <w:p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>В  новом  ГК  РФ  недействительные  сделки  разделены  на:  оспоримые  и  ничтожные.  Оспоримая  сделка  является  недействительной  в  силу  признания  ее  таковой  судом,  ничтожная – независимо  от  такого  признания.</w:t>
      </w:r>
    </w:p>
    <w:p w:rsidR="00D274B1" w:rsidRDefault="00D274B1">
      <w:p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В  части  </w:t>
      </w:r>
      <w:r>
        <w:rPr>
          <w:sz w:val="28"/>
          <w:szCs w:val="28"/>
          <w:lang w:val="en-US"/>
        </w:rPr>
        <w:t xml:space="preserve">I  </w:t>
      </w:r>
      <w:r>
        <w:rPr>
          <w:sz w:val="28"/>
          <w:szCs w:val="28"/>
        </w:rPr>
        <w:t>ГК  РФ  четко  определено,  что  право  признания  оспоримой  сделки  недействительной  и  применения  последствий  ничтожной  сделки  принадлежит  только  суду.</w:t>
      </w:r>
    </w:p>
    <w:p w:rsidR="00D274B1" w:rsidRDefault="00D274B1">
      <w:p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>В  данной  ситуации,  покупателю  коровы  Климову  нужно  обратиться  в  суд  общей  юрисдикции  по  месту  нахождения  Ответчика – Федорова  с  исковым  заявлением  о  признании  сделки  недействительной.</w:t>
      </w:r>
    </w:p>
    <w:p w:rsidR="00D274B1" w:rsidRDefault="00D274B1">
      <w:pPr>
        <w:pStyle w:val="20"/>
      </w:pPr>
      <w:r>
        <w:tab/>
        <w:t xml:space="preserve">Рассматриваемая сделка  является  оспоримой. Иск  о  признании  ее  недействительной  может  быть  предъявлен  в  течении  специального  срока  исковой  давности – одного  года  со  дня,  когда  Истец  узнал  или  должен  был  узнать  об  обстоятельствах,  являющихся  основанием  для  признания  сделки  недействительной  (п. 2  ст. 181  ГК  РФ).     </w:t>
      </w: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Список  литературы.</w:t>
      </w:r>
    </w:p>
    <w:p w:rsidR="00D274B1" w:rsidRDefault="00D274B1">
      <w:pPr>
        <w:spacing w:before="0" w:after="0" w:line="360" w:lineRule="auto"/>
        <w:ind w:left="-360" w:firstLine="360"/>
        <w:rPr>
          <w:sz w:val="28"/>
          <w:szCs w:val="28"/>
        </w:rPr>
      </w:pPr>
    </w:p>
    <w:p w:rsidR="00D274B1" w:rsidRDefault="00D274B1">
      <w:pPr>
        <w:numPr>
          <w:ilvl w:val="0"/>
          <w:numId w:val="11"/>
        </w:num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Гражданский Кодекс РФ 1996 г.;</w:t>
      </w:r>
    </w:p>
    <w:p w:rsidR="00D274B1" w:rsidRDefault="00D274B1">
      <w:pPr>
        <w:numPr>
          <w:ilvl w:val="0"/>
          <w:numId w:val="11"/>
        </w:num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Постатейный комментарий к Закону РФ "О защите прав потребителей" (Я.Парций);</w:t>
      </w:r>
    </w:p>
    <w:p w:rsidR="00D274B1" w:rsidRDefault="00D274B1">
      <w:pPr>
        <w:numPr>
          <w:ilvl w:val="0"/>
          <w:numId w:val="11"/>
        </w:num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Комментарий к части первой ГК РФ для предпринимателей (под ред. Брагинского М. И.);</w:t>
      </w:r>
    </w:p>
    <w:p w:rsidR="00D274B1" w:rsidRDefault="00D274B1">
      <w:pPr>
        <w:numPr>
          <w:ilvl w:val="0"/>
          <w:numId w:val="11"/>
        </w:num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Гражданское право. Часть 2. Под ред. Толстого, Сергеева. М. Проспект, 1998г.;</w:t>
      </w:r>
    </w:p>
    <w:p w:rsidR="00D274B1" w:rsidRDefault="00D274B1">
      <w:pPr>
        <w:numPr>
          <w:ilvl w:val="0"/>
          <w:numId w:val="11"/>
        </w:num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Мартемьянов B.C, Хозяйственное право, учебник;</w:t>
      </w:r>
    </w:p>
    <w:p w:rsidR="00D274B1" w:rsidRDefault="00D274B1">
      <w:pPr>
        <w:numPr>
          <w:ilvl w:val="0"/>
          <w:numId w:val="11"/>
        </w:num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Суханов Е.А, Гражданское право, учебник, том 2; </w:t>
      </w:r>
    </w:p>
    <w:p w:rsidR="00D274B1" w:rsidRDefault="00D274B1">
      <w:pPr>
        <w:numPr>
          <w:ilvl w:val="0"/>
          <w:numId w:val="11"/>
        </w:num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Быстрова Г.Е, Аграрное право, учебник; </w:t>
      </w:r>
    </w:p>
    <w:p w:rsidR="00D274B1" w:rsidRDefault="00D274B1">
      <w:pPr>
        <w:numPr>
          <w:ilvl w:val="0"/>
          <w:numId w:val="11"/>
        </w:num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Журнал “ Хозяйство и право, № 10, 1996 г. - статья “Договор контрактации” Веденин Н.Н. </w:t>
      </w:r>
    </w:p>
    <w:p w:rsidR="00D274B1" w:rsidRDefault="00D274B1">
      <w:pPr>
        <w:spacing w:before="0" w:after="0" w:line="360" w:lineRule="auto"/>
        <w:ind w:firstLine="567"/>
        <w:rPr>
          <w:sz w:val="28"/>
          <w:szCs w:val="28"/>
        </w:rPr>
      </w:pPr>
    </w:p>
    <w:p w:rsidR="00D274B1" w:rsidRDefault="00D274B1">
      <w:pPr>
        <w:spacing w:before="0" w:after="0" w:line="360" w:lineRule="auto"/>
        <w:rPr>
          <w:sz w:val="28"/>
          <w:szCs w:val="28"/>
        </w:rPr>
      </w:pPr>
      <w:bookmarkStart w:id="0" w:name="_GoBack"/>
      <w:bookmarkEnd w:id="0"/>
    </w:p>
    <w:sectPr w:rsidR="00D274B1">
      <w:headerReference w:type="default" r:id="rId8"/>
      <w:footerReference w:type="default" r:id="rId9"/>
      <w:pgSz w:w="11906" w:h="16838"/>
      <w:pgMar w:top="1134" w:right="851" w:bottom="1134" w:left="1134" w:header="0" w:footer="79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4B1" w:rsidRDefault="00D274B1">
      <w:pPr>
        <w:spacing w:before="0" w:after="0"/>
      </w:pPr>
      <w:r>
        <w:separator/>
      </w:r>
    </w:p>
  </w:endnote>
  <w:endnote w:type="continuationSeparator" w:id="0">
    <w:p w:rsidR="00D274B1" w:rsidRDefault="00D274B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4B1" w:rsidRDefault="00D274B1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0549B">
      <w:rPr>
        <w:rStyle w:val="a6"/>
        <w:noProof/>
      </w:rPr>
      <w:t>2</w:t>
    </w:r>
    <w:r>
      <w:rPr>
        <w:rStyle w:val="a6"/>
      </w:rPr>
      <w:fldChar w:fldCharType="end"/>
    </w:r>
  </w:p>
  <w:p w:rsidR="00D274B1" w:rsidRDefault="00D274B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4B1" w:rsidRDefault="00D274B1">
      <w:pPr>
        <w:spacing w:before="0" w:after="0"/>
      </w:pPr>
      <w:r>
        <w:separator/>
      </w:r>
    </w:p>
  </w:footnote>
  <w:footnote w:type="continuationSeparator" w:id="0">
    <w:p w:rsidR="00D274B1" w:rsidRDefault="00D274B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4B1" w:rsidRDefault="00D274B1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D3A42"/>
    <w:multiLevelType w:val="singleLevel"/>
    <w:tmpl w:val="557A7E8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100F406D"/>
    <w:multiLevelType w:val="singleLevel"/>
    <w:tmpl w:val="AACA8632"/>
    <w:lvl w:ilvl="0">
      <w:start w:val="1"/>
      <w:numFmt w:val="decimal"/>
      <w:lvlText w:val="%1."/>
      <w:lvlJc w:val="left"/>
      <w:pPr>
        <w:tabs>
          <w:tab w:val="num" w:pos="845"/>
        </w:tabs>
        <w:ind w:left="845" w:hanging="360"/>
      </w:pPr>
      <w:rPr>
        <w:rFonts w:hint="default"/>
      </w:rPr>
    </w:lvl>
  </w:abstractNum>
  <w:abstractNum w:abstractNumId="2">
    <w:nsid w:val="11AC2032"/>
    <w:multiLevelType w:val="singleLevel"/>
    <w:tmpl w:val="8C42472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CB32BE7"/>
    <w:multiLevelType w:val="singleLevel"/>
    <w:tmpl w:val="0F2EB4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EAF499C"/>
    <w:multiLevelType w:val="singleLevel"/>
    <w:tmpl w:val="7408C5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EEB6700"/>
    <w:multiLevelType w:val="singleLevel"/>
    <w:tmpl w:val="89E6D3AE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2533489A"/>
    <w:multiLevelType w:val="singleLevel"/>
    <w:tmpl w:val="1062E7D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B1E665F"/>
    <w:multiLevelType w:val="singleLevel"/>
    <w:tmpl w:val="0D0C08A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3A405B7C"/>
    <w:multiLevelType w:val="singleLevel"/>
    <w:tmpl w:val="CD446A08"/>
    <w:lvl w:ilvl="0">
      <w:start w:val="1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hint="default"/>
      </w:rPr>
    </w:lvl>
  </w:abstractNum>
  <w:abstractNum w:abstractNumId="9">
    <w:nsid w:val="57896FDF"/>
    <w:multiLevelType w:val="singleLevel"/>
    <w:tmpl w:val="2954FE9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5DC93D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711406B"/>
    <w:multiLevelType w:val="singleLevel"/>
    <w:tmpl w:val="12BAAB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D382D2A"/>
    <w:multiLevelType w:val="singleLevel"/>
    <w:tmpl w:val="CC80E7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9"/>
  </w:num>
  <w:num w:numId="9">
    <w:abstractNumId w:val="0"/>
  </w:num>
  <w:num w:numId="10">
    <w:abstractNumId w:val="1"/>
  </w:num>
  <w:num w:numId="11">
    <w:abstractNumId w:val="10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549B"/>
    <w:rsid w:val="004828EC"/>
    <w:rsid w:val="00A0549B"/>
    <w:rsid w:val="00D274B1"/>
    <w:rsid w:val="00EC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5AAD473-1393-44AC-9A1E-21F1EA58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before="100" w:after="10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spacing w:before="0" w:after="0" w:line="360" w:lineRule="auto"/>
      <w:jc w:val="center"/>
    </w:pPr>
    <w:rPr>
      <w:sz w:val="28"/>
      <w:szCs w:val="28"/>
    </w:rPr>
  </w:style>
  <w:style w:type="paragraph" w:customStyle="1" w:styleId="2">
    <w:name w:val="заголовок 2"/>
    <w:basedOn w:val="a"/>
    <w:next w:val="a"/>
    <w:uiPriority w:val="99"/>
    <w:pPr>
      <w:keepNext/>
      <w:spacing w:before="0" w:after="0" w:line="360" w:lineRule="auto"/>
      <w:jc w:val="center"/>
    </w:pPr>
    <w:rPr>
      <w:sz w:val="36"/>
      <w:szCs w:val="36"/>
    </w:rPr>
  </w:style>
  <w:style w:type="paragraph" w:customStyle="1" w:styleId="3">
    <w:name w:val="заголовок 3"/>
    <w:basedOn w:val="a"/>
    <w:next w:val="a"/>
    <w:uiPriority w:val="99"/>
    <w:pPr>
      <w:keepNext/>
      <w:spacing w:before="0" w:after="0" w:line="360" w:lineRule="auto"/>
      <w:jc w:val="center"/>
    </w:pPr>
  </w:style>
  <w:style w:type="character" w:customStyle="1" w:styleId="a3">
    <w:name w:val="Основной шрифт"/>
    <w:uiPriority w:val="99"/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pacing w:before="0" w:after="0"/>
    </w:pPr>
    <w:rPr>
      <w:sz w:val="20"/>
      <w:szCs w:val="20"/>
    </w:rPr>
  </w:style>
  <w:style w:type="character" w:customStyle="1" w:styleId="a5">
    <w:name w:val="Нижний колонтитул Знак"/>
    <w:link w:val="a4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a6">
    <w:name w:val="номер страницы"/>
    <w:uiPriority w:val="99"/>
  </w:style>
  <w:style w:type="paragraph" w:customStyle="1" w:styleId="H1">
    <w:name w:val="H1"/>
    <w:basedOn w:val="a"/>
    <w:next w:val="a"/>
    <w:uiPriority w:val="99"/>
    <w:pPr>
      <w:keepNext/>
      <w:outlineLvl w:val="1"/>
    </w:pPr>
    <w:rPr>
      <w:b/>
      <w:bCs/>
      <w:kern w:val="36"/>
      <w:sz w:val="48"/>
      <w:szCs w:val="48"/>
    </w:rPr>
  </w:style>
  <w:style w:type="paragraph" w:styleId="20">
    <w:name w:val="Body Text 2"/>
    <w:basedOn w:val="a"/>
    <w:link w:val="21"/>
    <w:uiPriority w:val="99"/>
    <w:pPr>
      <w:spacing w:before="0" w:after="0" w:line="360" w:lineRule="auto"/>
    </w:pPr>
    <w:rPr>
      <w:sz w:val="28"/>
      <w:szCs w:val="28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pPr>
      <w:spacing w:before="0" w:after="0" w:line="360" w:lineRule="auto"/>
      <w:ind w:firstLine="567"/>
    </w:p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pPr>
      <w:spacing w:before="0" w:after="0" w:line="360" w:lineRule="auto"/>
    </w:pPr>
    <w:rPr>
      <w:color w:val="000000"/>
    </w:rPr>
  </w:style>
  <w:style w:type="character" w:customStyle="1" w:styleId="a8">
    <w:name w:val="Основной текст Знак"/>
    <w:link w:val="a7"/>
    <w:uiPriority w:val="99"/>
    <w:semiHidden/>
    <w:rPr>
      <w:rFonts w:ascii="Times New Roman" w:hAnsi="Times New Roman" w:cs="Times New Roman"/>
      <w:sz w:val="24"/>
      <w:szCs w:val="24"/>
    </w:rPr>
  </w:style>
  <w:style w:type="paragraph" w:styleId="30">
    <w:name w:val="Body Text Indent 3"/>
    <w:basedOn w:val="a"/>
    <w:link w:val="31"/>
    <w:uiPriority w:val="99"/>
    <w:pPr>
      <w:spacing w:before="0" w:after="0" w:line="360" w:lineRule="auto"/>
      <w:ind w:left="485"/>
    </w:pPr>
    <w:rPr>
      <w:color w:val="000000"/>
      <w:sz w:val="28"/>
      <w:szCs w:val="28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</w:rPr>
  </w:style>
  <w:style w:type="character" w:styleId="a9">
    <w:name w:val="Emphasis"/>
    <w:uiPriority w:val="99"/>
    <w:qFormat/>
    <w:rPr>
      <w:i/>
      <w:iCs/>
    </w:rPr>
  </w:style>
  <w:style w:type="character" w:styleId="aa">
    <w:name w:val="Hyperlink"/>
    <w:uiPriority w:val="99"/>
    <w:rPr>
      <w:color w:val="0000FF"/>
      <w:u w:val="single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www\doc2html\work\LIBRARY\zmosobm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3370</Words>
  <Characters>19213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 работа  № 2</vt:lpstr>
    </vt:vector>
  </TitlesOfParts>
  <Company>Neznamov</Company>
  <LinksUpToDate>false</LinksUpToDate>
  <CharactersWithSpaces>22538</CharactersWithSpaces>
  <SharedDoc>false</SharedDoc>
  <HLinks>
    <vt:vector size="6" baseType="variant">
      <vt:variant>
        <vt:i4>8257543</vt:i4>
      </vt:variant>
      <vt:variant>
        <vt:i4>0</vt:i4>
      </vt:variant>
      <vt:variant>
        <vt:i4>0</vt:i4>
      </vt:variant>
      <vt:variant>
        <vt:i4>5</vt:i4>
      </vt:variant>
      <vt:variant>
        <vt:lpwstr>..\..\LIBRARY\zmosobmn.htm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 работа  № 2</dc:title>
  <dc:subject/>
  <dc:creator>Dzhon</dc:creator>
  <cp:keywords/>
  <dc:description/>
  <cp:lastModifiedBy>admin</cp:lastModifiedBy>
  <cp:revision>2</cp:revision>
  <dcterms:created xsi:type="dcterms:W3CDTF">2014-05-09T17:50:00Z</dcterms:created>
  <dcterms:modified xsi:type="dcterms:W3CDTF">2014-05-09T17:50:00Z</dcterms:modified>
</cp:coreProperties>
</file>