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Теоретические вопросы:</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1.Понятие конкуренции и монополистической деятельности. Приведите пример последней на товарном  или финансовом рынке вашего региона.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Системообразующим правовым актом антимонопольного законодательства является ФЗ «О защите конкуренции» от  18.07.2009 №181-ФЗ. Настоящий федеральный закон определяет организационные и правовые основы защиты конкуренции, в том числе предупреждения и пресечения: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1) монополистической деятельности и недобросовестной конкуренции;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Настоящий закон определяет понятие конкуренции следующим образом: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Хозяйствующие субъекты - это рос¬сийские и иностранные коммерческие и некоммерческие организации, за исключением не занимающихся предпринимательской деятельнос¬тью, в том числе сельскохозяйственных потребительских кооперативов, а также индивидуальные предприниматели.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       Доминирующее положение - это исключительное положение одного или нескольких хозяйствующих субъектов на рынке товара, не имеющего заменителя либо взаимозаменяемых товаров (определенного товара), дающее ему (им)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      Монополистическая деятельность - это противоречащие антимонополь-ному законодательству действия (бездействие) хозяйствующих субъек¬тов, направленные на недопущение, ограничение или устранение кон¬куренции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Законодательство запрещает хозяйствующим субъектам (группам лиц) злоупотребления своим доминирующим положением, в частности, зап-рещаются такие действия (бездействие), как:</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изъятие товаров из обращения с целью создания или поддержания де¬фицита на рынке либо повышения цен;</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навязывание контрагенту условий договора, не выгодных для него или не относящихся к предмету договора (необоснованные требования пе¬редачи финансовых средств, иного имущества, имущественных прав, рабочей силы контрагента; согласие заключить договор лишь при усло¬вии внесения в него положений, касающихся товаров, в которых кон¬трагент не заинтересован, и др.);</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создание условий доступа на товарный рынок, обмена, потребления, приобретения, производства, реализации товара, которые ставят один или несколько хозяйствующих субъектов в неравное положение по срав¬нению с другим или другими хозяйствующими субъектами (дискрими¬национные условия);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создание препятствий доступу на рынок (выходу с рынка) другим хо-зяйствующим субъектам;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нарушение установленного нормативными актами порядка ценообра¬зования;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установление, поддержание монопольно высоких (низких) цен;</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сокращение или прекращение производства товаров, на которые име¬ются спрос или заказы потребителей, при наличии безубыточной воз¬можности их производства;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необоснованный отказ от заключения договора с отдельными покупа-телями (заказчиками) при наличии возможности производства или по¬ставки соответствующего товара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Формы недобросовестной конкуренции: Не допускается недобросовестная конкуренция, связанная с приобре¬тением и использованием исключительных прав на средства индивиду¬ализации юридического лица, индивидуализации продукции, выпол¬няемых работ или оказываемых услуг.</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Проведение государственной политики по развитию товарных рынков и конкуренции, контроль за соблюдением антимонопольного законода¬тельства, предупреждению, ограничению и пресечению монополисти¬ческой деятельности и недобросовестной конкуренции осуществляется федеральным антимонопольным органом.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Территориальные органы подведомственны федеральному антимонополь-ному органу и осуществляют свою деятельность на основе положения, утвержденного антимонопольным органом.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Сведения, составляющие коммерческую, служебную и охраняемую за¬коном тайну и полученные антимонопольным органом при осуществ¬лении своих полномочий, не подлежат разглашению, за исключением случаев, установленных федеральным законом.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Органы внутренних дел обязаны в пределах своих полномочий оказы¬вать помощь сотрудникам антимонопольного органа для выполнения ими служебных обязанностей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Законодательством установлена обязательность исполнения предписа¬ний федерального антимонопольного органа. гражданско-правовую, административную либо уголовную ответственность. Привлечение к от-ветственности не освобождает от обязанности исполнить решение или предписание антимонопольного органа, представить ходатайство (уве-домление) для рассмотрения или совершить предусмотренные антимо-нопольным законодательством действия.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Доход, полученный в результате нарушения антимонопольного законо-дательства хозяйствующим субъектом, чьи действия признаны монопо-листической деятельностью или недобросовестной конкуренцией, в случае неисполнения соответствующего предписания подлежит взыс¬канию в федеральный бюджет в судебном порядке по иску антимоно¬польного органа.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 красноярском крае официально признанными монополистами считаются такие предприятия как ОАО «Русал»,</w:t>
      </w:r>
      <w:r>
        <w:rPr>
          <w:rFonts w:ascii="Times New Roman" w:hAnsi="Times New Roman"/>
          <w:sz w:val="28"/>
          <w:szCs w:val="28"/>
        </w:rPr>
        <w:t xml:space="preserve"> </w:t>
      </w:r>
      <w:r w:rsidRPr="00500F54">
        <w:rPr>
          <w:rFonts w:ascii="Times New Roman" w:hAnsi="Times New Roman"/>
          <w:sz w:val="28"/>
          <w:szCs w:val="28"/>
        </w:rPr>
        <w:t>ОАО «Красноярский завод цветных металлов имени В.Н.Гулидова,  ЗАО  Золотодобывающая компания «Полюс», ОАО Енинисейская территориальная генерирующая компания ТГК-13.</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2.Понятие ненадлежащей рекламы и ответственность за ее распространение.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Федеральный закон «О рекламе» дает понятие рекламы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 На самом деле, помимо приведенного определения, существуют сотни определений рекламы. Это объясняется тем, что, во-первых, реклама представляет собой сложное социальное явление, которое притягивало и притягивает внимание исследователей, работающих в самых различных отраслях знаний, а во-вторых, любое понятие трансформируется со временем, порождая необходимость его осмысления с новых позиций.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 Ненадлежащая реклама - реклама, не соответствующая требованиям законодательства Российской Федерации. Общие требования к рекламе содержаться в ст. 5 Федерального  Закона «О рекламе».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Реклама должна быть добросовестной и достоверной. Недобросовестная реклама и недостоверная реклама не допускаются.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1. Недобросовестной признается реклама, которая: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порочит честь, достоинство или деловую репутацию лица, в том числе конкурента;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2. Недостоверной признается реклама, которая содержит не соответствующие действительности сведения: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об ассортименте и о комплектации товаров, а также о возможности их приобретения в определенном месте или в течение определенного срока;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стоимости или цене товара, порядке его оплаты, размере скидок, тарифов и других условиях приобретения товара;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об условиях доставки, обмена, ремонта и обслуживания товара;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гарантийных обязательствах изготовителя или продавца товара;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правах на использование официальных государственных символов (флагов, гербов, гимнов) и символов международных организаций;</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об официальном или общественном признании, о получении медалей, призов, дипломов или иных наград;</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результатах исследований и испытаний;</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предоставлении дополнительных прав или преимуществ приобретателю рекламируемого товара;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фактическом размере спроса на рекламируемый или иной товар;</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об объеме производства или продажи рекламируемого или иного товара;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правилах и сроках проведения стимулирующей лотереи,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об источнике информации, подлежащей раскрытию в соответствии с федеральными законами;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лице, обязавшемся по ценной бумаге;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об изготовителе или о продавце рекламируемого товара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 Кроме того, реклама не должна: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побуждать к совершению противоправных действий;</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призывать к насилию и жестокости;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формировать негативное отношение к лицам, не пользующимся рекламируемыми товарами, или осуждать таких лиц.</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Помимо изложенного, в рекламе не допускаются: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использование иностранных слов и выражений, которые могут привести к искажению смысла информации. Приведем пример применения данного пункта;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демонстрация процессов курения и потребления алкогольной продукции, а также пива и напитков, изготавливаемых на его основе;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указание на то, что рекламируемый товар произведен с использованием тканей эмбриона человека;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лечения, изделий медицинского назначения и медицинской техники.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 Не допускается размещение рекламы в учебниках, предназначенных для обучения детей по программам начального общего и основного общего образования, школьных дневниках, а также в школьных тетрадях.</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При производстве, размещении и распространении рекламы должны соблюдаться требования законодательства Российской Федерации, в том числе требования законодательства о государственном языке Российской Федерации, законодательства об авторском праве и смежных правах .</w:t>
      </w:r>
    </w:p>
    <w:p w:rsidR="00500F54" w:rsidRPr="00500F54" w:rsidRDefault="00500F54" w:rsidP="00500F54">
      <w:pPr>
        <w:spacing w:line="360" w:lineRule="auto"/>
        <w:ind w:firstLine="567"/>
        <w:jc w:val="both"/>
        <w:rPr>
          <w:rFonts w:ascii="Times New Roman" w:hAnsi="Times New Roman"/>
          <w:sz w:val="28"/>
          <w:szCs w:val="28"/>
        </w:rPr>
      </w:pP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Ответственность за распространение ненадлежащей рекламы содержится в ФЗ «О рекламе»,Гражданском кодексе РФ, Кодексе об административных нарушениях РФ. ФЗ «О рекламе» ст.38 содержит общие положения об ответственности за нарушение законодательства Российской Федерации о рекламе.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 соответствии с ч. 1 ст.38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Способы защиты гражданских прав сформулированы в ст. 12 ГК РФ. Защита гражданских прав осуществляется путем: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признания права;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признания недействительным акта государственного органа или органа местного самоуправления;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самозащиты права;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присуждения к исполнению обязанности в натуре;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возмещения убытков;</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взыскания неустойки;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компенсации морального вреда;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прекращения или изменения правоотношения;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неприменения судом акта государственного органа или органа местного самоуправления, противоречащего закону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иными способами, предусмотренными законом.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Пожалуй, самым распространенным способом является возмещение убытков. В соответствии со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 соответствии с ч. 2 ст. 38 ФЗ «О рекламе»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возмещении убытков, включая упущенную выгоду;</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возмещении вреда, причиненного здоровью физических лиц и (или) имуществу физических или юридических лиц;</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компенсации морального вреда;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 публичном опровержении недостоверной рекламы (контррекламе).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 Согласно ч. 3 этой же статьи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Так, согласно статье 14.3 КоАП РФ нарушение рекламодателем, рекламопроизводителем или рекламораспространителем законодательства о рекламе (ненадлежащая реклама или отказ от контррекламы) - влечет наложение административного штрафа на граждан в размере от двадцати до двадцати пяти минимальных размеров оплаты труда; на должностных лиц - от сорока до двухсот минимальных размеров оплаты труда; на юридических лиц - от четырехсот до пяти тысяч минимальных размеров оплаты труда. Данная статья является общей нормой. Помимо нее имеются и другие составы административных правонарушений:</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1) ст. 5.9 КоАП РФ предусматривает ответственность за нарушение в ходе избирательной кампании условий рекламы предпринимательской и иной деятельности. 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 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2) в соответствии с ч. 1 ст. 5.12 КоАП РФ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 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пятисот до одной тысячи минимальных размеров оплаты труда;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 ст. 6.13 КоАП РФ предусматривает ответственность за пропаганду наркотических средств, психотропных веществ или их прекурсоров. Пропаганда либо незаконная реклама наркотических средств, психотропных веществ или их прекурсоров - 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4) согласно ст. 11.21 КоАП РФ установка рекламной конструкции без согласования с дорожными органами - влечет предупреждение или наложение административного штрафа в размере до одного минимального размера оплаты труда.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На основании ч. 2 ст. 14.24 КоАП РФ незаконное использование юридическим лицом в своем наименовании и (или) в рекламе слов "биржа" или "товарная биржа", а также образованных на их основе слов и словосочетаний - влечет наложение административного штрафа на юридических лиц в размере от четырехсот до пятисот минимальных размеров оплаты труда.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Согласно ст. 15.24 КоАП РФ реклама или предложение в любой иной форме под видом ценных бумаг документов, удостоверяющих денежные и иные обязательства и не являющихся в соответствии с законом ценными бумагами, если эти действия не содержат уголовно наказуемого деяния, - 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Стоит заметить, что для нарушений законодательства о рекламе законом установлены более длительные сроки давности привлечения к административной ответственности, которые составляют 1 год.</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5. Согласно ч. 5 ст. 38  Закона «О рекламе» умышленное нарушение законодательства Российской Федерации о рекламе могут быть установлены иные меры ответственности.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6. В ч. 6 комментируемой статьи содержится распределение ответственности между сторонами рекламных правоотношений. В соответствии с данной нормой рекламодатель (изготовитель или продавец товара либо иное определившее объект рекламирования и (или) содержание рекламы лицо) несет ответственность за нарушение требований, установленных:</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2 - 8 ст. 5;</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ст. 6 - 9;</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4 ст. 10;</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ст. 12;</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1 и 3 ст. 21;</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1 и 3 ст. 22;</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1 и 3 ст. 23;</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ст. 24 и 25;</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1 и 6 ст. 26;</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1 и 5 ст. 27;</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ст. 28 - 30 настоящего Федерального закона.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7. В ч. 7 комментируемой статьи содержится распределение ответственности между сторонами рекламных правоотношений. В соответствии с данной нормой рекламораспространитель (лицо, осуществляющее распространение рекламы любым способом, в любой форме и с использованием любых средств) несет ответственность за нарушение требований, установленных:</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 3 ч. 4, ч. 9 и 10 ст. 5;</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ст. 7 - 9, 12, 14 - 18;</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2 - 6 ст. 20;</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2 - 4 ст. 21;</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2 - 4 ст. 22;</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2 - 4 ст. 23;</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7, 8 и 11 ст. 24;</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1 - 5 ст. 26;</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2 и 5 ст. 27;</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1, 4, 7, 8 и 11 ст. 28;</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ч. 1, 3, 4, 6 и 8 ст. 29 ФЗ «О рекламе».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8. Рекламопроизводитель (лицо, осуществляющее полностью или частично приведение информации в готовую для распространения в виде рекламы форму) несет ответственность за нарушение требований, указанных в ч. 6 и 7 комментируемой статьи, в случае, если будет доказано, что нарушение произошло по его вине. Таким образом, предусмотренная Законом ответственность рекламодателя и рекламораспространителя может быть возложена на рекламопроизводителя.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9. Согласно ч. 9 комментируемой статьи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1) в федеральный бюджет - 40%;</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Уплата штрафа не освобождает от исполнения предписания о прекращении нарушения законодательства Российской Федерации о рекламе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Задача.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1.Охарактеризуйте правовое положение филиалов и представительств юридического лица.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 соответствии с ч.3 ст.55 ГК РФ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 поэтому ссылка представителя ответчика на положения о филиалах неправомочна, так как такие положения противоречат Гражданскому Кодексу РФ.</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Дочернее общество не отвечает по долгам основного общества (товарищества).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               Из положений ст.61 ГК РФ следует:</w:t>
      </w:r>
    </w:p>
    <w:p w:rsidR="00500F54" w:rsidRPr="00500F54" w:rsidRDefault="00500F54" w:rsidP="00500F54">
      <w:pPr>
        <w:spacing w:line="360" w:lineRule="auto"/>
        <w:ind w:firstLine="567"/>
        <w:jc w:val="both"/>
        <w:rPr>
          <w:rFonts w:ascii="Times New Roman" w:hAnsi="Times New Roman"/>
          <w:sz w:val="28"/>
          <w:szCs w:val="28"/>
        </w:rPr>
      </w:pP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1. Ликвидация юридического лица влечет его прекращение без перехода прав и обязанностей в порядке правопреемства к другим лицам.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2. Юридическое лицо может быть ликвидировано:</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 ред. Федерального закона от 21.03.2002 N 31-ФЗ)</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Конституции Российской Федерации,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в том числе общественной или религиозной организацией (объединением), благотворительным или иным фондом, деятельности, противоречащей ее уставным целям, а также в иных случаях, предусмотренных настоящим Кодексом.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 ред. Федерального закона от 10.01.2006 N 18-ФЗ)</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4. Юридическое лицо, за исключением казенного предприятия, учреждения, политической партии и религиозной организации, ликвидируется также в соответствии со статьей 65 настоящего Кодекса вследствие признания его несостоятельным (банкротом). Государственная корпорация может быть ликвидирована вследствие признания ее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статьей 65 настоящего Кодекса.</w:t>
      </w:r>
    </w:p>
    <w:p w:rsidR="00500F54" w:rsidRPr="00500F54" w:rsidRDefault="00500F54" w:rsidP="00500F54">
      <w:pPr>
        <w:spacing w:line="360" w:lineRule="auto"/>
        <w:ind w:firstLine="567"/>
        <w:jc w:val="both"/>
        <w:rPr>
          <w:rFonts w:ascii="Times New Roman" w:hAnsi="Times New Roman"/>
          <w:sz w:val="28"/>
          <w:szCs w:val="28"/>
        </w:rPr>
      </w:pP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Процедура ликвидации в связи с несостоятельностью подробно регламентирована в ФЗ "О несостоятельности (банкротстве)". Из ст.2 данного ФЗ следует, что несостоятельность (банкротство) (далее также -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Из ст.53 данного ФЗ следует, что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статьей 3 настоящего Федерального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Таким образом финансовое оздоровление не является обязательной процедурой, а ликвидация предприятия возможна только после подтверждения его несостоятельности в Арбитражном суде. </w:t>
      </w:r>
    </w:p>
    <w:p w:rsidR="00500F54" w:rsidRPr="00500F54" w:rsidRDefault="00500F54" w:rsidP="00500F54">
      <w:pPr>
        <w:spacing w:line="360" w:lineRule="auto"/>
        <w:ind w:firstLine="567"/>
        <w:jc w:val="both"/>
        <w:rPr>
          <w:rFonts w:ascii="Times New Roman" w:hAnsi="Times New Roman"/>
          <w:sz w:val="28"/>
          <w:szCs w:val="28"/>
        </w:rPr>
      </w:pP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Филиал является более широким понятием и может осуществлять все функции юридического лица, а представительство только часть.</w:t>
      </w:r>
    </w:p>
    <w:p w:rsidR="00500F54" w:rsidRPr="00500F54" w:rsidRDefault="00500F54" w:rsidP="00500F54">
      <w:pPr>
        <w:spacing w:line="360" w:lineRule="auto"/>
        <w:ind w:firstLine="567"/>
        <w:jc w:val="both"/>
        <w:rPr>
          <w:rFonts w:ascii="Times New Roman" w:hAnsi="Times New Roman"/>
          <w:sz w:val="28"/>
          <w:szCs w:val="28"/>
        </w:rPr>
      </w:pP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2.Опишите основные этапы конкурсного  производства.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Заключительный этап в процедуре банкротства. Открытие конкурсного производства происходит после принятия арбитражным судом решения о признании должника банкротом. На этапе конкурсного производства прекращается любая предпринимательская деятельность должника.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Сроки процедуры конкурсного производства - 1 год. Срок также может продлиться на 6 месяцев по ходатайству лица, участвующего в деле.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Конкурсному управляющему передается вся бухгалтерская документация предприятия, печати, штампы, а также материальные ценности компании должника. Конкурсный управляющий действует в интересах как должника, так и кредитора. Контроль за действиями конкурсного управляющего лежит на комитете кредиторов.</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Все требования кредиторов по обязательствам должника могут быть предъявлены только в ходе процедуры конкурсного производства. Конкурсный управляющий осуществляет оценку имущества должника, инвентаризацию, а также осуществляет все расчеты с кредиторами.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Существует следующие наименования кредиторов:</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Внеочередные кредиторами считаются арбитражный суд и сам конкурсный управляющий, а также кредиторы по текущим платежам, которые возникли после начала процедуры.</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Очередные кредиторы  делятся  на три очереди: во-первых, лица пострадавшие от деятельности юридического лица имеющие право требовать возмещения вреда жизни и здоровью; во- вторых, работнику юридического лица с требованиями по всем выплатам заработной платы, пособий и прочих выплат. Если работник уже уволился и местонахождение неизвестно, конкурсный управляющий депонирует необходимую сумму у нотариуса; в-третьих, все остальные кредиторы.</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Оставшееся имущество распределяется между учредителями. Если в данном случае остается имущество от которого все отказались, оно передается на баланс  муниципального бюджета.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После отчетов в суде, налоговый орган вносит информацию о ликвидации юридического лица.</w:t>
      </w:r>
    </w:p>
    <w:p w:rsidR="00500F54" w:rsidRPr="00500F54" w:rsidRDefault="00500F54" w:rsidP="00500F54">
      <w:pPr>
        <w:spacing w:line="360" w:lineRule="auto"/>
        <w:ind w:firstLine="567"/>
        <w:jc w:val="both"/>
        <w:rPr>
          <w:rFonts w:ascii="Times New Roman" w:hAnsi="Times New Roman"/>
          <w:sz w:val="28"/>
          <w:szCs w:val="28"/>
        </w:rPr>
      </w:pP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Решите тесты 30-39</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30 А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31 Г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32 Г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33 Б</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34 В</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35 Г</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36 В</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37 В</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38 Г</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39 Г</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Тестовые вопросы  «ФЗ  О приватизации государственного имущества»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1.Понятие приватизации: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а)это возмездное изъятие имущества, находящегося в собственности РФ, субъектов федерации, муниципальных образований, в собственность юридических и физических лиц;</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б) это приобретение имущества, находящегося в государственной и частной собственности РФ, субъектов РФ, в собственность физических и юридических лиц;</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 возмездное отчуждение имущества, находящегося в собственности РФ, субъектов РФ, муниципальных образований, в собственность физических и юридических лиц;</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2.Аукцион по составу является: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xml:space="preserve">а)закрытым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б)избирательным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в)открытым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г)может быть как закрытым так и открытым</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3.Предложения о цене государственного или муниципального имущества на аукционе подается: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а) в запечатанных конвертах (закрытая форма подачи);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б)открыто в ходе проведения торгов (открытая форма подачи предложения о цене);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в)возможны оба варианта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4.Аукцион о продаже государственного и муниципального имущества признается несостоявшимся если: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а) в нем принимает участие менее половины заявленных покупателей;</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б)только один участник</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в)в нем принимает участие менее 1/3 заявленных участников;</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5.Продолжитльность приема заявок на участие в аукционе, должна быть не менее: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а)25 рабочих дней</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б)месяца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в)14 рабочих дней</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г)25 календарных дней</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6.Задаток для участия в аукционе устанавливается в размере:</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а)20% начальной цены;</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б)15%начальной цены;</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в)половины начальной цены;</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г)20% начальной цены;</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7.На конкурсе может продаваться предприятие как (может быть более одного ответа):</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а)наземные постройки с правом собственности на данную недвижимость;</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б)имущественный комплекс;</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в)акции ОАО приватизированного предприятия;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г)акции ООО и ОАО приватизированного предприятия;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8.Приватизация муниципального имущества  осуществляется: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а)органами субъекта федерации самостоятельно, по представлению органов местного самоуправления;</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б)государственными органами самостоятельно;</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в)органами местного самоуправления, по представлению органов субъекта федерации;</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г)органами местного самоуправления самостоятельно;</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 </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Список литературы</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1. ФЗ «О защите конкуренции» от 26.07.2006 №135- ФЗ// Информационная система консультант плюс</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2. Гущин В.В. Российское предпринимательское право // Учебник- М: Изд- во Эксмо, 2007</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3. ФЗ «О рекламе» от 13.03.2006 № 38- ФЗ //Информационная система Консультант Плюс</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4. А.Н.Кайль Комментарий к федеральному закону от 13.03.2006 № 38         ФЗ «О рекламе»// информационная система Консультант Плюс</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5. М.А.Спиридонова  Постатейный Комментарий к ФЗ «О рекламе» от 13.03.2006 // Информационная система консультант Плюс</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6. Гражданский кодекс РФ- М.: Эксмо , 2010</w:t>
      </w:r>
    </w:p>
    <w:p w:rsidR="00500F54"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7. Кодекс об административных нарушениях № 195- ФЗ от 23.11.2009// Информационная система      Консультант Плюс</w:t>
      </w:r>
    </w:p>
    <w:p w:rsidR="00FC21EE" w:rsidRPr="00500F54" w:rsidRDefault="00500F54" w:rsidP="00500F54">
      <w:pPr>
        <w:spacing w:line="360" w:lineRule="auto"/>
        <w:ind w:firstLine="567"/>
        <w:jc w:val="both"/>
        <w:rPr>
          <w:rFonts w:ascii="Times New Roman" w:hAnsi="Times New Roman"/>
          <w:sz w:val="28"/>
          <w:szCs w:val="28"/>
        </w:rPr>
      </w:pPr>
      <w:r w:rsidRPr="00500F54">
        <w:rPr>
          <w:rFonts w:ascii="Times New Roman" w:hAnsi="Times New Roman"/>
          <w:sz w:val="28"/>
          <w:szCs w:val="28"/>
        </w:rPr>
        <w:t>8. ФЗ «О несостоятельности( банкротстве)» от 26.10.2002 №127- ФЗ в редакции от 17.12.2009</w:t>
      </w:r>
      <w:bookmarkStart w:id="0" w:name="_GoBack"/>
      <w:bookmarkEnd w:id="0"/>
    </w:p>
    <w:sectPr w:rsidR="00FC21EE" w:rsidRPr="00500F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288" w:rsidRDefault="00484288" w:rsidP="00C819DD">
      <w:pPr>
        <w:spacing w:after="0" w:line="240" w:lineRule="auto"/>
      </w:pPr>
      <w:r>
        <w:separator/>
      </w:r>
    </w:p>
  </w:endnote>
  <w:endnote w:type="continuationSeparator" w:id="0">
    <w:p w:rsidR="00484288" w:rsidRDefault="00484288" w:rsidP="00C8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288" w:rsidRDefault="00484288" w:rsidP="00C819DD">
      <w:pPr>
        <w:spacing w:after="0" w:line="240" w:lineRule="auto"/>
      </w:pPr>
      <w:r>
        <w:separator/>
      </w:r>
    </w:p>
  </w:footnote>
  <w:footnote w:type="continuationSeparator" w:id="0">
    <w:p w:rsidR="00484288" w:rsidRDefault="00484288" w:rsidP="00C81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A2365"/>
    <w:multiLevelType w:val="hybridMultilevel"/>
    <w:tmpl w:val="6626232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E6A18C5"/>
    <w:multiLevelType w:val="hybridMultilevel"/>
    <w:tmpl w:val="86609DD0"/>
    <w:lvl w:ilvl="0" w:tplc="AD74EE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C5C"/>
    <w:rsid w:val="00112C5C"/>
    <w:rsid w:val="00137143"/>
    <w:rsid w:val="001515C9"/>
    <w:rsid w:val="00177BCE"/>
    <w:rsid w:val="003A5F31"/>
    <w:rsid w:val="00484288"/>
    <w:rsid w:val="00500F54"/>
    <w:rsid w:val="00725926"/>
    <w:rsid w:val="007A582A"/>
    <w:rsid w:val="00A600B0"/>
    <w:rsid w:val="00BE732A"/>
    <w:rsid w:val="00C819DD"/>
    <w:rsid w:val="00D65747"/>
    <w:rsid w:val="00DF5491"/>
    <w:rsid w:val="00FC2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C7F35-98F7-44B8-A95C-74C5F2B2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819DD"/>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rsid w:val="00C819DD"/>
    <w:rPr>
      <w:rFonts w:ascii="Times New Roman" w:eastAsia="Times New Roman" w:hAnsi="Times New Roman"/>
    </w:rPr>
  </w:style>
  <w:style w:type="character" w:styleId="a5">
    <w:name w:val="footnote reference"/>
    <w:basedOn w:val="a0"/>
    <w:uiPriority w:val="99"/>
    <w:rsid w:val="00C819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5397</Words>
  <Characters>30769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admin</cp:lastModifiedBy>
  <cp:revision>2</cp:revision>
  <dcterms:created xsi:type="dcterms:W3CDTF">2014-04-17T02:31:00Z</dcterms:created>
  <dcterms:modified xsi:type="dcterms:W3CDTF">2014-04-17T02:31:00Z</dcterms:modified>
</cp:coreProperties>
</file>