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B72" w:rsidRPr="00B6105B" w:rsidRDefault="00270B72" w:rsidP="00B6105B">
      <w:pPr>
        <w:pStyle w:val="a6"/>
        <w:ind w:firstLine="709"/>
        <w:jc w:val="both"/>
      </w:pPr>
      <w:r w:rsidRPr="00B6105B">
        <w:t>СОДЕРЖАНИЕ</w:t>
      </w:r>
    </w:p>
    <w:p w:rsidR="00270B72" w:rsidRPr="00B6105B" w:rsidRDefault="00270B72" w:rsidP="00B6105B">
      <w:pPr>
        <w:spacing w:line="360" w:lineRule="auto"/>
        <w:jc w:val="both"/>
        <w:rPr>
          <w:sz w:val="28"/>
        </w:rPr>
      </w:pPr>
    </w:p>
    <w:p w:rsidR="00270B72" w:rsidRPr="00B6105B" w:rsidRDefault="00270B72" w:rsidP="00B6105B">
      <w:pPr>
        <w:spacing w:line="360" w:lineRule="auto"/>
        <w:jc w:val="both"/>
        <w:rPr>
          <w:sz w:val="28"/>
        </w:rPr>
      </w:pPr>
      <w:r w:rsidRPr="00B6105B">
        <w:rPr>
          <w:sz w:val="28"/>
        </w:rPr>
        <w:t>ВВЕДЕНИЕ</w:t>
      </w:r>
    </w:p>
    <w:p w:rsidR="00270B72" w:rsidRPr="00B6105B" w:rsidRDefault="00270B72" w:rsidP="00B6105B">
      <w:pPr>
        <w:spacing w:line="360" w:lineRule="auto"/>
        <w:jc w:val="both"/>
        <w:rPr>
          <w:sz w:val="28"/>
        </w:rPr>
      </w:pPr>
      <w:r w:rsidRPr="00B6105B">
        <w:rPr>
          <w:sz w:val="28"/>
        </w:rPr>
        <w:t>1. Роль рефинансирования в регулировании ликвидности банковской</w:t>
      </w:r>
      <w:r w:rsidR="00B6105B" w:rsidRPr="00B6105B">
        <w:rPr>
          <w:sz w:val="28"/>
        </w:rPr>
        <w:t xml:space="preserve"> </w:t>
      </w:r>
      <w:r w:rsidRPr="00B6105B">
        <w:rPr>
          <w:sz w:val="28"/>
        </w:rPr>
        <w:t>системы</w:t>
      </w:r>
    </w:p>
    <w:p w:rsidR="00270B72" w:rsidRPr="00B6105B" w:rsidRDefault="00270B72" w:rsidP="00B6105B">
      <w:pPr>
        <w:spacing w:line="360" w:lineRule="auto"/>
        <w:jc w:val="both"/>
        <w:rPr>
          <w:sz w:val="28"/>
        </w:rPr>
      </w:pPr>
      <w:r w:rsidRPr="00B6105B">
        <w:rPr>
          <w:sz w:val="28"/>
        </w:rPr>
        <w:t>2. Этапы развития</w:t>
      </w:r>
      <w:r w:rsidR="00B6105B">
        <w:rPr>
          <w:sz w:val="28"/>
        </w:rPr>
        <w:t>,</w:t>
      </w:r>
      <w:r w:rsidRPr="00B6105B">
        <w:rPr>
          <w:sz w:val="28"/>
        </w:rPr>
        <w:t xml:space="preserve"> методы рефинансирования</w:t>
      </w:r>
    </w:p>
    <w:p w:rsidR="00270B72" w:rsidRPr="00B6105B" w:rsidRDefault="00270B72" w:rsidP="00B6105B">
      <w:pPr>
        <w:spacing w:line="360" w:lineRule="auto"/>
        <w:jc w:val="both"/>
        <w:rPr>
          <w:sz w:val="28"/>
        </w:rPr>
      </w:pPr>
      <w:r w:rsidRPr="00B6105B">
        <w:rPr>
          <w:sz w:val="28"/>
        </w:rPr>
        <w:t>3. Формы, порядок и условия рефинансирования</w:t>
      </w:r>
    </w:p>
    <w:p w:rsidR="00270B72" w:rsidRPr="00B6105B" w:rsidRDefault="00270B72" w:rsidP="00B6105B">
      <w:pPr>
        <w:spacing w:line="360" w:lineRule="auto"/>
        <w:jc w:val="both"/>
        <w:rPr>
          <w:sz w:val="28"/>
        </w:rPr>
      </w:pPr>
      <w:r w:rsidRPr="00B6105B">
        <w:rPr>
          <w:sz w:val="28"/>
        </w:rPr>
        <w:t>ЗАКЛЮЧЕНИЕ</w:t>
      </w:r>
    </w:p>
    <w:p w:rsidR="00270B72" w:rsidRPr="00B6105B" w:rsidRDefault="00270B72" w:rsidP="00B6105B">
      <w:pPr>
        <w:spacing w:line="360" w:lineRule="auto"/>
        <w:jc w:val="both"/>
        <w:rPr>
          <w:sz w:val="28"/>
        </w:rPr>
      </w:pPr>
      <w:r w:rsidRPr="00B6105B">
        <w:rPr>
          <w:sz w:val="28"/>
        </w:rPr>
        <w:t>ПРАКТИЧЕСКАЯ ЧАСТЬ</w:t>
      </w:r>
    </w:p>
    <w:p w:rsidR="00270B72" w:rsidRPr="00B6105B" w:rsidRDefault="00270B72" w:rsidP="00B6105B">
      <w:pPr>
        <w:spacing w:line="360" w:lineRule="auto"/>
        <w:jc w:val="both"/>
        <w:rPr>
          <w:sz w:val="28"/>
        </w:rPr>
      </w:pPr>
      <w:r w:rsidRPr="00B6105B">
        <w:rPr>
          <w:sz w:val="28"/>
        </w:rPr>
        <w:t>СПИСОК ИСПОЛЬЗОВАННОЙ ЛИТЕРАТУРЫ</w:t>
      </w:r>
    </w:p>
    <w:p w:rsidR="00B6105B" w:rsidRPr="00B6105B" w:rsidRDefault="00B6105B" w:rsidP="00B6105B">
      <w:pPr>
        <w:spacing w:line="360" w:lineRule="auto"/>
        <w:ind w:firstLine="709"/>
        <w:jc w:val="both"/>
        <w:rPr>
          <w:sz w:val="28"/>
        </w:rPr>
      </w:pPr>
    </w:p>
    <w:p w:rsidR="00270B72" w:rsidRPr="00B6105B" w:rsidRDefault="00270B72" w:rsidP="00B6105B">
      <w:pPr>
        <w:pStyle w:val="1"/>
        <w:ind w:firstLine="709"/>
        <w:jc w:val="both"/>
      </w:pPr>
      <w:r w:rsidRPr="00B6105B">
        <w:br w:type="page"/>
        <w:t>ВВЕДЕНИЕ</w:t>
      </w:r>
    </w:p>
    <w:p w:rsidR="00270B72" w:rsidRPr="00B6105B" w:rsidRDefault="00270B72" w:rsidP="00B6105B">
      <w:pPr>
        <w:spacing w:line="360" w:lineRule="auto"/>
        <w:ind w:firstLine="709"/>
        <w:jc w:val="both"/>
        <w:rPr>
          <w:sz w:val="28"/>
        </w:rPr>
      </w:pPr>
    </w:p>
    <w:p w:rsidR="00270B72" w:rsidRPr="00B6105B" w:rsidRDefault="00270B72" w:rsidP="00B6105B">
      <w:pPr>
        <w:pStyle w:val="aa"/>
        <w:spacing w:before="0" w:beforeAutospacing="0" w:after="0" w:afterAutospacing="0" w:line="360" w:lineRule="auto"/>
        <w:ind w:firstLine="709"/>
        <w:rPr>
          <w:rFonts w:ascii="Times New Roman" w:hAnsi="Times New Roman" w:cs="Times New Roman"/>
          <w:sz w:val="28"/>
        </w:rPr>
      </w:pPr>
      <w:r w:rsidRPr="00B6105B">
        <w:rPr>
          <w:rFonts w:ascii="Times New Roman" w:hAnsi="Times New Roman" w:cs="Times New Roman"/>
          <w:sz w:val="28"/>
        </w:rPr>
        <w:t>Структура кредитной системы может определяться двумя способами. Функционально кредитная система - это совокупность кредитных отношений, форм и методов кредитования. Организационно</w:t>
      </w:r>
      <w:r w:rsidR="00B6105B" w:rsidRPr="00B6105B">
        <w:rPr>
          <w:rFonts w:ascii="Times New Roman" w:hAnsi="Times New Roman" w:cs="Times New Roman"/>
          <w:sz w:val="28"/>
        </w:rPr>
        <w:t xml:space="preserve"> </w:t>
      </w:r>
      <w:r w:rsidRPr="00B6105B">
        <w:rPr>
          <w:rFonts w:ascii="Times New Roman" w:hAnsi="Times New Roman" w:cs="Times New Roman"/>
          <w:sz w:val="28"/>
        </w:rPr>
        <w:t>—</w:t>
      </w:r>
      <w:r w:rsidR="00B6105B" w:rsidRPr="00B6105B">
        <w:rPr>
          <w:rFonts w:ascii="Times New Roman" w:hAnsi="Times New Roman" w:cs="Times New Roman"/>
          <w:sz w:val="28"/>
        </w:rPr>
        <w:t xml:space="preserve"> </w:t>
      </w:r>
      <w:r w:rsidRPr="00B6105B">
        <w:rPr>
          <w:rFonts w:ascii="Times New Roman" w:hAnsi="Times New Roman" w:cs="Times New Roman"/>
          <w:sz w:val="28"/>
        </w:rPr>
        <w:t xml:space="preserve">это совокупность банков и других кредитно-финансовых институтов, аккумулирующих свободные денежные средства и предоставляющих их заемщикам в виде ссуд или других форм инвестиций. Таким образом, финансовые посредники содействуют более эффективному распределению инвестиционных ресурсов и, в конечном счете, экономическому росту. </w:t>
      </w:r>
    </w:p>
    <w:p w:rsidR="00270B72" w:rsidRPr="00B6105B" w:rsidRDefault="00270B72" w:rsidP="00B6105B">
      <w:pPr>
        <w:pStyle w:val="aa"/>
        <w:spacing w:before="0" w:beforeAutospacing="0" w:after="0" w:afterAutospacing="0" w:line="360" w:lineRule="auto"/>
        <w:ind w:firstLine="709"/>
        <w:rPr>
          <w:rFonts w:ascii="Times New Roman" w:hAnsi="Times New Roman" w:cs="Times New Roman"/>
          <w:sz w:val="28"/>
        </w:rPr>
      </w:pPr>
      <w:r w:rsidRPr="00B6105B">
        <w:rPr>
          <w:rFonts w:ascii="Times New Roman" w:hAnsi="Times New Roman" w:cs="Times New Roman"/>
          <w:sz w:val="28"/>
        </w:rPr>
        <w:t>Центральный банк страны выполняет функцию посредника между государством и экономикой и является главным звеном банковской системы любого государства. Действуя на макроуровне, Центральный банк проводит политику, учитывающую интересы государства в целом (стабилизация экономики, товарно-денежная сбалансированность) и не ставит целью получение прибыли.</w:t>
      </w:r>
    </w:p>
    <w:p w:rsidR="00270B72" w:rsidRPr="00B6105B" w:rsidRDefault="00270B72" w:rsidP="00B6105B">
      <w:pPr>
        <w:pStyle w:val="main"/>
        <w:spacing w:line="360" w:lineRule="auto"/>
        <w:ind w:left="0" w:right="0" w:firstLine="709"/>
        <w:jc w:val="both"/>
        <w:rPr>
          <w:rFonts w:ascii="Times New Roman" w:hAnsi="Times New Roman" w:cs="Times New Roman"/>
          <w:sz w:val="28"/>
        </w:rPr>
      </w:pPr>
      <w:r w:rsidRPr="00B6105B">
        <w:rPr>
          <w:rFonts w:ascii="Times New Roman" w:hAnsi="Times New Roman" w:cs="Times New Roman"/>
          <w:sz w:val="28"/>
        </w:rPr>
        <w:t xml:space="preserve">В соответствии с федеральным законом «О Центральном банке Российской Федерации (Банке России)» одним из инструментов денежно—кредитной политики Банка России является рефинансирование, т.е. кредитование Банком России кредитных организаций, и Банк России, выполняя функцию кредитора последней инстанции для кредитных организаций, вправе предоставлять кредитным организациям кредиты в рублях Российской Федерации на срок не более одного года под обеспечение ценными бумагами и другими ликвидными активами. </w:t>
      </w:r>
    </w:p>
    <w:p w:rsidR="00270B72" w:rsidRPr="00B6105B" w:rsidRDefault="00270B72" w:rsidP="00B6105B">
      <w:pPr>
        <w:pStyle w:val="main"/>
        <w:spacing w:line="360" w:lineRule="auto"/>
        <w:ind w:left="0" w:right="0" w:firstLine="709"/>
        <w:jc w:val="both"/>
        <w:rPr>
          <w:rFonts w:ascii="Times New Roman" w:hAnsi="Times New Roman" w:cs="Times New Roman"/>
          <w:sz w:val="28"/>
        </w:rPr>
      </w:pPr>
      <w:r w:rsidRPr="00B6105B">
        <w:rPr>
          <w:rFonts w:ascii="Times New Roman" w:hAnsi="Times New Roman" w:cs="Times New Roman"/>
          <w:sz w:val="28"/>
        </w:rPr>
        <w:t xml:space="preserve">Кредиты предоставляются кредитным организациям, отвечающим требованиям Банка России к их финансовой устойчивости, и с безупречной историей отношений с Банком России, например, не имеющим неисполненных денежных обязательств перед Банком России. </w:t>
      </w:r>
    </w:p>
    <w:p w:rsidR="00270B72" w:rsidRPr="00B6105B" w:rsidRDefault="00270B72" w:rsidP="00B6105B">
      <w:pPr>
        <w:pStyle w:val="main"/>
        <w:spacing w:line="360" w:lineRule="auto"/>
        <w:ind w:left="0" w:right="0" w:firstLine="709"/>
        <w:jc w:val="both"/>
        <w:rPr>
          <w:rFonts w:ascii="Times New Roman" w:hAnsi="Times New Roman" w:cs="Times New Roman"/>
          <w:sz w:val="28"/>
        </w:rPr>
      </w:pPr>
    </w:p>
    <w:p w:rsidR="00270B72" w:rsidRPr="00B6105B" w:rsidRDefault="00270B72" w:rsidP="00B6105B">
      <w:pPr>
        <w:pStyle w:val="ac"/>
        <w:ind w:firstLine="709"/>
        <w:jc w:val="both"/>
      </w:pPr>
      <w:r w:rsidRPr="00B6105B">
        <w:br w:type="page"/>
        <w:t>1. Роль рефинансирования в регулировании ликвидности банковской системы</w:t>
      </w:r>
    </w:p>
    <w:p w:rsidR="00270B72" w:rsidRPr="00B6105B" w:rsidRDefault="00270B72" w:rsidP="00B6105B">
      <w:pPr>
        <w:spacing w:line="360" w:lineRule="auto"/>
        <w:ind w:firstLine="709"/>
        <w:jc w:val="both"/>
        <w:rPr>
          <w:sz w:val="28"/>
        </w:rPr>
      </w:pPr>
    </w:p>
    <w:p w:rsidR="00270B72" w:rsidRPr="00B6105B" w:rsidRDefault="00270B72" w:rsidP="00B6105B">
      <w:pPr>
        <w:pStyle w:val="ae"/>
      </w:pPr>
      <w:r w:rsidRPr="00B6105B">
        <w:t xml:space="preserve">Под ликвидностью банка понимается способность банка обеспечивать своевременное выполнение своих обязательств. </w:t>
      </w:r>
    </w:p>
    <w:p w:rsidR="00270B72" w:rsidRPr="00B6105B" w:rsidRDefault="00270B72" w:rsidP="00B6105B">
      <w:pPr>
        <w:pStyle w:val="aa"/>
        <w:spacing w:before="0" w:beforeAutospacing="0" w:after="0" w:afterAutospacing="0" w:line="360" w:lineRule="auto"/>
        <w:ind w:firstLine="709"/>
        <w:rPr>
          <w:rFonts w:ascii="Times New Roman" w:hAnsi="Times New Roman" w:cs="Times New Roman"/>
          <w:sz w:val="28"/>
        </w:rPr>
      </w:pPr>
      <w:r w:rsidRPr="00B6105B">
        <w:rPr>
          <w:rFonts w:ascii="Times New Roman" w:hAnsi="Times New Roman" w:cs="Times New Roman"/>
          <w:sz w:val="28"/>
        </w:rPr>
        <w:t xml:space="preserve">Обязательные нормативы ЦБ закреплены в законе о Центробанке и подробно описаны его Инструкцией №1. В их числе - четыре норматива ликвидности (мгновенной ликвидности - Н2, текущей -Н3, долгосрочной - Н4 и общей - Н5), регулирующие способность банков своевременно платить по своим обязательствам, соотнося по срочности пассивные и активные операции. </w:t>
      </w:r>
    </w:p>
    <w:p w:rsidR="00270B72" w:rsidRPr="00B6105B" w:rsidRDefault="00270B72" w:rsidP="00B6105B">
      <w:pPr>
        <w:pStyle w:val="ae"/>
      </w:pPr>
      <w:r w:rsidRPr="00B6105B">
        <w:t xml:space="preserve">В целях контроля за состоянием ликвидности банка устанавливаются нормативы ликвидности (мгновенной, текущей, долгосрочной и общей, а также по операциям с драгоценными металлами), которые определяются как соотношение между активами и пассивами с учетом сроков, сумм и видов активов и пассивов, других факторов. </w:t>
      </w:r>
    </w:p>
    <w:p w:rsidR="00270B72" w:rsidRDefault="00270B72" w:rsidP="00B6105B">
      <w:pPr>
        <w:pStyle w:val="ae"/>
      </w:pPr>
      <w:r w:rsidRPr="00B6105B">
        <w:t>Норматив мгновенной ликвидности (Н2) определяется как отношение суммы высоколиквидных активов банка к сумме обязательств ба</w:t>
      </w:r>
      <w:r w:rsidR="00B6105B">
        <w:t>нка по счетам до востребования:</w:t>
      </w:r>
    </w:p>
    <w:p w:rsidR="00B6105B" w:rsidRPr="00B6105B" w:rsidRDefault="00B6105B" w:rsidP="00B6105B">
      <w:pPr>
        <w:pStyle w:val="a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900"/>
        <w:gridCol w:w="1260"/>
      </w:tblGrid>
      <w:tr w:rsidR="00270B72" w:rsidRPr="00B6105B">
        <w:trPr>
          <w:cantSplit/>
          <w:jc w:val="center"/>
        </w:trPr>
        <w:tc>
          <w:tcPr>
            <w:tcW w:w="828" w:type="dxa"/>
            <w:vMerge w:val="restart"/>
            <w:tcBorders>
              <w:top w:val="nil"/>
              <w:left w:val="nil"/>
              <w:bottom w:val="nil"/>
              <w:right w:val="nil"/>
            </w:tcBorders>
            <w:vAlign w:val="center"/>
          </w:tcPr>
          <w:p w:rsidR="00270B72" w:rsidRPr="00B6105B" w:rsidRDefault="00270B72" w:rsidP="00B6105B">
            <w:pPr>
              <w:pStyle w:val="ae"/>
              <w:ind w:firstLine="0"/>
              <w:jc w:val="left"/>
              <w:rPr>
                <w:sz w:val="20"/>
              </w:rPr>
            </w:pPr>
            <w:r w:rsidRPr="00B6105B">
              <w:rPr>
                <w:sz w:val="20"/>
              </w:rPr>
              <w:t>Н2 =</w:t>
            </w:r>
          </w:p>
        </w:tc>
        <w:tc>
          <w:tcPr>
            <w:tcW w:w="900" w:type="dxa"/>
            <w:tcBorders>
              <w:top w:val="nil"/>
              <w:left w:val="nil"/>
              <w:right w:val="nil"/>
            </w:tcBorders>
          </w:tcPr>
          <w:p w:rsidR="00270B72" w:rsidRPr="00B6105B" w:rsidRDefault="00270B72" w:rsidP="00826473">
            <w:pPr>
              <w:pStyle w:val="ae"/>
              <w:ind w:firstLine="0"/>
              <w:jc w:val="left"/>
              <w:rPr>
                <w:sz w:val="20"/>
              </w:rPr>
            </w:pPr>
            <w:r w:rsidRPr="00B6105B">
              <w:rPr>
                <w:sz w:val="20"/>
              </w:rPr>
              <w:t>ЛАм</w:t>
            </w:r>
          </w:p>
        </w:tc>
        <w:tc>
          <w:tcPr>
            <w:tcW w:w="1260" w:type="dxa"/>
            <w:vMerge w:val="restart"/>
            <w:tcBorders>
              <w:top w:val="nil"/>
              <w:left w:val="nil"/>
              <w:bottom w:val="nil"/>
              <w:right w:val="nil"/>
            </w:tcBorders>
            <w:vAlign w:val="center"/>
          </w:tcPr>
          <w:p w:rsidR="00270B72" w:rsidRPr="00B6105B" w:rsidRDefault="00270B72" w:rsidP="00B6105B">
            <w:pPr>
              <w:pStyle w:val="ae"/>
              <w:ind w:firstLine="0"/>
              <w:jc w:val="left"/>
              <w:rPr>
                <w:sz w:val="20"/>
              </w:rPr>
            </w:pPr>
            <w:r w:rsidRPr="00B6105B">
              <w:rPr>
                <w:sz w:val="20"/>
              </w:rPr>
              <w:sym w:font="Symbol" w:char="F0B4"/>
            </w:r>
            <w:r w:rsidRPr="00B6105B">
              <w:rPr>
                <w:sz w:val="20"/>
              </w:rPr>
              <w:t xml:space="preserve"> 100%</w:t>
            </w:r>
          </w:p>
        </w:tc>
      </w:tr>
      <w:tr w:rsidR="00270B72" w:rsidRPr="00B6105B">
        <w:trPr>
          <w:cantSplit/>
          <w:jc w:val="center"/>
        </w:trPr>
        <w:tc>
          <w:tcPr>
            <w:tcW w:w="828" w:type="dxa"/>
            <w:vMerge/>
            <w:tcBorders>
              <w:left w:val="nil"/>
              <w:bottom w:val="nil"/>
              <w:right w:val="nil"/>
            </w:tcBorders>
          </w:tcPr>
          <w:p w:rsidR="00270B72" w:rsidRPr="00B6105B" w:rsidRDefault="00270B72" w:rsidP="00B6105B">
            <w:pPr>
              <w:pStyle w:val="ae"/>
              <w:jc w:val="left"/>
              <w:rPr>
                <w:sz w:val="20"/>
              </w:rPr>
            </w:pPr>
          </w:p>
        </w:tc>
        <w:tc>
          <w:tcPr>
            <w:tcW w:w="900" w:type="dxa"/>
            <w:tcBorders>
              <w:left w:val="nil"/>
              <w:bottom w:val="nil"/>
              <w:right w:val="nil"/>
            </w:tcBorders>
          </w:tcPr>
          <w:p w:rsidR="00270B72" w:rsidRPr="00B6105B" w:rsidRDefault="00270B72" w:rsidP="00826473">
            <w:pPr>
              <w:pStyle w:val="ae"/>
              <w:ind w:firstLine="0"/>
              <w:jc w:val="left"/>
              <w:rPr>
                <w:sz w:val="20"/>
              </w:rPr>
            </w:pPr>
            <w:r w:rsidRPr="00B6105B">
              <w:rPr>
                <w:sz w:val="20"/>
              </w:rPr>
              <w:t>ОВм</w:t>
            </w:r>
          </w:p>
        </w:tc>
        <w:tc>
          <w:tcPr>
            <w:tcW w:w="1260" w:type="dxa"/>
            <w:vMerge/>
            <w:tcBorders>
              <w:left w:val="nil"/>
              <w:bottom w:val="nil"/>
              <w:right w:val="nil"/>
            </w:tcBorders>
          </w:tcPr>
          <w:p w:rsidR="00270B72" w:rsidRPr="00B6105B" w:rsidRDefault="00270B72" w:rsidP="00B6105B">
            <w:pPr>
              <w:pStyle w:val="ae"/>
              <w:jc w:val="left"/>
              <w:rPr>
                <w:sz w:val="20"/>
              </w:rPr>
            </w:pPr>
          </w:p>
        </w:tc>
      </w:tr>
    </w:tbl>
    <w:p w:rsidR="00B6105B" w:rsidRDefault="00B6105B" w:rsidP="00B6105B">
      <w:pPr>
        <w:pStyle w:val="ae"/>
      </w:pPr>
    </w:p>
    <w:p w:rsidR="00270B72" w:rsidRPr="00B6105B" w:rsidRDefault="00270B72" w:rsidP="00B6105B">
      <w:pPr>
        <w:pStyle w:val="ae"/>
      </w:pPr>
      <w:r w:rsidRPr="00B6105B">
        <w:t xml:space="preserve">где </w:t>
      </w:r>
      <w:r w:rsidR="00B6105B" w:rsidRPr="00B6105B">
        <w:t xml:space="preserve"> </w:t>
      </w:r>
      <w:r w:rsidRPr="00B6105B">
        <w:t>ЛАм - высоколиквидные активы;</w:t>
      </w:r>
    </w:p>
    <w:p w:rsidR="00270B72" w:rsidRPr="00B6105B" w:rsidRDefault="00270B72" w:rsidP="00B6105B">
      <w:pPr>
        <w:pStyle w:val="ae"/>
      </w:pPr>
      <w:r w:rsidRPr="00B6105B">
        <w:t>ОВм - обязательства до востребования.</w:t>
      </w:r>
    </w:p>
    <w:p w:rsidR="00270B72" w:rsidRPr="00B6105B" w:rsidRDefault="00270B72" w:rsidP="00B6105B">
      <w:pPr>
        <w:pStyle w:val="ae"/>
      </w:pPr>
      <w:r w:rsidRPr="00B6105B">
        <w:t xml:space="preserve">Минимально допустимое значение норматива Н2 устанавливается в размере 20%. </w:t>
      </w:r>
    </w:p>
    <w:p w:rsidR="00270B72" w:rsidRDefault="00270B72" w:rsidP="00B6105B">
      <w:pPr>
        <w:pStyle w:val="HTML"/>
        <w:spacing w:line="360" w:lineRule="auto"/>
        <w:ind w:firstLine="709"/>
        <w:jc w:val="both"/>
        <w:rPr>
          <w:rFonts w:ascii="Times New Roman" w:hAnsi="Times New Roman" w:cs="Times New Roman"/>
          <w:color w:val="000000"/>
          <w:sz w:val="28"/>
        </w:rPr>
      </w:pPr>
      <w:r w:rsidRPr="00B6105B">
        <w:rPr>
          <w:rFonts w:ascii="Times New Roman" w:hAnsi="Times New Roman" w:cs="Times New Roman"/>
          <w:color w:val="000000"/>
          <w:sz w:val="28"/>
        </w:rPr>
        <w:t>Норматив</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текущей</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ликвидности</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банка</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(Н3)</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регулирует</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(ограничивает)</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риск потери банком ликвидности в течение ближайших</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к</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дате</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расчета</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норматива</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30</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календарных</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дней</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и определяет</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минимальное</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отношение</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суммы</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ликвидных</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активов</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банка</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к сумме</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пассивов</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банка</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по</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счетам</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до</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востребования</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и на</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срок</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до</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30</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календарных</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дней.</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Норматив</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текущей</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ликвидности</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банка</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(Н3)</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рассчитывается по следующей формуле:</w:t>
      </w:r>
    </w:p>
    <w:p w:rsidR="00B6105B" w:rsidRPr="00B6105B" w:rsidRDefault="00B6105B" w:rsidP="00B6105B">
      <w:pPr>
        <w:pStyle w:val="HTML"/>
        <w:spacing w:line="360" w:lineRule="auto"/>
        <w:ind w:firstLine="709"/>
        <w:jc w:val="both"/>
        <w:rPr>
          <w:rFonts w:ascii="Times New Roman" w:hAnsi="Times New Roman" w:cs="Times New Roman"/>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900"/>
        <w:gridCol w:w="1260"/>
      </w:tblGrid>
      <w:tr w:rsidR="00270B72" w:rsidRPr="00B6105B">
        <w:trPr>
          <w:cantSplit/>
          <w:jc w:val="center"/>
        </w:trPr>
        <w:tc>
          <w:tcPr>
            <w:tcW w:w="828" w:type="dxa"/>
            <w:vMerge w:val="restart"/>
            <w:tcBorders>
              <w:top w:val="nil"/>
              <w:left w:val="nil"/>
              <w:bottom w:val="nil"/>
              <w:right w:val="nil"/>
            </w:tcBorders>
            <w:vAlign w:val="center"/>
          </w:tcPr>
          <w:p w:rsidR="00270B72" w:rsidRPr="00B6105B" w:rsidRDefault="00270B72" w:rsidP="00B6105B">
            <w:pPr>
              <w:pStyle w:val="ae"/>
              <w:ind w:firstLine="0"/>
              <w:rPr>
                <w:sz w:val="20"/>
              </w:rPr>
            </w:pPr>
            <w:r w:rsidRPr="00B6105B">
              <w:rPr>
                <w:sz w:val="20"/>
              </w:rPr>
              <w:t>Н3 =</w:t>
            </w:r>
          </w:p>
        </w:tc>
        <w:tc>
          <w:tcPr>
            <w:tcW w:w="900" w:type="dxa"/>
            <w:tcBorders>
              <w:top w:val="nil"/>
              <w:left w:val="nil"/>
              <w:right w:val="nil"/>
            </w:tcBorders>
          </w:tcPr>
          <w:p w:rsidR="00270B72" w:rsidRPr="00B6105B" w:rsidRDefault="00270B72" w:rsidP="00127BFF">
            <w:pPr>
              <w:pStyle w:val="ae"/>
              <w:ind w:firstLine="0"/>
              <w:rPr>
                <w:sz w:val="20"/>
              </w:rPr>
            </w:pPr>
            <w:r w:rsidRPr="00B6105B">
              <w:rPr>
                <w:sz w:val="20"/>
              </w:rPr>
              <w:t>Лат</w:t>
            </w:r>
          </w:p>
        </w:tc>
        <w:tc>
          <w:tcPr>
            <w:tcW w:w="1260" w:type="dxa"/>
            <w:vMerge w:val="restart"/>
            <w:tcBorders>
              <w:top w:val="nil"/>
              <w:left w:val="nil"/>
              <w:bottom w:val="nil"/>
              <w:right w:val="nil"/>
            </w:tcBorders>
            <w:vAlign w:val="center"/>
          </w:tcPr>
          <w:p w:rsidR="00270B72" w:rsidRPr="00B6105B" w:rsidRDefault="00270B72" w:rsidP="00B6105B">
            <w:pPr>
              <w:pStyle w:val="ae"/>
              <w:ind w:firstLine="0"/>
              <w:rPr>
                <w:sz w:val="20"/>
              </w:rPr>
            </w:pPr>
            <w:r w:rsidRPr="00B6105B">
              <w:rPr>
                <w:sz w:val="20"/>
              </w:rPr>
              <w:sym w:font="Symbol" w:char="F0B4"/>
            </w:r>
            <w:r w:rsidRPr="00B6105B">
              <w:rPr>
                <w:sz w:val="20"/>
              </w:rPr>
              <w:t xml:space="preserve"> 100%</w:t>
            </w:r>
          </w:p>
        </w:tc>
      </w:tr>
      <w:tr w:rsidR="00270B72" w:rsidRPr="00B6105B">
        <w:trPr>
          <w:cantSplit/>
          <w:jc w:val="center"/>
        </w:trPr>
        <w:tc>
          <w:tcPr>
            <w:tcW w:w="828" w:type="dxa"/>
            <w:vMerge/>
            <w:tcBorders>
              <w:left w:val="nil"/>
              <w:bottom w:val="nil"/>
              <w:right w:val="nil"/>
            </w:tcBorders>
          </w:tcPr>
          <w:p w:rsidR="00270B72" w:rsidRPr="00B6105B" w:rsidRDefault="00270B72" w:rsidP="00B6105B">
            <w:pPr>
              <w:pStyle w:val="ae"/>
              <w:rPr>
                <w:sz w:val="20"/>
              </w:rPr>
            </w:pPr>
          </w:p>
        </w:tc>
        <w:tc>
          <w:tcPr>
            <w:tcW w:w="900" w:type="dxa"/>
            <w:tcBorders>
              <w:left w:val="nil"/>
              <w:bottom w:val="nil"/>
              <w:right w:val="nil"/>
            </w:tcBorders>
          </w:tcPr>
          <w:p w:rsidR="00270B72" w:rsidRPr="00B6105B" w:rsidRDefault="00270B72" w:rsidP="00127BFF">
            <w:pPr>
              <w:pStyle w:val="ae"/>
              <w:ind w:firstLine="0"/>
              <w:rPr>
                <w:sz w:val="20"/>
              </w:rPr>
            </w:pPr>
            <w:r w:rsidRPr="00B6105B">
              <w:rPr>
                <w:sz w:val="20"/>
              </w:rPr>
              <w:t>Овт</w:t>
            </w:r>
          </w:p>
        </w:tc>
        <w:tc>
          <w:tcPr>
            <w:tcW w:w="1260" w:type="dxa"/>
            <w:vMerge/>
            <w:tcBorders>
              <w:left w:val="nil"/>
              <w:bottom w:val="nil"/>
              <w:right w:val="nil"/>
            </w:tcBorders>
          </w:tcPr>
          <w:p w:rsidR="00270B72" w:rsidRPr="00B6105B" w:rsidRDefault="00270B72" w:rsidP="00B6105B">
            <w:pPr>
              <w:pStyle w:val="ae"/>
              <w:rPr>
                <w:sz w:val="20"/>
              </w:rPr>
            </w:pPr>
          </w:p>
        </w:tc>
      </w:tr>
    </w:tbl>
    <w:p w:rsidR="00127BFF" w:rsidRDefault="00127BFF" w:rsidP="00B6105B">
      <w:pPr>
        <w:pStyle w:val="HTML"/>
        <w:spacing w:line="360" w:lineRule="auto"/>
        <w:ind w:firstLine="709"/>
        <w:jc w:val="both"/>
        <w:rPr>
          <w:rFonts w:ascii="Times New Roman" w:hAnsi="Times New Roman" w:cs="Times New Roman"/>
          <w:color w:val="000000"/>
          <w:sz w:val="28"/>
        </w:rPr>
      </w:pPr>
    </w:p>
    <w:p w:rsidR="00270B72" w:rsidRPr="00B6105B" w:rsidRDefault="00270B72" w:rsidP="00B6105B">
      <w:pPr>
        <w:pStyle w:val="HTML"/>
        <w:spacing w:line="360" w:lineRule="auto"/>
        <w:ind w:firstLine="709"/>
        <w:jc w:val="both"/>
        <w:rPr>
          <w:rFonts w:ascii="Times New Roman" w:hAnsi="Times New Roman" w:cs="Times New Roman"/>
          <w:color w:val="000000"/>
          <w:sz w:val="28"/>
        </w:rPr>
      </w:pPr>
      <w:r w:rsidRPr="00B6105B">
        <w:rPr>
          <w:rFonts w:ascii="Times New Roman" w:hAnsi="Times New Roman" w:cs="Times New Roman"/>
          <w:color w:val="000000"/>
          <w:sz w:val="28"/>
        </w:rPr>
        <w:t>где</w:t>
      </w:r>
    </w:p>
    <w:p w:rsidR="00270B72" w:rsidRPr="00B6105B" w:rsidRDefault="00270B72" w:rsidP="00B6105B">
      <w:pPr>
        <w:pStyle w:val="HTML"/>
        <w:spacing w:line="360" w:lineRule="auto"/>
        <w:ind w:firstLine="709"/>
        <w:jc w:val="both"/>
        <w:rPr>
          <w:rFonts w:ascii="Times New Roman" w:hAnsi="Times New Roman" w:cs="Times New Roman"/>
          <w:color w:val="000000"/>
          <w:sz w:val="28"/>
        </w:rPr>
      </w:pPr>
      <w:r w:rsidRPr="00B6105B">
        <w:rPr>
          <w:rFonts w:ascii="Times New Roman" w:hAnsi="Times New Roman" w:cs="Times New Roman"/>
          <w:color w:val="000000"/>
          <w:sz w:val="28"/>
        </w:rPr>
        <w:t>Лат</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 ликвидные</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активы,</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то есть финансовые активы,</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которые</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должны</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быть</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получены</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банком</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и (или)</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могут быть востребованы в</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течение</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ближайших</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30</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календарных</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дней</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и</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(или)</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в случае</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необходимости</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реализованы</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банком</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в</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течение</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ближайших</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30</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календарных</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дней</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в целях</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получения денежных средств в указанные</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сроки.</w:t>
      </w:r>
      <w:r w:rsidR="00B6105B" w:rsidRPr="00B6105B">
        <w:rPr>
          <w:rFonts w:ascii="Times New Roman" w:hAnsi="Times New Roman" w:cs="Times New Roman"/>
          <w:color w:val="000000"/>
          <w:sz w:val="28"/>
        </w:rPr>
        <w:t xml:space="preserve"> </w:t>
      </w:r>
    </w:p>
    <w:p w:rsidR="00270B72" w:rsidRPr="00B6105B" w:rsidRDefault="00270B72" w:rsidP="00B6105B">
      <w:pPr>
        <w:pStyle w:val="HTML"/>
        <w:spacing w:line="360" w:lineRule="auto"/>
        <w:ind w:firstLine="709"/>
        <w:jc w:val="both"/>
        <w:rPr>
          <w:rFonts w:ascii="Times New Roman" w:hAnsi="Times New Roman" w:cs="Times New Roman"/>
          <w:color w:val="000000"/>
          <w:sz w:val="28"/>
        </w:rPr>
      </w:pPr>
      <w:r w:rsidRPr="00B6105B">
        <w:rPr>
          <w:rFonts w:ascii="Times New Roman" w:hAnsi="Times New Roman" w:cs="Times New Roman"/>
          <w:color w:val="000000"/>
          <w:sz w:val="28"/>
        </w:rPr>
        <w:t>Овт</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 обязательства</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(пассивы)</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до востребования,</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по которым</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вкладчиком и (или) кредитором может быть предъявлено требование об</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их</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незамедлительном</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погашении,</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и</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обязательства</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банка</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перед</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кредиторами</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(вкладчиками)</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сроком</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исполнения</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в ближайшие</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30</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 xml:space="preserve">календарных дней. </w:t>
      </w:r>
    </w:p>
    <w:p w:rsidR="00270B72" w:rsidRPr="00B6105B" w:rsidRDefault="00270B72" w:rsidP="00B6105B">
      <w:pPr>
        <w:pStyle w:val="HTML"/>
        <w:spacing w:line="360" w:lineRule="auto"/>
        <w:ind w:firstLine="709"/>
        <w:jc w:val="both"/>
        <w:rPr>
          <w:rFonts w:ascii="Times New Roman" w:hAnsi="Times New Roman" w:cs="Times New Roman"/>
          <w:color w:val="000000"/>
          <w:sz w:val="28"/>
        </w:rPr>
      </w:pPr>
      <w:r w:rsidRPr="00B6105B">
        <w:rPr>
          <w:rFonts w:ascii="Times New Roman" w:hAnsi="Times New Roman" w:cs="Times New Roman"/>
          <w:color w:val="000000"/>
          <w:sz w:val="28"/>
        </w:rPr>
        <w:t>Минимально</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допустимое</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числовое</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значение</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норматива</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Н3 устанавливается в размере 50 процентов.</w:t>
      </w:r>
    </w:p>
    <w:p w:rsidR="00270B72" w:rsidRDefault="00270B72" w:rsidP="00B6105B">
      <w:pPr>
        <w:pStyle w:val="HTML"/>
        <w:spacing w:line="360" w:lineRule="auto"/>
        <w:ind w:firstLine="709"/>
        <w:jc w:val="both"/>
        <w:rPr>
          <w:rFonts w:ascii="Times New Roman" w:hAnsi="Times New Roman" w:cs="Times New Roman"/>
          <w:color w:val="000000"/>
          <w:sz w:val="28"/>
        </w:rPr>
      </w:pPr>
      <w:r w:rsidRPr="00B6105B">
        <w:rPr>
          <w:rFonts w:ascii="Times New Roman" w:hAnsi="Times New Roman" w:cs="Times New Roman"/>
          <w:color w:val="000000"/>
          <w:sz w:val="28"/>
        </w:rPr>
        <w:t>Норматив</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долгосрочной ликвидности банка (Н4) регулирует (ограничивает)</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риск</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потери</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банком</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ликвидности</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в результате размещения</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средств в долгосрочные активы и определяет максимально допустимое</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отношение</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кредитных</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требований</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банка</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с оставшимся сроком</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до</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даты</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погашения свыше 365 или 366 календарных дней,</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к собственным средствам (капиталу) банка и обязательствам (пассивам) с</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оставшимся</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сроком</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до</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даты</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погашения</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свыше</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365</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или</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366 календарных</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дней.</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Норматив</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долгосрочной</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ликвидности банка (Н4) рассчитывается по следующей формуле:</w:t>
      </w:r>
    </w:p>
    <w:p w:rsidR="00B87BBA" w:rsidRPr="00B6105B" w:rsidRDefault="00B87BBA" w:rsidP="00B6105B">
      <w:pPr>
        <w:pStyle w:val="HTML"/>
        <w:spacing w:line="360" w:lineRule="auto"/>
        <w:ind w:firstLine="709"/>
        <w:jc w:val="both"/>
        <w:rPr>
          <w:rFonts w:ascii="Times New Roman" w:hAnsi="Times New Roman" w:cs="Times New Roman"/>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1161"/>
        <w:gridCol w:w="1260"/>
      </w:tblGrid>
      <w:tr w:rsidR="00270B72" w:rsidRPr="00127BFF">
        <w:trPr>
          <w:cantSplit/>
          <w:jc w:val="center"/>
        </w:trPr>
        <w:tc>
          <w:tcPr>
            <w:tcW w:w="923" w:type="dxa"/>
            <w:vMerge w:val="restart"/>
            <w:tcBorders>
              <w:top w:val="nil"/>
              <w:left w:val="nil"/>
              <w:bottom w:val="nil"/>
              <w:right w:val="nil"/>
            </w:tcBorders>
            <w:vAlign w:val="center"/>
          </w:tcPr>
          <w:p w:rsidR="00270B72" w:rsidRPr="00127BFF" w:rsidRDefault="00270B72" w:rsidP="00127BFF">
            <w:pPr>
              <w:pStyle w:val="ae"/>
              <w:ind w:firstLine="0"/>
              <w:rPr>
                <w:sz w:val="20"/>
              </w:rPr>
            </w:pPr>
            <w:r w:rsidRPr="00127BFF">
              <w:rPr>
                <w:color w:val="000000"/>
                <w:sz w:val="20"/>
              </w:rPr>
              <w:t xml:space="preserve"> </w:t>
            </w:r>
            <w:r w:rsidRPr="00127BFF">
              <w:rPr>
                <w:sz w:val="20"/>
              </w:rPr>
              <w:t>Н4 =</w:t>
            </w:r>
          </w:p>
        </w:tc>
        <w:tc>
          <w:tcPr>
            <w:tcW w:w="1161" w:type="dxa"/>
            <w:tcBorders>
              <w:top w:val="nil"/>
              <w:left w:val="nil"/>
              <w:right w:val="nil"/>
            </w:tcBorders>
          </w:tcPr>
          <w:p w:rsidR="00270B72" w:rsidRPr="00127BFF" w:rsidRDefault="00270B72" w:rsidP="00127BFF">
            <w:pPr>
              <w:pStyle w:val="ae"/>
              <w:ind w:firstLine="0"/>
              <w:rPr>
                <w:sz w:val="20"/>
              </w:rPr>
            </w:pPr>
            <w:r w:rsidRPr="00127BFF">
              <w:rPr>
                <w:sz w:val="20"/>
              </w:rPr>
              <w:t>Крд</w:t>
            </w:r>
          </w:p>
        </w:tc>
        <w:tc>
          <w:tcPr>
            <w:tcW w:w="1260" w:type="dxa"/>
            <w:vMerge w:val="restart"/>
            <w:tcBorders>
              <w:top w:val="nil"/>
              <w:left w:val="nil"/>
              <w:bottom w:val="nil"/>
              <w:right w:val="nil"/>
            </w:tcBorders>
            <w:vAlign w:val="center"/>
          </w:tcPr>
          <w:p w:rsidR="00270B72" w:rsidRPr="00127BFF" w:rsidRDefault="00270B72" w:rsidP="00127BFF">
            <w:pPr>
              <w:pStyle w:val="ae"/>
              <w:ind w:firstLine="0"/>
              <w:rPr>
                <w:sz w:val="20"/>
              </w:rPr>
            </w:pPr>
            <w:r w:rsidRPr="00127BFF">
              <w:rPr>
                <w:sz w:val="20"/>
              </w:rPr>
              <w:sym w:font="Symbol" w:char="F0B4"/>
            </w:r>
            <w:r w:rsidRPr="00127BFF">
              <w:rPr>
                <w:sz w:val="20"/>
              </w:rPr>
              <w:t xml:space="preserve"> 100%</w:t>
            </w:r>
          </w:p>
        </w:tc>
      </w:tr>
      <w:tr w:rsidR="00270B72" w:rsidRPr="00127BFF">
        <w:trPr>
          <w:cantSplit/>
          <w:jc w:val="center"/>
        </w:trPr>
        <w:tc>
          <w:tcPr>
            <w:tcW w:w="923" w:type="dxa"/>
            <w:vMerge/>
            <w:tcBorders>
              <w:left w:val="nil"/>
              <w:bottom w:val="nil"/>
              <w:right w:val="nil"/>
            </w:tcBorders>
          </w:tcPr>
          <w:p w:rsidR="00270B72" w:rsidRPr="00127BFF" w:rsidRDefault="00270B72" w:rsidP="00B6105B">
            <w:pPr>
              <w:pStyle w:val="ae"/>
              <w:rPr>
                <w:sz w:val="20"/>
              </w:rPr>
            </w:pPr>
          </w:p>
        </w:tc>
        <w:tc>
          <w:tcPr>
            <w:tcW w:w="1161" w:type="dxa"/>
            <w:tcBorders>
              <w:left w:val="nil"/>
              <w:bottom w:val="nil"/>
              <w:right w:val="nil"/>
            </w:tcBorders>
          </w:tcPr>
          <w:p w:rsidR="00270B72" w:rsidRPr="00127BFF" w:rsidRDefault="00270B72" w:rsidP="00127BFF">
            <w:pPr>
              <w:pStyle w:val="ae"/>
              <w:ind w:firstLine="0"/>
              <w:rPr>
                <w:sz w:val="20"/>
              </w:rPr>
            </w:pPr>
            <w:r w:rsidRPr="00127BFF">
              <w:rPr>
                <w:sz w:val="20"/>
              </w:rPr>
              <w:t>К + ОД</w:t>
            </w:r>
          </w:p>
        </w:tc>
        <w:tc>
          <w:tcPr>
            <w:tcW w:w="1260" w:type="dxa"/>
            <w:vMerge/>
            <w:tcBorders>
              <w:left w:val="nil"/>
              <w:bottom w:val="nil"/>
              <w:right w:val="nil"/>
            </w:tcBorders>
          </w:tcPr>
          <w:p w:rsidR="00270B72" w:rsidRPr="00127BFF" w:rsidRDefault="00270B72" w:rsidP="00B6105B">
            <w:pPr>
              <w:pStyle w:val="ae"/>
              <w:rPr>
                <w:sz w:val="20"/>
              </w:rPr>
            </w:pPr>
          </w:p>
        </w:tc>
      </w:tr>
    </w:tbl>
    <w:p w:rsidR="00B87BBA" w:rsidRDefault="00B87BBA" w:rsidP="00B6105B">
      <w:pPr>
        <w:pStyle w:val="HTML"/>
        <w:spacing w:line="360" w:lineRule="auto"/>
        <w:ind w:firstLine="709"/>
        <w:jc w:val="both"/>
        <w:rPr>
          <w:rFonts w:ascii="Times New Roman" w:hAnsi="Times New Roman" w:cs="Times New Roman"/>
          <w:color w:val="000000"/>
          <w:sz w:val="28"/>
        </w:rPr>
      </w:pPr>
    </w:p>
    <w:p w:rsidR="00270B72" w:rsidRPr="00B6105B" w:rsidRDefault="00270B72" w:rsidP="00B6105B">
      <w:pPr>
        <w:pStyle w:val="HTML"/>
        <w:spacing w:line="360" w:lineRule="auto"/>
        <w:ind w:firstLine="709"/>
        <w:jc w:val="both"/>
        <w:rPr>
          <w:rFonts w:ascii="Times New Roman" w:hAnsi="Times New Roman" w:cs="Times New Roman"/>
          <w:color w:val="000000"/>
          <w:sz w:val="28"/>
        </w:rPr>
      </w:pPr>
      <w:r w:rsidRPr="00B6105B">
        <w:rPr>
          <w:rFonts w:ascii="Times New Roman" w:hAnsi="Times New Roman" w:cs="Times New Roman"/>
          <w:color w:val="000000"/>
          <w:sz w:val="28"/>
        </w:rPr>
        <w:t>где</w:t>
      </w:r>
    </w:p>
    <w:p w:rsidR="00270B72" w:rsidRPr="00B6105B" w:rsidRDefault="00270B72" w:rsidP="00B6105B">
      <w:pPr>
        <w:pStyle w:val="HTML"/>
        <w:spacing w:line="360" w:lineRule="auto"/>
        <w:ind w:firstLine="709"/>
        <w:jc w:val="both"/>
        <w:rPr>
          <w:rFonts w:ascii="Times New Roman" w:hAnsi="Times New Roman" w:cs="Times New Roman"/>
          <w:color w:val="000000"/>
          <w:sz w:val="28"/>
        </w:rPr>
      </w:pPr>
      <w:r w:rsidRPr="00B6105B">
        <w:rPr>
          <w:rFonts w:ascii="Times New Roman" w:hAnsi="Times New Roman" w:cs="Times New Roman"/>
          <w:color w:val="000000"/>
          <w:sz w:val="28"/>
        </w:rPr>
        <w:t>Крд</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кредитные</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требования</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с оставшимся</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сроком</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до</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даты</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погашения</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свыше</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365</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или</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366</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календарных</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дней,</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а</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также</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пролонгированные,</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если</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с</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учетом</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вновь</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установленных</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сроков</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погашения кредитных требований сроки,</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оставшиеся до их погашения,</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превышают 365 или 366 календарных дней (код 8996);</w:t>
      </w:r>
    </w:p>
    <w:p w:rsidR="00270B72" w:rsidRPr="00B6105B" w:rsidRDefault="00270B72" w:rsidP="00B6105B">
      <w:pPr>
        <w:pStyle w:val="HTML"/>
        <w:spacing w:line="360" w:lineRule="auto"/>
        <w:ind w:firstLine="709"/>
        <w:jc w:val="both"/>
        <w:rPr>
          <w:rFonts w:ascii="Times New Roman" w:hAnsi="Times New Roman" w:cs="Times New Roman"/>
          <w:color w:val="000000"/>
          <w:sz w:val="28"/>
        </w:rPr>
      </w:pPr>
      <w:r w:rsidRPr="00B6105B">
        <w:rPr>
          <w:rFonts w:ascii="Times New Roman" w:hAnsi="Times New Roman" w:cs="Times New Roman"/>
          <w:color w:val="000000"/>
          <w:sz w:val="28"/>
        </w:rPr>
        <w:t>ОД</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 обязательства</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(пассивы)</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банка по кредитам и депозитам,</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полученным</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банком,</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а</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также</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по</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обращающимся</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на рынке долговым</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обязательствам</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банка</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с оставшимся сроком погашения свыше 365 или</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366 календарных дней (код 8918, код 8997).</w:t>
      </w:r>
    </w:p>
    <w:p w:rsidR="00270B72" w:rsidRPr="00B6105B" w:rsidRDefault="00270B72" w:rsidP="00B6105B">
      <w:pPr>
        <w:pStyle w:val="HTML"/>
        <w:spacing w:line="360" w:lineRule="auto"/>
        <w:ind w:firstLine="709"/>
        <w:jc w:val="both"/>
        <w:rPr>
          <w:rFonts w:ascii="Times New Roman" w:hAnsi="Times New Roman" w:cs="Times New Roman"/>
          <w:color w:val="000000"/>
          <w:sz w:val="28"/>
        </w:rPr>
      </w:pPr>
      <w:r w:rsidRPr="00B6105B">
        <w:rPr>
          <w:rFonts w:ascii="Times New Roman" w:hAnsi="Times New Roman" w:cs="Times New Roman"/>
          <w:color w:val="000000"/>
          <w:sz w:val="28"/>
        </w:rPr>
        <w:t>Максимально</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допустимое</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числовое</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значение</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норматива</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Н4</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устанавливается в размере 120 процентов.</w:t>
      </w:r>
    </w:p>
    <w:p w:rsidR="00270B72" w:rsidRPr="00B6105B" w:rsidRDefault="00270B72" w:rsidP="00B6105B">
      <w:pPr>
        <w:pStyle w:val="HTML"/>
        <w:spacing w:line="360" w:lineRule="auto"/>
        <w:ind w:firstLine="709"/>
        <w:jc w:val="both"/>
        <w:rPr>
          <w:rFonts w:ascii="Times New Roman" w:hAnsi="Times New Roman" w:cs="Times New Roman"/>
          <w:color w:val="000000"/>
          <w:sz w:val="28"/>
        </w:rPr>
      </w:pPr>
      <w:r w:rsidRPr="00B6105B">
        <w:rPr>
          <w:rFonts w:ascii="Times New Roman" w:hAnsi="Times New Roman" w:cs="Times New Roman"/>
          <w:color w:val="000000"/>
          <w:sz w:val="28"/>
        </w:rPr>
        <w:t>Норматив</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общей</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ликвидности</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банка</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(Н5)</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регулирует</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(ограничивает)</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общий</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риск потери банком ликвидности и определяет</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минимальное отношение ликвидных активов к суммарным активам банка.</w:t>
      </w:r>
    </w:p>
    <w:p w:rsidR="00270B72" w:rsidRDefault="00270B72" w:rsidP="00B6105B">
      <w:pPr>
        <w:pStyle w:val="HTML"/>
        <w:spacing w:line="360" w:lineRule="auto"/>
        <w:ind w:firstLine="709"/>
        <w:jc w:val="both"/>
        <w:rPr>
          <w:rFonts w:ascii="Times New Roman" w:hAnsi="Times New Roman" w:cs="Times New Roman"/>
          <w:color w:val="000000"/>
          <w:sz w:val="28"/>
        </w:rPr>
      </w:pPr>
      <w:r w:rsidRPr="00B6105B">
        <w:rPr>
          <w:rFonts w:ascii="Times New Roman" w:hAnsi="Times New Roman" w:cs="Times New Roman"/>
          <w:color w:val="000000"/>
          <w:sz w:val="28"/>
        </w:rPr>
        <w:t>Норматив</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общей ликвидности банка (Н5) рассчитывается по следующей</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формуле:</w:t>
      </w:r>
    </w:p>
    <w:p w:rsidR="00B87BBA" w:rsidRPr="00B6105B" w:rsidRDefault="00B87BBA" w:rsidP="00B6105B">
      <w:pPr>
        <w:pStyle w:val="HTML"/>
        <w:spacing w:line="360" w:lineRule="auto"/>
        <w:ind w:firstLine="709"/>
        <w:jc w:val="both"/>
        <w:rPr>
          <w:rFonts w:ascii="Times New Roman" w:hAnsi="Times New Roman" w:cs="Times New Roman"/>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093"/>
        <w:gridCol w:w="1196"/>
      </w:tblGrid>
      <w:tr w:rsidR="00270B72" w:rsidRPr="00B87BBA">
        <w:trPr>
          <w:cantSplit/>
          <w:jc w:val="center"/>
        </w:trPr>
        <w:tc>
          <w:tcPr>
            <w:tcW w:w="828" w:type="dxa"/>
            <w:vMerge w:val="restart"/>
            <w:tcBorders>
              <w:top w:val="nil"/>
              <w:left w:val="nil"/>
              <w:bottom w:val="nil"/>
              <w:right w:val="nil"/>
            </w:tcBorders>
            <w:vAlign w:val="center"/>
          </w:tcPr>
          <w:p w:rsidR="00270B72" w:rsidRPr="00B87BBA" w:rsidRDefault="00270B72" w:rsidP="00B87BBA">
            <w:pPr>
              <w:pStyle w:val="ae"/>
              <w:ind w:firstLine="0"/>
              <w:rPr>
                <w:sz w:val="20"/>
              </w:rPr>
            </w:pPr>
            <w:r w:rsidRPr="00B87BBA">
              <w:rPr>
                <w:sz w:val="20"/>
              </w:rPr>
              <w:t>Н5 =</w:t>
            </w:r>
          </w:p>
        </w:tc>
        <w:tc>
          <w:tcPr>
            <w:tcW w:w="1093" w:type="dxa"/>
            <w:tcBorders>
              <w:top w:val="nil"/>
              <w:left w:val="nil"/>
              <w:right w:val="nil"/>
            </w:tcBorders>
          </w:tcPr>
          <w:p w:rsidR="00270B72" w:rsidRPr="00B87BBA" w:rsidRDefault="00270B72" w:rsidP="00B87BBA">
            <w:pPr>
              <w:pStyle w:val="ae"/>
              <w:ind w:firstLine="0"/>
              <w:rPr>
                <w:sz w:val="20"/>
              </w:rPr>
            </w:pPr>
            <w:r w:rsidRPr="00B87BBA">
              <w:rPr>
                <w:sz w:val="20"/>
              </w:rPr>
              <w:t>Лат</w:t>
            </w:r>
          </w:p>
        </w:tc>
        <w:tc>
          <w:tcPr>
            <w:tcW w:w="1196" w:type="dxa"/>
            <w:vMerge w:val="restart"/>
            <w:tcBorders>
              <w:top w:val="nil"/>
              <w:left w:val="nil"/>
              <w:bottom w:val="nil"/>
              <w:right w:val="nil"/>
            </w:tcBorders>
            <w:vAlign w:val="center"/>
          </w:tcPr>
          <w:p w:rsidR="00270B72" w:rsidRPr="00B87BBA" w:rsidRDefault="00270B72" w:rsidP="00B87BBA">
            <w:pPr>
              <w:pStyle w:val="ae"/>
              <w:ind w:firstLine="0"/>
              <w:rPr>
                <w:sz w:val="20"/>
              </w:rPr>
            </w:pPr>
            <w:r w:rsidRPr="00B87BBA">
              <w:rPr>
                <w:sz w:val="20"/>
              </w:rPr>
              <w:sym w:font="Symbol" w:char="F0B4"/>
            </w:r>
            <w:r w:rsidRPr="00B87BBA">
              <w:rPr>
                <w:sz w:val="20"/>
              </w:rPr>
              <w:t xml:space="preserve"> 100%</w:t>
            </w:r>
          </w:p>
        </w:tc>
      </w:tr>
      <w:tr w:rsidR="00270B72" w:rsidRPr="00B87BBA">
        <w:trPr>
          <w:cantSplit/>
          <w:jc w:val="center"/>
        </w:trPr>
        <w:tc>
          <w:tcPr>
            <w:tcW w:w="828" w:type="dxa"/>
            <w:vMerge/>
            <w:tcBorders>
              <w:left w:val="nil"/>
              <w:bottom w:val="nil"/>
              <w:right w:val="nil"/>
            </w:tcBorders>
          </w:tcPr>
          <w:p w:rsidR="00270B72" w:rsidRPr="00B87BBA" w:rsidRDefault="00270B72" w:rsidP="00B6105B">
            <w:pPr>
              <w:pStyle w:val="ae"/>
              <w:rPr>
                <w:sz w:val="20"/>
              </w:rPr>
            </w:pPr>
          </w:p>
        </w:tc>
        <w:tc>
          <w:tcPr>
            <w:tcW w:w="1093" w:type="dxa"/>
            <w:tcBorders>
              <w:left w:val="nil"/>
              <w:bottom w:val="nil"/>
              <w:right w:val="nil"/>
            </w:tcBorders>
          </w:tcPr>
          <w:p w:rsidR="00270B72" w:rsidRPr="00B87BBA" w:rsidRDefault="00270B72" w:rsidP="00B87BBA">
            <w:pPr>
              <w:pStyle w:val="ae"/>
              <w:ind w:firstLine="0"/>
              <w:rPr>
                <w:sz w:val="20"/>
              </w:rPr>
            </w:pPr>
            <w:r w:rsidRPr="00B87BBA">
              <w:rPr>
                <w:sz w:val="20"/>
              </w:rPr>
              <w:t>А - Ро</w:t>
            </w:r>
          </w:p>
        </w:tc>
        <w:tc>
          <w:tcPr>
            <w:tcW w:w="1196" w:type="dxa"/>
            <w:vMerge/>
            <w:tcBorders>
              <w:left w:val="nil"/>
              <w:bottom w:val="nil"/>
              <w:right w:val="nil"/>
            </w:tcBorders>
          </w:tcPr>
          <w:p w:rsidR="00270B72" w:rsidRPr="00B87BBA" w:rsidRDefault="00270B72" w:rsidP="00B6105B">
            <w:pPr>
              <w:pStyle w:val="ae"/>
              <w:rPr>
                <w:sz w:val="20"/>
              </w:rPr>
            </w:pPr>
          </w:p>
        </w:tc>
      </w:tr>
    </w:tbl>
    <w:p w:rsidR="00B87BBA" w:rsidRDefault="00B87BBA" w:rsidP="00B6105B">
      <w:pPr>
        <w:pStyle w:val="HTML"/>
        <w:spacing w:line="360" w:lineRule="auto"/>
        <w:ind w:firstLine="709"/>
        <w:jc w:val="both"/>
        <w:rPr>
          <w:rFonts w:ascii="Times New Roman" w:hAnsi="Times New Roman" w:cs="Times New Roman"/>
          <w:color w:val="000000"/>
          <w:sz w:val="28"/>
        </w:rPr>
      </w:pPr>
    </w:p>
    <w:p w:rsidR="00270B72" w:rsidRPr="00B6105B" w:rsidRDefault="00270B72" w:rsidP="00B6105B">
      <w:pPr>
        <w:pStyle w:val="HTML"/>
        <w:spacing w:line="360" w:lineRule="auto"/>
        <w:ind w:firstLine="709"/>
        <w:jc w:val="both"/>
        <w:rPr>
          <w:rFonts w:ascii="Times New Roman" w:hAnsi="Times New Roman" w:cs="Times New Roman"/>
          <w:color w:val="000000"/>
          <w:sz w:val="28"/>
        </w:rPr>
      </w:pPr>
      <w:r w:rsidRPr="00B6105B">
        <w:rPr>
          <w:rFonts w:ascii="Times New Roman" w:hAnsi="Times New Roman" w:cs="Times New Roman"/>
          <w:color w:val="000000"/>
          <w:sz w:val="28"/>
        </w:rPr>
        <w:t>где</w:t>
      </w:r>
    </w:p>
    <w:p w:rsidR="00270B72" w:rsidRPr="00B6105B" w:rsidRDefault="00270B72" w:rsidP="00B6105B">
      <w:pPr>
        <w:pStyle w:val="HTML"/>
        <w:spacing w:line="360" w:lineRule="auto"/>
        <w:ind w:firstLine="709"/>
        <w:jc w:val="both"/>
        <w:rPr>
          <w:rFonts w:ascii="Times New Roman" w:hAnsi="Times New Roman" w:cs="Times New Roman"/>
          <w:color w:val="000000"/>
          <w:sz w:val="28"/>
        </w:rPr>
      </w:pPr>
      <w:r w:rsidRPr="00B6105B">
        <w:rPr>
          <w:rFonts w:ascii="Times New Roman" w:hAnsi="Times New Roman" w:cs="Times New Roman"/>
          <w:color w:val="000000"/>
          <w:sz w:val="28"/>
        </w:rPr>
        <w:t>А</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 общая</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сумма</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всех</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активов по балансу банка;</w:t>
      </w:r>
    </w:p>
    <w:p w:rsidR="00270B72" w:rsidRPr="00B6105B" w:rsidRDefault="00270B72" w:rsidP="00B6105B">
      <w:pPr>
        <w:pStyle w:val="HTML"/>
        <w:spacing w:line="360" w:lineRule="auto"/>
        <w:ind w:firstLine="709"/>
        <w:jc w:val="both"/>
        <w:rPr>
          <w:rFonts w:ascii="Times New Roman" w:hAnsi="Times New Roman" w:cs="Times New Roman"/>
          <w:color w:val="000000"/>
          <w:sz w:val="28"/>
        </w:rPr>
      </w:pPr>
      <w:r w:rsidRPr="00B6105B">
        <w:rPr>
          <w:rFonts w:ascii="Times New Roman" w:hAnsi="Times New Roman" w:cs="Times New Roman"/>
          <w:color w:val="000000"/>
          <w:sz w:val="28"/>
        </w:rPr>
        <w:t>Ро</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 обязательные</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резервы</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банка.</w:t>
      </w:r>
    </w:p>
    <w:p w:rsidR="00270B72" w:rsidRPr="00B6105B" w:rsidRDefault="00270B72" w:rsidP="00B6105B">
      <w:pPr>
        <w:pStyle w:val="HTML"/>
        <w:spacing w:line="360" w:lineRule="auto"/>
        <w:ind w:firstLine="709"/>
        <w:jc w:val="both"/>
        <w:rPr>
          <w:rFonts w:ascii="Times New Roman" w:hAnsi="Times New Roman" w:cs="Times New Roman"/>
          <w:color w:val="000000"/>
          <w:sz w:val="28"/>
        </w:rPr>
      </w:pPr>
      <w:r w:rsidRPr="00B6105B">
        <w:rPr>
          <w:rFonts w:ascii="Times New Roman" w:hAnsi="Times New Roman" w:cs="Times New Roman"/>
          <w:color w:val="000000"/>
          <w:sz w:val="28"/>
        </w:rPr>
        <w:t>Минимально</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допустимое</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числовое</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значение</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норматива</w:t>
      </w:r>
      <w:r w:rsidR="00B6105B" w:rsidRPr="00B6105B">
        <w:rPr>
          <w:rFonts w:ascii="Times New Roman" w:hAnsi="Times New Roman" w:cs="Times New Roman"/>
          <w:color w:val="000000"/>
          <w:sz w:val="28"/>
        </w:rPr>
        <w:t xml:space="preserve"> </w:t>
      </w:r>
      <w:r w:rsidRPr="00B6105B">
        <w:rPr>
          <w:rFonts w:ascii="Times New Roman" w:hAnsi="Times New Roman" w:cs="Times New Roman"/>
          <w:color w:val="000000"/>
          <w:sz w:val="28"/>
        </w:rPr>
        <w:t>Н5 устанавливается в размере 20 процентов.</w:t>
      </w:r>
    </w:p>
    <w:p w:rsidR="00270B72" w:rsidRPr="00B6105B" w:rsidRDefault="00270B72" w:rsidP="00B6105B">
      <w:pPr>
        <w:pStyle w:val="HTML"/>
        <w:spacing w:line="360" w:lineRule="auto"/>
        <w:ind w:firstLine="709"/>
        <w:jc w:val="both"/>
        <w:rPr>
          <w:rFonts w:ascii="Times New Roman" w:hAnsi="Times New Roman" w:cs="Times New Roman"/>
          <w:color w:val="000000"/>
          <w:sz w:val="28"/>
        </w:rPr>
      </w:pPr>
      <w:r w:rsidRPr="00B6105B">
        <w:rPr>
          <w:rFonts w:ascii="Times New Roman" w:hAnsi="Times New Roman" w:cs="Times New Roman"/>
          <w:color w:val="000000"/>
          <w:sz w:val="28"/>
        </w:rPr>
        <w:t>Одним из методов регулирования ликвидности банковской системы является рефинансирование.</w:t>
      </w:r>
    </w:p>
    <w:p w:rsidR="00270B72" w:rsidRPr="00B6105B" w:rsidRDefault="00270B72" w:rsidP="00B6105B">
      <w:pPr>
        <w:pStyle w:val="aa"/>
        <w:spacing w:before="0" w:beforeAutospacing="0" w:after="0" w:afterAutospacing="0" w:line="360" w:lineRule="auto"/>
        <w:ind w:firstLine="709"/>
        <w:rPr>
          <w:rFonts w:ascii="Times New Roman" w:hAnsi="Times New Roman" w:cs="Times New Roman"/>
          <w:sz w:val="28"/>
        </w:rPr>
      </w:pPr>
      <w:r w:rsidRPr="00B6105B">
        <w:rPr>
          <w:rFonts w:ascii="Times New Roman" w:hAnsi="Times New Roman" w:cs="Times New Roman"/>
          <w:sz w:val="28"/>
        </w:rPr>
        <w:t>В современной практике Центральный банк, регулируя уровень ставок рефинансирования, влияет на величину денежной базы. В случае повышенного спроса на кредитные ресурсы и опасности "перегрева" экономики Центральный банк проводит политику "дорогих денег", повышая ставку рефинансирования. Увеличение учетной ставки понижает спрос коммерческих банков на кредитные ресурсы, предоставляемые через "дисконтное окно" и уменьшает сумму на резервных счетах коммерческих банков в Центральном банке (денежную базу). Изменения денежной базы приводят к соответствующим изменениям денежного предложения, усиленным с эффектом денежного мультипликатора. В связи с ростом стоимости кредита сокращается спрос на инвестиции, замедляется рост производства и инфляция, увеличивается безработица.</w:t>
      </w:r>
    </w:p>
    <w:p w:rsidR="00270B72" w:rsidRPr="00B6105B" w:rsidRDefault="00270B72" w:rsidP="00B6105B">
      <w:pPr>
        <w:pStyle w:val="aa"/>
        <w:spacing w:before="0" w:beforeAutospacing="0" w:after="0" w:afterAutospacing="0" w:line="360" w:lineRule="auto"/>
        <w:ind w:firstLine="709"/>
        <w:rPr>
          <w:rFonts w:ascii="Times New Roman" w:hAnsi="Times New Roman" w:cs="Times New Roman"/>
          <w:sz w:val="28"/>
        </w:rPr>
      </w:pPr>
      <w:r w:rsidRPr="00B6105B">
        <w:rPr>
          <w:rFonts w:ascii="Times New Roman" w:hAnsi="Times New Roman" w:cs="Times New Roman"/>
          <w:sz w:val="28"/>
        </w:rPr>
        <w:t>В случае спада экономической активности, стагнации производства Центральный банк, напротив, проводит политику "дешевых денег", понижая ставку рефинансирования, тем самым расширяя объем кредитования, стимулируя инвестиции и рост производства. При этом возрастает опасность роста цен.</w:t>
      </w:r>
    </w:p>
    <w:p w:rsidR="00270B72" w:rsidRPr="00B6105B" w:rsidRDefault="00270B72" w:rsidP="00B6105B">
      <w:pPr>
        <w:pStyle w:val="aa"/>
        <w:spacing w:before="0" w:beforeAutospacing="0" w:after="0" w:afterAutospacing="0" w:line="360" w:lineRule="auto"/>
        <w:ind w:firstLine="709"/>
        <w:rPr>
          <w:rFonts w:ascii="Times New Roman" w:hAnsi="Times New Roman" w:cs="Times New Roman"/>
          <w:sz w:val="28"/>
        </w:rPr>
      </w:pPr>
      <w:r w:rsidRPr="00B6105B">
        <w:rPr>
          <w:rFonts w:ascii="Times New Roman" w:hAnsi="Times New Roman" w:cs="Times New Roman"/>
          <w:sz w:val="28"/>
        </w:rPr>
        <w:t>Поскольку объем кредитов, получаемых через "дисконтное окно" в настоящее время достаточно незначителен, ставка рефинансирования выполняет скорее роль индикатора намерений Центрального банка относительно будущей кредитно-денежной политики, косвенно воздействуя на уровень рыночных процентных ставок ("эффект сигнала").</w:t>
      </w:r>
    </w:p>
    <w:p w:rsidR="00270B72" w:rsidRPr="00B6105B" w:rsidRDefault="00270B72" w:rsidP="00B6105B">
      <w:pPr>
        <w:pStyle w:val="aa"/>
        <w:spacing w:before="0" w:beforeAutospacing="0" w:after="0" w:afterAutospacing="0" w:line="360" w:lineRule="auto"/>
        <w:ind w:firstLine="709"/>
        <w:rPr>
          <w:rFonts w:ascii="Times New Roman" w:hAnsi="Times New Roman" w:cs="Times New Roman"/>
          <w:sz w:val="28"/>
        </w:rPr>
      </w:pPr>
      <w:r w:rsidRPr="00B6105B">
        <w:rPr>
          <w:rFonts w:ascii="Times New Roman" w:hAnsi="Times New Roman" w:cs="Times New Roman"/>
          <w:sz w:val="28"/>
        </w:rPr>
        <w:t>В современных условиях в большинстве развитых стран считается, что изменение ставки рефинансирования - не очень эффективный инструмент кредитно-денежной политики, т.к., во-первых, объемы рефинансирования не полностью контролируются Центральным банком, во-вторых, механизм применения достаточно громоздкий, последствия не всегда предсказуемы и труднообратимы.</w:t>
      </w:r>
    </w:p>
    <w:p w:rsidR="00270B72" w:rsidRPr="00B6105B" w:rsidRDefault="00270B72" w:rsidP="00B6105B">
      <w:pPr>
        <w:pStyle w:val="aa"/>
        <w:spacing w:before="0" w:beforeAutospacing="0" w:after="0" w:afterAutospacing="0" w:line="360" w:lineRule="auto"/>
        <w:ind w:firstLine="709"/>
        <w:rPr>
          <w:rFonts w:ascii="Times New Roman" w:hAnsi="Times New Roman" w:cs="Times New Roman"/>
          <w:sz w:val="28"/>
        </w:rPr>
      </w:pPr>
    </w:p>
    <w:p w:rsidR="00270B72" w:rsidRPr="00B6105B" w:rsidRDefault="00270B72" w:rsidP="00B6105B">
      <w:pPr>
        <w:spacing w:line="360" w:lineRule="auto"/>
        <w:ind w:firstLine="709"/>
        <w:jc w:val="both"/>
        <w:rPr>
          <w:sz w:val="28"/>
        </w:rPr>
      </w:pPr>
      <w:r w:rsidRPr="00B6105B">
        <w:rPr>
          <w:sz w:val="28"/>
        </w:rPr>
        <w:t xml:space="preserve">2. Этапы развития </w:t>
      </w:r>
      <w:r w:rsidR="009508B7">
        <w:rPr>
          <w:sz w:val="28"/>
        </w:rPr>
        <w:t xml:space="preserve">и </w:t>
      </w:r>
      <w:r w:rsidRPr="00B6105B">
        <w:rPr>
          <w:sz w:val="28"/>
        </w:rPr>
        <w:t>методы рефинансирования</w:t>
      </w:r>
    </w:p>
    <w:p w:rsidR="00270B72" w:rsidRPr="00B6105B" w:rsidRDefault="00270B72" w:rsidP="00B6105B">
      <w:pPr>
        <w:spacing w:line="360" w:lineRule="auto"/>
        <w:ind w:firstLine="709"/>
        <w:jc w:val="both"/>
        <w:rPr>
          <w:sz w:val="28"/>
        </w:rPr>
      </w:pPr>
    </w:p>
    <w:p w:rsidR="00270B72" w:rsidRPr="00B6105B" w:rsidRDefault="00270B72" w:rsidP="00B6105B">
      <w:pPr>
        <w:pStyle w:val="aa"/>
        <w:spacing w:before="0" w:beforeAutospacing="0" w:after="0" w:afterAutospacing="0" w:line="360" w:lineRule="auto"/>
        <w:ind w:firstLine="709"/>
        <w:rPr>
          <w:rFonts w:ascii="Times New Roman" w:hAnsi="Times New Roman" w:cs="Times New Roman"/>
          <w:sz w:val="28"/>
        </w:rPr>
      </w:pPr>
      <w:r w:rsidRPr="00B6105B">
        <w:rPr>
          <w:rFonts w:ascii="Times New Roman" w:hAnsi="Times New Roman" w:cs="Times New Roman"/>
          <w:sz w:val="28"/>
        </w:rPr>
        <w:t>В СССР Госбанк фактически не имел возможности проводить самостоятельную политику, находясь в жесткой зависимости от административно-командной системы. Его главной задачей стало льготное кредитование и финансирование государственных предприятий, денежное предложение формировалось исходя из плановых потребностей экономики. В 1988 г. началось восстановление банковской системы, в 1990 г. был принят закон "О Центральном банке РСФСР (Банке России)".</w:t>
      </w:r>
    </w:p>
    <w:p w:rsidR="00270B72" w:rsidRPr="00B6105B" w:rsidRDefault="00270B72" w:rsidP="00B6105B">
      <w:pPr>
        <w:pStyle w:val="aa"/>
        <w:spacing w:before="0" w:beforeAutospacing="0" w:after="0" w:afterAutospacing="0" w:line="360" w:lineRule="auto"/>
        <w:ind w:firstLine="709"/>
        <w:rPr>
          <w:rFonts w:ascii="Times New Roman" w:hAnsi="Times New Roman" w:cs="Times New Roman"/>
          <w:sz w:val="28"/>
        </w:rPr>
      </w:pPr>
      <w:r w:rsidRPr="00B6105B">
        <w:rPr>
          <w:rFonts w:ascii="Times New Roman" w:hAnsi="Times New Roman" w:cs="Times New Roman"/>
          <w:sz w:val="28"/>
        </w:rPr>
        <w:t>Основной формой кредитования коммерческих банков в 90-е гг. являлся ломбардный кредит под залог государственных ценных бумаг, а также стабилизационные кредиты в период банковского кризиса 1998 г. Положение ЦБР № 65-П от 30.12.98г. "О проведении Банком России переучетных операций" устанавливает достаточно жесткие нормы для принятия векселей к переучету. Принятие указанного Положения можно рассматривать как первый реальный шаг Центрального банка к стимулированию кредитования промышленности. Однако предельно жесткие требования к качеству принимаемых к переучету векселей делают процедуру недоступной для массового применения. Кроме того, 1 июля 1999 года Правительством Российской Федерации и Центральным Банком Российской Федерации был принят Меморандум об экономической политике, пункт 31 которого гласит: "В течение 1999 года Банк России не будет переучитывать векселя банков или проводить целевое кредитование конкретных отраслей экономики, в том числе проводить целевое кредитование коммерческих банков". Приостановление данной программы вызвано требованиями, предъявляемыми международными финансовыми организациями к Правительству и Центральному Банку РФ, выполнение которых является условием получения внешних заимствований. Несмотря на то, что в современной международной практике операции переучета векселей Центральными банками почти не используются, на данном этапе применение этого механизма в России могло бы стимулировать расширение кредитования реального сектора, помочь решить проблему недостатка оборотных средств у предприятий, создавая предпосылки для роста промышленного производства.</w:t>
      </w:r>
    </w:p>
    <w:p w:rsidR="00270B72" w:rsidRPr="00B6105B" w:rsidRDefault="00270B72" w:rsidP="00B6105B">
      <w:pPr>
        <w:pStyle w:val="aa"/>
        <w:spacing w:before="0" w:beforeAutospacing="0" w:after="0" w:afterAutospacing="0" w:line="360" w:lineRule="auto"/>
        <w:ind w:firstLine="709"/>
        <w:rPr>
          <w:rFonts w:ascii="Times New Roman" w:hAnsi="Times New Roman" w:cs="Times New Roman"/>
          <w:sz w:val="28"/>
        </w:rPr>
      </w:pPr>
      <w:r w:rsidRPr="00B6105B">
        <w:rPr>
          <w:rFonts w:ascii="Times New Roman" w:hAnsi="Times New Roman" w:cs="Times New Roman"/>
          <w:sz w:val="28"/>
        </w:rPr>
        <w:t xml:space="preserve">На протяжении периода январь 1995 - октябрь 1996 ставка рефинансирования превышала стоимость кредита для реального сектора, в период с ноября 1996 по май 1998 их значения были достаточно близки. Резкое повышение ставки рефинансирования в мае 1998 (до 150% годовых) было вызвано паникой на валютном рынке и стремлением Центрального банка удержать обменный курс в границах валютного коридора. После августа 1998 до марта 2000 г. значения ставки рефинансирования изменялись незначительно и несколько превышали процентные ставки по кредитам предприятиям. На рис. 4 изображена динамика ставки рефинансирования и относительного изменения денежного предложения (М2). </w:t>
      </w:r>
    </w:p>
    <w:p w:rsidR="00270B72" w:rsidRDefault="00270B72" w:rsidP="00B6105B">
      <w:pPr>
        <w:spacing w:line="360" w:lineRule="auto"/>
        <w:ind w:firstLine="709"/>
        <w:jc w:val="both"/>
        <w:rPr>
          <w:sz w:val="28"/>
        </w:rPr>
      </w:pPr>
      <w:r w:rsidRPr="00B6105B">
        <w:rPr>
          <w:sz w:val="28"/>
        </w:rPr>
        <w:t>В табл.1 отображено изменение ставки рефинансирования на протяжении ряда лет.</w:t>
      </w:r>
    </w:p>
    <w:p w:rsidR="009508B7" w:rsidRPr="00B6105B" w:rsidRDefault="009508B7" w:rsidP="00B6105B">
      <w:pPr>
        <w:spacing w:line="360" w:lineRule="auto"/>
        <w:ind w:firstLine="709"/>
        <w:jc w:val="both"/>
        <w:rPr>
          <w:sz w:val="28"/>
        </w:rPr>
      </w:pPr>
    </w:p>
    <w:p w:rsidR="00270B72" w:rsidRPr="00B6105B" w:rsidRDefault="00270B72" w:rsidP="00B6105B">
      <w:pPr>
        <w:pStyle w:val="2"/>
        <w:jc w:val="both"/>
      </w:pPr>
      <w:r w:rsidRPr="00B6105B">
        <w:t>Таблица 1</w:t>
      </w:r>
    </w:p>
    <w:p w:rsidR="00270B72" w:rsidRPr="00B6105B" w:rsidRDefault="00270B72" w:rsidP="00B6105B">
      <w:pPr>
        <w:spacing w:line="360" w:lineRule="auto"/>
        <w:ind w:firstLine="709"/>
        <w:jc w:val="both"/>
        <w:rPr>
          <w:sz w:val="28"/>
        </w:rPr>
      </w:pPr>
      <w:r w:rsidRPr="00B6105B">
        <w:rPr>
          <w:sz w:val="28"/>
        </w:rPr>
        <w:t>Изменение ставки рефинансирования ЦБ РФ с 1992 по 2004 гг.</w:t>
      </w:r>
    </w:p>
    <w:tbl>
      <w:tblPr>
        <w:tblW w:w="2649" w:type="pct"/>
        <w:jc w:val="center"/>
        <w:tblCellSpacing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000" w:firstRow="0" w:lastRow="0" w:firstColumn="0" w:lastColumn="0" w:noHBand="0" w:noVBand="0"/>
      </w:tblPr>
      <w:tblGrid>
        <w:gridCol w:w="4066"/>
        <w:gridCol w:w="938"/>
      </w:tblGrid>
      <w:tr w:rsidR="00270B72" w:rsidRPr="00B6105B">
        <w:trPr>
          <w:tblCellSpacing w:w="6" w:type="dxa"/>
          <w:jc w:val="center"/>
        </w:trPr>
        <w:tc>
          <w:tcPr>
            <w:tcW w:w="0" w:type="auto"/>
            <w:shd w:val="clear" w:color="auto" w:fill="FFFFFF"/>
            <w:vAlign w:val="center"/>
          </w:tcPr>
          <w:p w:rsidR="00270B72" w:rsidRPr="009508B7" w:rsidRDefault="00270B72" w:rsidP="009508B7">
            <w:pPr>
              <w:pStyle w:val="aa"/>
              <w:spacing w:before="0" w:beforeAutospacing="0" w:after="0" w:afterAutospacing="0" w:line="360" w:lineRule="auto"/>
              <w:jc w:val="left"/>
              <w:rPr>
                <w:rFonts w:ascii="Times New Roman" w:hAnsi="Times New Roman" w:cs="Times New Roman"/>
                <w:sz w:val="20"/>
                <w:szCs w:val="20"/>
              </w:rPr>
            </w:pPr>
            <w:r w:rsidRPr="009508B7">
              <w:rPr>
                <w:rFonts w:ascii="Times New Roman" w:hAnsi="Times New Roman" w:cs="Times New Roman"/>
                <w:sz w:val="20"/>
                <w:szCs w:val="20"/>
              </w:rPr>
              <w:t xml:space="preserve">Период действия </w:t>
            </w:r>
          </w:p>
        </w:tc>
        <w:tc>
          <w:tcPr>
            <w:tcW w:w="926" w:type="pct"/>
            <w:shd w:val="clear" w:color="auto" w:fill="FFFFFF"/>
            <w:vAlign w:val="center"/>
          </w:tcPr>
          <w:p w:rsidR="00270B72" w:rsidRPr="009508B7" w:rsidRDefault="00270B72" w:rsidP="009508B7">
            <w:pPr>
              <w:pStyle w:val="aa"/>
              <w:spacing w:before="0" w:beforeAutospacing="0" w:after="0" w:afterAutospacing="0" w:line="360" w:lineRule="auto"/>
              <w:jc w:val="left"/>
              <w:rPr>
                <w:rFonts w:ascii="Times New Roman" w:hAnsi="Times New Roman" w:cs="Times New Roman"/>
                <w:sz w:val="20"/>
                <w:szCs w:val="20"/>
              </w:rPr>
            </w:pPr>
            <w:r w:rsidRPr="009508B7">
              <w:rPr>
                <w:rFonts w:ascii="Times New Roman" w:hAnsi="Times New Roman" w:cs="Times New Roman"/>
                <w:sz w:val="20"/>
                <w:szCs w:val="20"/>
              </w:rPr>
              <w:t>%</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15 июня 2004 г. –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13</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15 января 2004 г. – 14 июня 2004 г.</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14</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21 июня 2003 г. – 14 января 2004 г.</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16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17 февраля 2003 г. – 20 июня 2003 г.</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18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7 августа 2002 г. – 16 февраля 2003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21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9 апреля 2002 г. – 6 августа 2002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23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4 ноября 2000 г. – 8 апреля 2002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25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10 июля 2000 г. – 3 ноября 2000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28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21 марта 2000 г. – 9 июля 2000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33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7 марта 2000 г. – 20 марта 2000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38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24 января 2000 г. – 6 марта 2000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45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10 июня 1999 г. – 23 января 2000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55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24 июля 1998 г. – 9 июня 1999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60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29 июня 1998 г. – 23 июля 1998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80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5 июня 1998 г. – 28 июня 1998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60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27 мая 1998 г. – 4 июня 1998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150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19 мая 1998 г. – 26 мая 1998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50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16 марта 1998 г. – 18 мая 1998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30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 марта 1998 г. – 15 марта 1998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36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17 февраля 1998 г. – 1 марта 1998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39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 февраля 1998 г. – 16 февраля 1998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42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11 ноября 1997 г. – 1 февраля 1998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28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6 октября 1997 г. – 10 ноября 1997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21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16 июня 1997 г. – 5 октября 1997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24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28 апреля 1997 г. – 15 июня 1997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36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10 февраля 1997 г. – 27 апреля 1997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42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 декабря 1996 г. – 9 февраля 1997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48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21 октября 1996 г. – 1 декабря 1996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60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19 августа 1996 г. – 20 октября 1996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80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24 июля 1996 г. – 18 августа 1996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110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10 февраля 1996 г. – 23 июля 1996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120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 декабря 1995 г. – 9 февраля 1996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160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24 октября 1995 г. – 30 ноября 1995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170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19 июня 1995 г. – 23 октября 1995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180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16 мая 1995 г. – 18 июня 1995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195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6 января 1995 г. – 15 мая 1995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200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17 ноября 1994 г. – 5 января 1995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180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12 октября 1994 г. – 16 ноября 1994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170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23 августа 1994 г. – 11 октября 1994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130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 августа 1994 г. – 22 августа 1994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150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30 июня 1994 г. – 31 июля 1994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155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22 июня 1994 г. – 29 июня 1994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170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 июня 1994 г. – 21 июня 1994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185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17 мая 1994 г. – 1 июня 1994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200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29 апреля 1994 г. – 16 мая 1994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205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15 октября 1993 г. – 28 апреля 1994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210 </w:t>
            </w:r>
          </w:p>
        </w:tc>
      </w:tr>
      <w:tr w:rsidR="00270B72" w:rsidRPr="00B6105B">
        <w:trPr>
          <w:trHeight w:val="266"/>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23 сентября 1993 г. – 14 октября 1993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180 </w:t>
            </w:r>
          </w:p>
        </w:tc>
      </w:tr>
      <w:tr w:rsidR="00270B72" w:rsidRPr="00B6105B">
        <w:trPr>
          <w:trHeight w:val="263"/>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15 июля 1993 г. – 22 сентября 1993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170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29 июня 1993 г. – 14 июля 1993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140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22 июня 1993 г. – 28 июня 1993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120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 июня 1993 г. – 21 июня 1993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110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30 марта 1993 г. – 1 июня 1993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100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23 мая 1992 г. – 29 марта 1993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80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10 апреля 1992 г. – 22 мая 1992 г. </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50 </w:t>
            </w:r>
          </w:p>
        </w:tc>
      </w:tr>
      <w:tr w:rsidR="00270B72" w:rsidRPr="00B6105B">
        <w:trPr>
          <w:tblCellSpacing w:w="6" w:type="dxa"/>
          <w:jc w:val="center"/>
        </w:trPr>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1 января 1992 г.</w:t>
            </w:r>
            <w:r w:rsidR="00B6105B" w:rsidRPr="009508B7">
              <w:rPr>
                <w:sz w:val="20"/>
                <w:szCs w:val="20"/>
              </w:rPr>
              <w:t xml:space="preserve"> </w:t>
            </w:r>
            <w:r w:rsidRPr="009508B7">
              <w:rPr>
                <w:sz w:val="20"/>
                <w:szCs w:val="20"/>
              </w:rPr>
              <w:t>– 9 апреля 1992 г.</w:t>
            </w:r>
          </w:p>
        </w:tc>
        <w:tc>
          <w:tcPr>
            <w:tcW w:w="0" w:type="auto"/>
            <w:shd w:val="clear" w:color="auto" w:fill="FFFFFF"/>
            <w:vAlign w:val="center"/>
          </w:tcPr>
          <w:p w:rsidR="00270B72" w:rsidRPr="009508B7" w:rsidRDefault="00270B72" w:rsidP="009508B7">
            <w:pPr>
              <w:spacing w:line="360" w:lineRule="auto"/>
              <w:rPr>
                <w:sz w:val="20"/>
                <w:szCs w:val="20"/>
              </w:rPr>
            </w:pPr>
            <w:r w:rsidRPr="009508B7">
              <w:rPr>
                <w:sz w:val="20"/>
                <w:szCs w:val="20"/>
              </w:rPr>
              <w:t xml:space="preserve">20 </w:t>
            </w:r>
          </w:p>
        </w:tc>
      </w:tr>
    </w:tbl>
    <w:p w:rsidR="00270B72" w:rsidRPr="00B6105B" w:rsidRDefault="00270B72" w:rsidP="00B6105B">
      <w:pPr>
        <w:spacing w:line="360" w:lineRule="auto"/>
        <w:ind w:firstLine="709"/>
        <w:jc w:val="both"/>
        <w:rPr>
          <w:sz w:val="28"/>
        </w:rPr>
      </w:pPr>
    </w:p>
    <w:p w:rsidR="00270B72" w:rsidRPr="00B6105B" w:rsidRDefault="00270B72" w:rsidP="00B6105B">
      <w:pPr>
        <w:spacing w:line="360" w:lineRule="auto"/>
        <w:ind w:firstLine="709"/>
        <w:jc w:val="both"/>
        <w:rPr>
          <w:sz w:val="28"/>
        </w:rPr>
      </w:pPr>
      <w:r w:rsidRPr="00B6105B">
        <w:rPr>
          <w:sz w:val="28"/>
        </w:rPr>
        <w:t>3. Формы, порядок и условия рефинансирования</w:t>
      </w:r>
    </w:p>
    <w:p w:rsidR="00270B72" w:rsidRPr="00B6105B" w:rsidRDefault="00270B72" w:rsidP="00B6105B">
      <w:pPr>
        <w:spacing w:line="360" w:lineRule="auto"/>
        <w:ind w:firstLine="709"/>
        <w:jc w:val="both"/>
        <w:rPr>
          <w:sz w:val="28"/>
        </w:rPr>
      </w:pPr>
    </w:p>
    <w:p w:rsidR="00270B72" w:rsidRPr="00B6105B" w:rsidRDefault="00270B72" w:rsidP="00B6105B">
      <w:pPr>
        <w:pStyle w:val="ae"/>
      </w:pPr>
      <w:r w:rsidRPr="00B6105B">
        <w:t>Рефинансирование банков осуществляется Банком России посредством предоставления внутридневных кредитов, кредитов "овернайт" и ломбардных кредитов, в том числе путем расширения перечня территориальных учреждений Банка России, предоставляющих такие виды кредитов. Кроме того, существует практика предоставления ломбардных кредитов по фиксированной процентной ставке.</w:t>
      </w:r>
    </w:p>
    <w:p w:rsidR="00270B72" w:rsidRPr="00B6105B" w:rsidRDefault="00270B72" w:rsidP="00B6105B">
      <w:pPr>
        <w:pStyle w:val="main"/>
        <w:spacing w:line="360" w:lineRule="auto"/>
        <w:ind w:left="0" w:right="0" w:firstLine="709"/>
        <w:jc w:val="both"/>
        <w:rPr>
          <w:rFonts w:ascii="Times New Roman" w:hAnsi="Times New Roman" w:cs="Times New Roman"/>
          <w:sz w:val="28"/>
        </w:rPr>
      </w:pPr>
      <w:r w:rsidRPr="00B6105B">
        <w:rPr>
          <w:rStyle w:val="a8"/>
          <w:rFonts w:ascii="Times New Roman" w:hAnsi="Times New Roman"/>
          <w:b w:val="0"/>
          <w:bCs w:val="0"/>
          <w:sz w:val="28"/>
        </w:rPr>
        <w:t>Внутридневные кредиты</w:t>
      </w:r>
      <w:r w:rsidRPr="00B6105B">
        <w:rPr>
          <w:rFonts w:ascii="Times New Roman" w:hAnsi="Times New Roman" w:cs="Times New Roman"/>
          <w:sz w:val="28"/>
        </w:rPr>
        <w:t xml:space="preserve">. Механизм их предоставления очень прост: в течение дня работы платежной системы Банка России при отсутствии (недостаточности) денежных средств на корреспондентском счете/субсчете кредитной организации в Банке России (далее счет, счет кредитной организации) допускается оплата расчетных документов, предъявленных к счету кредитной организации, в пределах установленного по счету лимита внутридневного кредита и кредита овернайт, тем самым кредитной организации предоставляется внутридневной кредит. Лимит внутридневного кредита и кредита овернайт рассчитывается и оперативно корректируется в течение дня в зависимости от имеющегося у кредитной организации обеспечения — ценных бумаг, учитываемых на отдельном разделе счета депо кредитной организации в Депозитарии. Кредитная организация может изменять размер лимита, установленного по счету, производя в любой момент времени действия с обеспечением, например, дать поручение депо Депозитарию и добавить или дать заявление Банку России и уменьшить количество ценных бумаг, учитываемых на отдельном разделе своего счета депо. О том, какие активы могут выступать обеспечением кредитов Банка России, речь пойдет позже. В течение дня работы платежной системы Банка России внутридневной кредит погашается за счет текущих поступлений на счет кредитной организации. </w:t>
      </w:r>
    </w:p>
    <w:p w:rsidR="00270B72" w:rsidRPr="00B6105B" w:rsidRDefault="00270B72" w:rsidP="00B6105B">
      <w:pPr>
        <w:pStyle w:val="main"/>
        <w:spacing w:line="360" w:lineRule="auto"/>
        <w:ind w:left="0" w:right="0" w:firstLine="709"/>
        <w:jc w:val="both"/>
        <w:rPr>
          <w:rFonts w:ascii="Times New Roman" w:hAnsi="Times New Roman" w:cs="Times New Roman"/>
          <w:sz w:val="28"/>
        </w:rPr>
      </w:pPr>
      <w:r w:rsidRPr="00B6105B">
        <w:rPr>
          <w:rFonts w:ascii="Times New Roman" w:hAnsi="Times New Roman" w:cs="Times New Roman"/>
          <w:sz w:val="28"/>
        </w:rPr>
        <w:t xml:space="preserve">Внутридневные кредиты Банка России для кредитной организации абсолютно бесплатны, поскольку плата за право пользования внутридневными кредитами Банка России установлена в размере — ноль. </w:t>
      </w:r>
    </w:p>
    <w:p w:rsidR="00270B72" w:rsidRPr="00B6105B" w:rsidRDefault="00270B72" w:rsidP="00B6105B">
      <w:pPr>
        <w:pStyle w:val="main"/>
        <w:spacing w:line="360" w:lineRule="auto"/>
        <w:ind w:left="0" w:right="0" w:firstLine="709"/>
        <w:jc w:val="both"/>
        <w:rPr>
          <w:rFonts w:ascii="Times New Roman" w:hAnsi="Times New Roman" w:cs="Times New Roman"/>
          <w:sz w:val="28"/>
        </w:rPr>
      </w:pPr>
      <w:r w:rsidRPr="00B6105B">
        <w:rPr>
          <w:rFonts w:ascii="Times New Roman" w:hAnsi="Times New Roman" w:cs="Times New Roman"/>
          <w:sz w:val="28"/>
        </w:rPr>
        <w:t>В случае если к концу дня работы платежной системы Банка России (в московском регионе это около 21 часа) внутридневной кредит кредитной организацией не погашен, Банк России автоматически (в рамках полномочий, которые заранее получил от кредитной организации) предоставляет кредитной организации кредит овернайт на сумму непогашенного на конец дня внутридневного кредита.</w:t>
      </w:r>
      <w:r w:rsidRPr="00B6105B">
        <w:rPr>
          <w:rStyle w:val="a8"/>
          <w:rFonts w:ascii="Times New Roman" w:hAnsi="Times New Roman"/>
          <w:b w:val="0"/>
          <w:bCs w:val="0"/>
          <w:sz w:val="28"/>
        </w:rPr>
        <w:t xml:space="preserve"> Кредит овернайт</w:t>
      </w:r>
      <w:r w:rsidRPr="00B6105B">
        <w:rPr>
          <w:rFonts w:ascii="Times New Roman" w:hAnsi="Times New Roman" w:cs="Times New Roman"/>
          <w:sz w:val="28"/>
        </w:rPr>
        <w:t xml:space="preserve"> предоставляется в момент, когда уже ни один финансовый рынок не работает и на межбанковском рынке кредит получить уже нельзя. Срок кредита овернайт составляет один рабочий день. </w:t>
      </w:r>
    </w:p>
    <w:p w:rsidR="00270B72" w:rsidRPr="00B6105B" w:rsidRDefault="00270B72" w:rsidP="00B6105B">
      <w:pPr>
        <w:pStyle w:val="main"/>
        <w:spacing w:line="360" w:lineRule="auto"/>
        <w:ind w:left="0" w:right="0" w:firstLine="709"/>
        <w:jc w:val="both"/>
        <w:rPr>
          <w:rFonts w:ascii="Times New Roman" w:hAnsi="Times New Roman" w:cs="Times New Roman"/>
          <w:sz w:val="28"/>
        </w:rPr>
      </w:pPr>
      <w:r w:rsidRPr="00B6105B">
        <w:rPr>
          <w:rFonts w:ascii="Times New Roman" w:hAnsi="Times New Roman" w:cs="Times New Roman"/>
          <w:sz w:val="28"/>
        </w:rPr>
        <w:t xml:space="preserve">Альтернативы кредитам овернайт Банка России на рынке нет, поэтому ставка по ним достаточно высока и в настоящее время приравнивается к ставке рефинансирования, которая сегодня составляет 16% годовых. Но, как показывает статистика, за последние пять лет кредитные организации в основном предпочитают получать внутридневные кредиты: в начале дня, начиная расчеты, допускают исполнение собственных расчетных документов либо документов своих клиентов, предъявленных к счету кредитной организации, за счет внутридневного кредита, ожидая в течение дня поступлений на счет. Кредит овернайт используется как страховка — если запланированные поступления на счет не приходят. </w:t>
      </w:r>
    </w:p>
    <w:p w:rsidR="00270B72" w:rsidRPr="00B6105B" w:rsidRDefault="00270B72" w:rsidP="00B6105B">
      <w:pPr>
        <w:pStyle w:val="main"/>
        <w:spacing w:line="360" w:lineRule="auto"/>
        <w:ind w:left="0" w:right="0" w:firstLine="709"/>
        <w:jc w:val="both"/>
        <w:rPr>
          <w:rFonts w:ascii="Times New Roman" w:hAnsi="Times New Roman" w:cs="Times New Roman"/>
          <w:sz w:val="28"/>
        </w:rPr>
      </w:pPr>
      <w:r w:rsidRPr="00B6105B">
        <w:rPr>
          <w:rFonts w:ascii="Times New Roman" w:hAnsi="Times New Roman" w:cs="Times New Roman"/>
          <w:sz w:val="28"/>
        </w:rPr>
        <w:t xml:space="preserve">Для использования механизмов получения внутридневных кредитов и кредитов овернайт Банка России кредитной организации необходимо заключить с Банком России бессрочный генеральный кредитный договор по типовой форме, в соответствии с которым Банк России берет на себе обязанность ежедневно в режиме on—line отслеживать потребность кредитной организации во внутридневных кредитах и кредитах овернайт, наличие у кредитной организации достаточного обеспечения по кредитам и при необходимости оперативно предоставлять их. Таким образом, кредитная организация в любое время может воспользоваться помощью Банка России: оперативно перевести на отдельный раздел своего счета депо ценные бумаги и оперативно получить внутридневной кредит или кредит овернайт. Статистика свидетельствует, что некоторые кредитные организации, заключив с Банком России генеральный кредитный договор еще в 1998 году, всего несколько раз обращались за кредитами рефинансирования. Однако у такой кредитной организации всегда есть страховка — в случае необходимости она может в течение часа заблокировать бумаги и получить по своему счету в Банке России любой из предложенных им кредитов. </w:t>
      </w:r>
    </w:p>
    <w:p w:rsidR="00270B72" w:rsidRPr="00B6105B" w:rsidRDefault="00270B72" w:rsidP="00B6105B">
      <w:pPr>
        <w:pStyle w:val="main"/>
        <w:spacing w:line="360" w:lineRule="auto"/>
        <w:ind w:left="0" w:right="0" w:firstLine="709"/>
        <w:jc w:val="both"/>
        <w:rPr>
          <w:rFonts w:ascii="Times New Roman" w:hAnsi="Times New Roman" w:cs="Times New Roman"/>
          <w:sz w:val="28"/>
        </w:rPr>
      </w:pPr>
      <w:r w:rsidRPr="00B6105B">
        <w:rPr>
          <w:rFonts w:ascii="Times New Roman" w:hAnsi="Times New Roman" w:cs="Times New Roman"/>
          <w:sz w:val="28"/>
        </w:rPr>
        <w:t xml:space="preserve">Сегодня у Банка России во всех регионах страны установлена оперативная связь, во-первых, с платежной системой Банка России, в которой проводятся платежи кредитной организации, и, во-вторых, с всероссийской депозитарной системой — НП «Национальный депозитарный центр». Это позволяет Банку России в режиме on—line получать и оперативно использовать для целей рефинансирования кредитных организаций информацию Национального депозитарного центра о том, какое количество ценных бумаг на отдельном разделе своего счета депо в Депозитарии кредитная организация заблокировала. </w:t>
      </w:r>
    </w:p>
    <w:p w:rsidR="00270B72" w:rsidRPr="00B6105B" w:rsidRDefault="00270B72" w:rsidP="00B6105B">
      <w:pPr>
        <w:pStyle w:val="main"/>
        <w:spacing w:line="360" w:lineRule="auto"/>
        <w:ind w:left="0" w:right="0" w:firstLine="709"/>
        <w:jc w:val="both"/>
        <w:rPr>
          <w:rFonts w:ascii="Times New Roman" w:hAnsi="Times New Roman" w:cs="Times New Roman"/>
          <w:sz w:val="28"/>
        </w:rPr>
      </w:pPr>
      <w:r w:rsidRPr="00B6105B">
        <w:rPr>
          <w:rFonts w:ascii="Times New Roman" w:hAnsi="Times New Roman" w:cs="Times New Roman"/>
          <w:sz w:val="28"/>
        </w:rPr>
        <w:t xml:space="preserve">У кредитных организаций есть возможность получать внутридневные кредиты и кредиты овернайт на открытый в Банке России счет в любом регионе России: счет головного офиса кредитной организации — корреспондентский счет кредитной организации, а также любой субсчет кредитной организации. </w:t>
      </w:r>
    </w:p>
    <w:p w:rsidR="00270B72" w:rsidRPr="00B6105B" w:rsidRDefault="00270B72" w:rsidP="00B6105B">
      <w:pPr>
        <w:pStyle w:val="main"/>
        <w:spacing w:line="360" w:lineRule="auto"/>
        <w:ind w:left="0" w:right="0" w:firstLine="709"/>
        <w:jc w:val="both"/>
        <w:rPr>
          <w:rFonts w:ascii="Times New Roman" w:hAnsi="Times New Roman" w:cs="Times New Roman"/>
          <w:sz w:val="28"/>
        </w:rPr>
      </w:pPr>
      <w:r w:rsidRPr="00B6105B">
        <w:rPr>
          <w:rFonts w:ascii="Times New Roman" w:hAnsi="Times New Roman" w:cs="Times New Roman"/>
          <w:sz w:val="28"/>
        </w:rPr>
        <w:t xml:space="preserve">Третий вид кредита, который сегодня кредитные организации могут получить в Банке России, — </w:t>
      </w:r>
      <w:r w:rsidRPr="00B6105B">
        <w:rPr>
          <w:rStyle w:val="a8"/>
          <w:rFonts w:ascii="Times New Roman" w:hAnsi="Times New Roman"/>
          <w:b w:val="0"/>
          <w:bCs w:val="0"/>
          <w:sz w:val="28"/>
        </w:rPr>
        <w:t>ломбардный кредит.</w:t>
      </w:r>
      <w:r w:rsidRPr="00B6105B">
        <w:rPr>
          <w:rFonts w:ascii="Times New Roman" w:hAnsi="Times New Roman" w:cs="Times New Roman"/>
          <w:sz w:val="28"/>
        </w:rPr>
        <w:t xml:space="preserve"> Такие кредиты кредитные организации получают на ломбардных кредитных аукционах, которые проводятся еженедельно, по вторникам. До 14.00 местного времени кредитная организация направляет в Банк России заявку на участие в аукционе, после 17.00 московского времени Банк России объявляет итоги аукциона — и те кредитные организации, которые выиграли, на следующий день утром получают денежные средства по итогам аукциона на свой счет. </w:t>
      </w:r>
    </w:p>
    <w:p w:rsidR="00270B72" w:rsidRPr="00B6105B" w:rsidRDefault="00270B72" w:rsidP="00B6105B">
      <w:pPr>
        <w:pStyle w:val="main"/>
        <w:spacing w:line="360" w:lineRule="auto"/>
        <w:ind w:left="0" w:right="0" w:firstLine="709"/>
        <w:jc w:val="both"/>
        <w:rPr>
          <w:rFonts w:ascii="Times New Roman" w:hAnsi="Times New Roman" w:cs="Times New Roman"/>
          <w:sz w:val="28"/>
        </w:rPr>
      </w:pPr>
      <w:r w:rsidRPr="00B6105B">
        <w:rPr>
          <w:rFonts w:ascii="Times New Roman" w:hAnsi="Times New Roman" w:cs="Times New Roman"/>
          <w:sz w:val="28"/>
        </w:rPr>
        <w:t xml:space="preserve">Совет директоров Банка России установил, что по ломбардным кредитам, предоставляющимся на срок две недели, ставка не должна составлять менее 7% годовых. Средневзвешенная ставка по итогам каждого из последних ломбардных кредитных аукционов составляла примерно 7,5 —8% годовых. Возможно, в дальнейшем (Банк России предусматривает это в «Основных направлениях денежно—кредитной политики на 2004 год») в рамках расширения механизмов рефинансирования срок ломбардных кредитов будет увеличен. </w:t>
      </w:r>
    </w:p>
    <w:p w:rsidR="00270B72" w:rsidRPr="00B6105B" w:rsidRDefault="00270B72" w:rsidP="00B6105B">
      <w:pPr>
        <w:pStyle w:val="main"/>
        <w:spacing w:line="360" w:lineRule="auto"/>
        <w:ind w:left="0" w:right="0" w:firstLine="709"/>
        <w:jc w:val="both"/>
        <w:rPr>
          <w:rFonts w:ascii="Times New Roman" w:hAnsi="Times New Roman" w:cs="Times New Roman"/>
          <w:sz w:val="28"/>
        </w:rPr>
      </w:pPr>
      <w:r w:rsidRPr="00B6105B">
        <w:rPr>
          <w:rFonts w:ascii="Times New Roman" w:hAnsi="Times New Roman" w:cs="Times New Roman"/>
          <w:sz w:val="28"/>
        </w:rPr>
        <w:t xml:space="preserve">Кредитные организации могут участвовать в ломбардных кредитных аукционах и получать ломбардные кредиты по их итогам также как и внутридневные кредиты и кредиты овернайт в рамках генерального кредитного договора, о котором речь шла выше. </w:t>
      </w:r>
    </w:p>
    <w:p w:rsidR="00270B72" w:rsidRPr="00B6105B" w:rsidRDefault="00270B72" w:rsidP="00B6105B">
      <w:pPr>
        <w:pStyle w:val="main"/>
        <w:spacing w:line="360" w:lineRule="auto"/>
        <w:ind w:left="0" w:right="0" w:firstLine="709"/>
        <w:jc w:val="both"/>
        <w:rPr>
          <w:rFonts w:ascii="Times New Roman" w:hAnsi="Times New Roman" w:cs="Times New Roman"/>
          <w:sz w:val="28"/>
        </w:rPr>
      </w:pPr>
      <w:r w:rsidRPr="00B6105B">
        <w:rPr>
          <w:rStyle w:val="subheader1"/>
          <w:rFonts w:ascii="Times New Roman" w:hAnsi="Times New Roman"/>
          <w:b w:val="0"/>
          <w:bCs w:val="0"/>
          <w:sz w:val="28"/>
        </w:rPr>
        <w:t>Об обеспечении кредитов Банка России.</w:t>
      </w:r>
      <w:r w:rsidRPr="00B6105B">
        <w:rPr>
          <w:rFonts w:ascii="Times New Roman" w:hAnsi="Times New Roman" w:cs="Times New Roman"/>
          <w:sz w:val="28"/>
        </w:rPr>
        <w:t xml:space="preserve"> В соответствии с федеральным законом «О Центральном банке Российской Федерации (Банке России)» Банк России может предоставлять кредитным организациям только обеспеченные кредиты. Обеспечением внутридневных кредитов, кредитов овернайт и ломбардных кредитов выступают ценные бумаги, включенные в ломбардный список Банка России. На сегодняшний день в ломбардный список входят федеральные государственные ценные бумаги. Если Банк России начнет выпускать собственные облигации, они также будут приниматься в обеспечение кредитов Банка России. Надеемся, что в ближайшее время Совет директоров Банка России рассмотрит вопрос о включении в ломбардный список еврооблигаций РФ. В принципе нормативные документы предусматривают возможность принимать в обеспечение кредита Банка России любые ценные бумаги. Возможно, в дальнейшем Банк России рассмотрит вопрос о включении в ломбардный список Банка России наиболее ликвидных ценных бумаг некоторых субъектов РФ. Но это вопрос будущего. </w:t>
      </w:r>
    </w:p>
    <w:p w:rsidR="00270B72" w:rsidRPr="00B6105B" w:rsidRDefault="00270B72" w:rsidP="00B6105B">
      <w:pPr>
        <w:pStyle w:val="main"/>
        <w:spacing w:line="360" w:lineRule="auto"/>
        <w:ind w:left="0" w:right="0" w:firstLine="709"/>
        <w:jc w:val="both"/>
        <w:rPr>
          <w:rFonts w:ascii="Times New Roman" w:hAnsi="Times New Roman" w:cs="Times New Roman"/>
          <w:sz w:val="28"/>
        </w:rPr>
      </w:pPr>
      <w:r w:rsidRPr="00B6105B">
        <w:rPr>
          <w:rFonts w:ascii="Times New Roman" w:hAnsi="Times New Roman" w:cs="Times New Roman"/>
          <w:sz w:val="28"/>
        </w:rPr>
        <w:t xml:space="preserve">Рыночная стоимость ценных бумаг, принимаемых в обеспечение кредитов Банка России, рассчитывается исходя из их средневзвешенных цен, устанавливаемых Биржей (для федеральных государственных ценных бумаг это ММВБ). К этой рыночной стоимости применяются поправочные коэффициенты, величина которых сегодня варьируется от 0,9 до 0,98. Кстати, нынешние коэффициенты максимальны за последние пять лет — даже до кризиса 1998 года они были чуть меньше. </w:t>
      </w:r>
    </w:p>
    <w:p w:rsidR="00270B72" w:rsidRDefault="00270B72" w:rsidP="00B6105B">
      <w:pPr>
        <w:pStyle w:val="main"/>
        <w:spacing w:line="360" w:lineRule="auto"/>
        <w:ind w:left="0" w:right="0" w:firstLine="709"/>
        <w:jc w:val="both"/>
        <w:rPr>
          <w:rFonts w:ascii="Times New Roman" w:hAnsi="Times New Roman" w:cs="Times New Roman"/>
          <w:sz w:val="28"/>
        </w:rPr>
      </w:pPr>
      <w:r w:rsidRPr="00B6105B">
        <w:rPr>
          <w:rStyle w:val="subheader1"/>
          <w:rFonts w:ascii="Times New Roman" w:hAnsi="Times New Roman"/>
          <w:b w:val="0"/>
          <w:bCs w:val="0"/>
          <w:sz w:val="28"/>
        </w:rPr>
        <w:t xml:space="preserve">О процедуре погашения кредитов Банка России. </w:t>
      </w:r>
      <w:r w:rsidRPr="00B6105B">
        <w:rPr>
          <w:rFonts w:ascii="Times New Roman" w:hAnsi="Times New Roman" w:cs="Times New Roman"/>
          <w:sz w:val="28"/>
        </w:rPr>
        <w:t xml:space="preserve">Банк России (в рамках полномочий, предоставленных кредитной организацией) в день погашения кредита списывает с ее счета сумму обязательств кредитной организации по кредиту Банка России, включая проценты по нему. Таким образом, погашаются и кредиты овернайт, и ломбардные кредиты. </w:t>
      </w:r>
    </w:p>
    <w:p w:rsidR="009508B7" w:rsidRPr="00B6105B" w:rsidRDefault="009508B7" w:rsidP="00B6105B">
      <w:pPr>
        <w:pStyle w:val="main"/>
        <w:spacing w:line="360" w:lineRule="auto"/>
        <w:ind w:left="0" w:right="0" w:firstLine="709"/>
        <w:jc w:val="both"/>
        <w:rPr>
          <w:rFonts w:ascii="Times New Roman" w:hAnsi="Times New Roman" w:cs="Times New Roman"/>
          <w:sz w:val="28"/>
        </w:rPr>
      </w:pPr>
    </w:p>
    <w:p w:rsidR="00270B72" w:rsidRPr="00B6105B" w:rsidRDefault="00270B72" w:rsidP="00B6105B">
      <w:pPr>
        <w:pStyle w:val="1"/>
        <w:ind w:firstLine="709"/>
        <w:jc w:val="both"/>
      </w:pPr>
      <w:r w:rsidRPr="00B6105B">
        <w:br w:type="page"/>
        <w:t>ЗАКЛЮЧЕНИЕ</w:t>
      </w:r>
    </w:p>
    <w:p w:rsidR="00270B72" w:rsidRPr="00B6105B" w:rsidRDefault="00270B72" w:rsidP="00B6105B">
      <w:pPr>
        <w:spacing w:line="360" w:lineRule="auto"/>
        <w:ind w:firstLine="709"/>
        <w:jc w:val="both"/>
        <w:rPr>
          <w:sz w:val="28"/>
        </w:rPr>
      </w:pPr>
    </w:p>
    <w:p w:rsidR="00270B72" w:rsidRPr="00B6105B" w:rsidRDefault="00270B72" w:rsidP="00B6105B">
      <w:pPr>
        <w:pStyle w:val="ae"/>
      </w:pPr>
      <w:r w:rsidRPr="00B6105B">
        <w:t xml:space="preserve">Прямые количественные ограничения относятся к числу инструментов, посредством применения которых реализуются административные методы денежно-кредитной политики. </w:t>
      </w:r>
    </w:p>
    <w:p w:rsidR="00270B72" w:rsidRPr="00B6105B" w:rsidRDefault="00270B72" w:rsidP="00B6105B">
      <w:pPr>
        <w:spacing w:line="360" w:lineRule="auto"/>
        <w:ind w:firstLine="709"/>
        <w:jc w:val="both"/>
        <w:rPr>
          <w:sz w:val="28"/>
          <w:szCs w:val="20"/>
        </w:rPr>
      </w:pPr>
      <w:r w:rsidRPr="00B6105B">
        <w:rPr>
          <w:sz w:val="28"/>
          <w:szCs w:val="20"/>
        </w:rPr>
        <w:t xml:space="preserve">Применение Банком России прямых количественных ограничений предполагает установление им лимитов на рефинансирование кредитных организаций, а также лимитов на проведение кредитными организациями отдельных банковских операций. </w:t>
      </w:r>
    </w:p>
    <w:p w:rsidR="00270B72" w:rsidRPr="00B6105B" w:rsidRDefault="00270B72" w:rsidP="00B6105B">
      <w:pPr>
        <w:spacing w:line="360" w:lineRule="auto"/>
        <w:ind w:firstLine="709"/>
        <w:jc w:val="both"/>
        <w:rPr>
          <w:rFonts w:cs="Arial"/>
          <w:sz w:val="28"/>
          <w:szCs w:val="20"/>
        </w:rPr>
      </w:pPr>
      <w:r w:rsidRPr="00B6105B">
        <w:rPr>
          <w:sz w:val="28"/>
          <w:szCs w:val="20"/>
        </w:rPr>
        <w:t>Установленные Банком России лимиты на рефинансирование, а также на проведение отдельных банковских операций должны в равной степени касаться всех без исключения кредитных организаций. Это означает невозможность для Банка России установления соответствующих лимитов для отдельных кредитных организаций либо отдельных типов кредитных организаций.</w:t>
      </w:r>
      <w:r w:rsidRPr="00B6105B">
        <w:rPr>
          <w:rFonts w:cs="Arial"/>
          <w:sz w:val="28"/>
          <w:szCs w:val="20"/>
        </w:rPr>
        <w:t xml:space="preserve"> </w:t>
      </w:r>
    </w:p>
    <w:p w:rsidR="00270B72" w:rsidRPr="00B6105B" w:rsidRDefault="00270B72" w:rsidP="00B6105B">
      <w:pPr>
        <w:pStyle w:val="ae"/>
      </w:pPr>
      <w:r w:rsidRPr="00B6105B">
        <w:t>Рефинансирование банков осуществляется Банком России посредством предоставления внутридневных кредитов, кредитов "овернайт" и ломбардных кредитов, в том числе путем расширения перечня территориальных учреждений Банка России, предоставляющих такие виды кредитов. Кроме того, существует практика предоставления ломбардных кредитов по фиксированной процентной ставке.</w:t>
      </w:r>
    </w:p>
    <w:p w:rsidR="00A22B2F" w:rsidRDefault="00A22B2F" w:rsidP="00B6105B">
      <w:pPr>
        <w:spacing w:line="360" w:lineRule="auto"/>
        <w:ind w:firstLine="709"/>
        <w:jc w:val="both"/>
        <w:rPr>
          <w:sz w:val="28"/>
        </w:rPr>
      </w:pPr>
    </w:p>
    <w:p w:rsidR="00270B72" w:rsidRPr="00B6105B" w:rsidRDefault="00A22B2F" w:rsidP="00B6105B">
      <w:pPr>
        <w:spacing w:line="360" w:lineRule="auto"/>
        <w:ind w:firstLine="709"/>
        <w:jc w:val="both"/>
        <w:rPr>
          <w:sz w:val="28"/>
        </w:rPr>
      </w:pPr>
      <w:r>
        <w:rPr>
          <w:sz w:val="28"/>
        </w:rPr>
        <w:br w:type="page"/>
      </w:r>
      <w:r w:rsidR="00270B72" w:rsidRPr="00B6105B">
        <w:rPr>
          <w:sz w:val="28"/>
        </w:rPr>
        <w:t>ПРАКТИЧЕСКАЯ ЧАСТЬ</w:t>
      </w:r>
    </w:p>
    <w:p w:rsidR="00270B72" w:rsidRPr="00B6105B" w:rsidRDefault="00270B72" w:rsidP="00B6105B">
      <w:pPr>
        <w:spacing w:line="360" w:lineRule="auto"/>
        <w:ind w:firstLine="709"/>
        <w:jc w:val="both"/>
        <w:rPr>
          <w:sz w:val="28"/>
        </w:rPr>
      </w:pPr>
    </w:p>
    <w:p w:rsidR="00270B72" w:rsidRPr="00B6105B" w:rsidRDefault="00270B72" w:rsidP="00B6105B">
      <w:pPr>
        <w:pStyle w:val="ac"/>
        <w:ind w:firstLine="709"/>
        <w:jc w:val="both"/>
      </w:pPr>
      <w:r w:rsidRPr="00B6105B">
        <w:t>Сравнительная таблица, характеризующая способы ценообразования на централизованные ресурсы</w:t>
      </w:r>
    </w:p>
    <w:p w:rsidR="00270B72" w:rsidRPr="00B6105B" w:rsidRDefault="00270B72" w:rsidP="00B6105B">
      <w:pPr>
        <w:pStyle w:val="ac"/>
        <w:ind w:firstLine="709"/>
        <w:jc w:val="both"/>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2268"/>
        <w:gridCol w:w="2266"/>
        <w:gridCol w:w="2271"/>
      </w:tblGrid>
      <w:tr w:rsidR="00270B72" w:rsidRPr="00A22B2F" w:rsidTr="00A22B2F">
        <w:trPr>
          <w:jc w:val="center"/>
        </w:trPr>
        <w:tc>
          <w:tcPr>
            <w:tcW w:w="2392" w:type="dxa"/>
          </w:tcPr>
          <w:p w:rsidR="00270B72" w:rsidRPr="00A22B2F" w:rsidRDefault="00270B72" w:rsidP="00A22B2F">
            <w:pPr>
              <w:pStyle w:val="ac"/>
              <w:jc w:val="left"/>
              <w:rPr>
                <w:sz w:val="20"/>
                <w:szCs w:val="20"/>
              </w:rPr>
            </w:pPr>
          </w:p>
        </w:tc>
        <w:tc>
          <w:tcPr>
            <w:tcW w:w="2393" w:type="dxa"/>
          </w:tcPr>
          <w:p w:rsidR="00270B72" w:rsidRPr="00A22B2F" w:rsidRDefault="00270B72" w:rsidP="00A22B2F">
            <w:pPr>
              <w:pStyle w:val="ac"/>
              <w:jc w:val="left"/>
              <w:rPr>
                <w:sz w:val="20"/>
                <w:szCs w:val="20"/>
              </w:rPr>
            </w:pPr>
            <w:r w:rsidRPr="00A22B2F">
              <w:rPr>
                <w:sz w:val="20"/>
                <w:szCs w:val="20"/>
              </w:rPr>
              <w:t>Ломбардный кредит</w:t>
            </w:r>
          </w:p>
        </w:tc>
        <w:tc>
          <w:tcPr>
            <w:tcW w:w="2393" w:type="dxa"/>
          </w:tcPr>
          <w:p w:rsidR="00270B72" w:rsidRPr="00A22B2F" w:rsidRDefault="00270B72" w:rsidP="00A22B2F">
            <w:pPr>
              <w:pStyle w:val="ac"/>
              <w:jc w:val="left"/>
              <w:rPr>
                <w:sz w:val="20"/>
                <w:szCs w:val="20"/>
              </w:rPr>
            </w:pPr>
            <w:r w:rsidRPr="00A22B2F">
              <w:rPr>
                <w:sz w:val="20"/>
                <w:szCs w:val="20"/>
              </w:rPr>
              <w:t>Кредит «Овернайт»</w:t>
            </w:r>
          </w:p>
        </w:tc>
        <w:tc>
          <w:tcPr>
            <w:tcW w:w="2393" w:type="dxa"/>
          </w:tcPr>
          <w:p w:rsidR="00270B72" w:rsidRPr="00A22B2F" w:rsidRDefault="00270B72" w:rsidP="00A22B2F">
            <w:pPr>
              <w:pStyle w:val="ac"/>
              <w:jc w:val="left"/>
              <w:rPr>
                <w:sz w:val="20"/>
                <w:szCs w:val="20"/>
              </w:rPr>
            </w:pPr>
            <w:r w:rsidRPr="00A22B2F">
              <w:rPr>
                <w:sz w:val="20"/>
                <w:szCs w:val="20"/>
              </w:rPr>
              <w:t>Внутридневный кредит</w:t>
            </w:r>
          </w:p>
        </w:tc>
      </w:tr>
      <w:tr w:rsidR="00270B72" w:rsidRPr="00A22B2F" w:rsidTr="00A22B2F">
        <w:trPr>
          <w:jc w:val="center"/>
        </w:trPr>
        <w:tc>
          <w:tcPr>
            <w:tcW w:w="2392" w:type="dxa"/>
          </w:tcPr>
          <w:p w:rsidR="00270B72" w:rsidRPr="00A22B2F" w:rsidRDefault="00270B72" w:rsidP="00A22B2F">
            <w:pPr>
              <w:pStyle w:val="ac"/>
              <w:jc w:val="left"/>
              <w:rPr>
                <w:sz w:val="20"/>
                <w:szCs w:val="20"/>
              </w:rPr>
            </w:pPr>
            <w:r w:rsidRPr="00A22B2F">
              <w:rPr>
                <w:sz w:val="20"/>
                <w:szCs w:val="20"/>
              </w:rPr>
              <w:t>Форма обеспечения</w:t>
            </w:r>
          </w:p>
        </w:tc>
        <w:tc>
          <w:tcPr>
            <w:tcW w:w="2393" w:type="dxa"/>
          </w:tcPr>
          <w:p w:rsidR="00270B72" w:rsidRPr="00A22B2F" w:rsidRDefault="00270B72" w:rsidP="00A22B2F">
            <w:pPr>
              <w:pStyle w:val="ac"/>
              <w:jc w:val="left"/>
              <w:rPr>
                <w:sz w:val="20"/>
                <w:szCs w:val="20"/>
              </w:rPr>
            </w:pPr>
            <w:r w:rsidRPr="00A22B2F">
              <w:rPr>
                <w:sz w:val="20"/>
                <w:szCs w:val="20"/>
              </w:rPr>
              <w:t xml:space="preserve">Ломбардная </w:t>
            </w:r>
          </w:p>
        </w:tc>
        <w:tc>
          <w:tcPr>
            <w:tcW w:w="2393" w:type="dxa"/>
          </w:tcPr>
          <w:p w:rsidR="00270B72" w:rsidRPr="00A22B2F" w:rsidRDefault="00270B72" w:rsidP="00A22B2F">
            <w:pPr>
              <w:pStyle w:val="ac"/>
              <w:jc w:val="left"/>
              <w:rPr>
                <w:sz w:val="20"/>
                <w:szCs w:val="20"/>
              </w:rPr>
            </w:pPr>
            <w:r w:rsidRPr="00A22B2F">
              <w:rPr>
                <w:sz w:val="20"/>
                <w:szCs w:val="20"/>
              </w:rPr>
              <w:t xml:space="preserve">Учетная </w:t>
            </w:r>
          </w:p>
        </w:tc>
        <w:tc>
          <w:tcPr>
            <w:tcW w:w="2393" w:type="dxa"/>
          </w:tcPr>
          <w:p w:rsidR="00270B72" w:rsidRPr="00A22B2F" w:rsidRDefault="00270B72" w:rsidP="00A22B2F">
            <w:pPr>
              <w:pStyle w:val="ac"/>
              <w:jc w:val="left"/>
              <w:rPr>
                <w:sz w:val="20"/>
                <w:szCs w:val="20"/>
              </w:rPr>
            </w:pPr>
            <w:r w:rsidRPr="00A22B2F">
              <w:rPr>
                <w:sz w:val="20"/>
                <w:szCs w:val="20"/>
              </w:rPr>
              <w:t xml:space="preserve">Учетная </w:t>
            </w:r>
          </w:p>
        </w:tc>
      </w:tr>
      <w:tr w:rsidR="00270B72" w:rsidRPr="00A22B2F" w:rsidTr="00A22B2F">
        <w:trPr>
          <w:jc w:val="center"/>
        </w:trPr>
        <w:tc>
          <w:tcPr>
            <w:tcW w:w="2392" w:type="dxa"/>
          </w:tcPr>
          <w:p w:rsidR="00270B72" w:rsidRPr="00A22B2F" w:rsidRDefault="00270B72" w:rsidP="00A22B2F">
            <w:pPr>
              <w:pStyle w:val="ac"/>
              <w:jc w:val="left"/>
              <w:rPr>
                <w:sz w:val="20"/>
                <w:szCs w:val="20"/>
              </w:rPr>
            </w:pPr>
            <w:r w:rsidRPr="00A22B2F">
              <w:rPr>
                <w:sz w:val="20"/>
                <w:szCs w:val="20"/>
              </w:rPr>
              <w:t>Метод предоставления</w:t>
            </w:r>
          </w:p>
        </w:tc>
        <w:tc>
          <w:tcPr>
            <w:tcW w:w="2393" w:type="dxa"/>
          </w:tcPr>
          <w:p w:rsidR="00270B72" w:rsidRPr="00A22B2F" w:rsidRDefault="00270B72" w:rsidP="00A22B2F">
            <w:pPr>
              <w:pStyle w:val="ac"/>
              <w:jc w:val="left"/>
              <w:rPr>
                <w:sz w:val="20"/>
                <w:szCs w:val="20"/>
              </w:rPr>
            </w:pPr>
            <w:r w:rsidRPr="00A22B2F">
              <w:rPr>
                <w:sz w:val="20"/>
                <w:szCs w:val="20"/>
              </w:rPr>
              <w:t xml:space="preserve">На основе аукционов </w:t>
            </w:r>
          </w:p>
        </w:tc>
        <w:tc>
          <w:tcPr>
            <w:tcW w:w="2393" w:type="dxa"/>
          </w:tcPr>
          <w:p w:rsidR="00270B72" w:rsidRPr="00A22B2F" w:rsidRDefault="00270B72" w:rsidP="00A22B2F">
            <w:pPr>
              <w:pStyle w:val="ac"/>
              <w:jc w:val="left"/>
              <w:rPr>
                <w:sz w:val="20"/>
                <w:szCs w:val="20"/>
              </w:rPr>
            </w:pPr>
            <w:r w:rsidRPr="00A22B2F">
              <w:rPr>
                <w:sz w:val="20"/>
                <w:szCs w:val="20"/>
              </w:rPr>
              <w:t xml:space="preserve">Прямой </w:t>
            </w:r>
          </w:p>
        </w:tc>
        <w:tc>
          <w:tcPr>
            <w:tcW w:w="2393" w:type="dxa"/>
          </w:tcPr>
          <w:p w:rsidR="00270B72" w:rsidRPr="00A22B2F" w:rsidRDefault="00270B72" w:rsidP="00A22B2F">
            <w:pPr>
              <w:pStyle w:val="ac"/>
              <w:jc w:val="left"/>
              <w:rPr>
                <w:sz w:val="20"/>
                <w:szCs w:val="20"/>
              </w:rPr>
            </w:pPr>
            <w:r w:rsidRPr="00A22B2F">
              <w:rPr>
                <w:sz w:val="20"/>
                <w:szCs w:val="20"/>
              </w:rPr>
              <w:t>Прямой</w:t>
            </w:r>
          </w:p>
        </w:tc>
      </w:tr>
      <w:tr w:rsidR="00270B72" w:rsidRPr="00A22B2F" w:rsidTr="00A22B2F">
        <w:trPr>
          <w:jc w:val="center"/>
        </w:trPr>
        <w:tc>
          <w:tcPr>
            <w:tcW w:w="2392" w:type="dxa"/>
          </w:tcPr>
          <w:p w:rsidR="00270B72" w:rsidRPr="00A22B2F" w:rsidRDefault="00270B72" w:rsidP="00A22B2F">
            <w:pPr>
              <w:pStyle w:val="ac"/>
              <w:jc w:val="left"/>
              <w:rPr>
                <w:sz w:val="20"/>
                <w:szCs w:val="20"/>
              </w:rPr>
            </w:pPr>
            <w:r w:rsidRPr="00A22B2F">
              <w:rPr>
                <w:sz w:val="20"/>
                <w:szCs w:val="20"/>
              </w:rPr>
              <w:t>Срок предоставления</w:t>
            </w:r>
          </w:p>
        </w:tc>
        <w:tc>
          <w:tcPr>
            <w:tcW w:w="2393" w:type="dxa"/>
          </w:tcPr>
          <w:p w:rsidR="00270B72" w:rsidRPr="00A22B2F" w:rsidRDefault="00270B72" w:rsidP="00A22B2F">
            <w:pPr>
              <w:pStyle w:val="ac"/>
              <w:jc w:val="left"/>
              <w:rPr>
                <w:sz w:val="20"/>
                <w:szCs w:val="20"/>
              </w:rPr>
            </w:pPr>
            <w:r w:rsidRPr="00A22B2F">
              <w:rPr>
                <w:sz w:val="20"/>
                <w:szCs w:val="20"/>
              </w:rPr>
              <w:t>Среднесрочный (от 3 дней до 1 мес.)</w:t>
            </w:r>
          </w:p>
        </w:tc>
        <w:tc>
          <w:tcPr>
            <w:tcW w:w="2393" w:type="dxa"/>
          </w:tcPr>
          <w:p w:rsidR="00270B72" w:rsidRPr="00A22B2F" w:rsidRDefault="00270B72" w:rsidP="00A22B2F">
            <w:pPr>
              <w:pStyle w:val="ac"/>
              <w:jc w:val="left"/>
              <w:rPr>
                <w:sz w:val="20"/>
                <w:szCs w:val="20"/>
              </w:rPr>
            </w:pPr>
            <w:r w:rsidRPr="00A22B2F">
              <w:rPr>
                <w:sz w:val="20"/>
                <w:szCs w:val="20"/>
              </w:rPr>
              <w:t xml:space="preserve">Краткосрочный </w:t>
            </w:r>
          </w:p>
        </w:tc>
        <w:tc>
          <w:tcPr>
            <w:tcW w:w="2393" w:type="dxa"/>
          </w:tcPr>
          <w:p w:rsidR="00270B72" w:rsidRPr="00A22B2F" w:rsidRDefault="00270B72" w:rsidP="00A22B2F">
            <w:pPr>
              <w:pStyle w:val="ac"/>
              <w:jc w:val="left"/>
              <w:rPr>
                <w:sz w:val="20"/>
                <w:szCs w:val="20"/>
              </w:rPr>
            </w:pPr>
            <w:r w:rsidRPr="00A22B2F">
              <w:rPr>
                <w:sz w:val="20"/>
                <w:szCs w:val="20"/>
              </w:rPr>
              <w:t>Краткосрочны</w:t>
            </w:r>
            <w:r w:rsidR="00A22B2F">
              <w:rPr>
                <w:sz w:val="20"/>
                <w:szCs w:val="20"/>
              </w:rPr>
              <w:t>й</w:t>
            </w:r>
          </w:p>
        </w:tc>
      </w:tr>
    </w:tbl>
    <w:p w:rsidR="00270B72" w:rsidRPr="00B6105B" w:rsidRDefault="00270B72" w:rsidP="00B6105B">
      <w:pPr>
        <w:pStyle w:val="ac"/>
        <w:ind w:firstLine="709"/>
        <w:jc w:val="both"/>
      </w:pPr>
    </w:p>
    <w:p w:rsidR="00270B72" w:rsidRPr="00B6105B" w:rsidRDefault="00270B72" w:rsidP="00B6105B">
      <w:pPr>
        <w:pStyle w:val="1"/>
        <w:ind w:firstLine="709"/>
        <w:jc w:val="both"/>
      </w:pPr>
      <w:r w:rsidRPr="00B6105B">
        <w:br w:type="page"/>
        <w:t>СПИСОК ИСПОЛЬЗОВАННОЙ ЛИТЕРАТУРЫ</w:t>
      </w:r>
    </w:p>
    <w:p w:rsidR="00270B72" w:rsidRPr="00B6105B" w:rsidRDefault="00270B72" w:rsidP="00A22B2F">
      <w:pPr>
        <w:spacing w:line="360" w:lineRule="auto"/>
        <w:jc w:val="both"/>
        <w:rPr>
          <w:sz w:val="28"/>
        </w:rPr>
      </w:pPr>
    </w:p>
    <w:p w:rsidR="00270B72" w:rsidRPr="00B6105B" w:rsidRDefault="00270B72" w:rsidP="00A22B2F">
      <w:pPr>
        <w:pStyle w:val="21"/>
        <w:numPr>
          <w:ilvl w:val="0"/>
          <w:numId w:val="2"/>
        </w:numPr>
        <w:tabs>
          <w:tab w:val="clear" w:pos="720"/>
          <w:tab w:val="num" w:pos="0"/>
        </w:tabs>
        <w:ind w:left="0" w:firstLine="0"/>
      </w:pPr>
      <w:r w:rsidRPr="00B6105B">
        <w:t>Положением Банка России от 06.03.98 N 19-П "О порядке предоставления Банком России кредитов банкам, обеспеченных залогом государственных ценных бумаг".</w:t>
      </w:r>
    </w:p>
    <w:p w:rsidR="00270B72" w:rsidRPr="00B6105B" w:rsidRDefault="00270B72" w:rsidP="00A22B2F">
      <w:pPr>
        <w:pStyle w:val="21"/>
        <w:numPr>
          <w:ilvl w:val="0"/>
          <w:numId w:val="2"/>
        </w:numPr>
        <w:tabs>
          <w:tab w:val="clear" w:pos="720"/>
          <w:tab w:val="num" w:pos="0"/>
        </w:tabs>
        <w:ind w:left="0" w:firstLine="0"/>
      </w:pPr>
      <w:r w:rsidRPr="00B6105B">
        <w:t>Положением Банка России от 03.10.00 N 122-П "О порядке предоставления Банком России кредитов банкам, обеспеченных залогом и поручительствами"</w:t>
      </w:r>
    </w:p>
    <w:p w:rsidR="00270B72" w:rsidRPr="00B6105B" w:rsidRDefault="00270B72" w:rsidP="00A22B2F">
      <w:pPr>
        <w:pStyle w:val="21"/>
        <w:numPr>
          <w:ilvl w:val="0"/>
          <w:numId w:val="2"/>
        </w:numPr>
        <w:tabs>
          <w:tab w:val="clear" w:pos="720"/>
          <w:tab w:val="num" w:pos="0"/>
        </w:tabs>
        <w:ind w:left="0" w:firstLine="0"/>
      </w:pPr>
      <w:r w:rsidRPr="00B6105B">
        <w:t>ФЗ РФ «О Центральном банке Российской Федерации (Банке России) от 02.12.90 №394-1 (в ред. Федеральных законов от 26.04.95 №65-ФЗ, от 27.12.95 №210-ФЗ, от 27.12.95 №214-ФЗ, от 20.06.96 №80-ФЗ, от 27.02.97 №45-ФЗ).</w:t>
      </w:r>
    </w:p>
    <w:p w:rsidR="00270B72" w:rsidRPr="00B6105B" w:rsidRDefault="00270B72" w:rsidP="00A22B2F">
      <w:pPr>
        <w:pStyle w:val="21"/>
        <w:numPr>
          <w:ilvl w:val="0"/>
          <w:numId w:val="2"/>
        </w:numPr>
        <w:tabs>
          <w:tab w:val="clear" w:pos="720"/>
          <w:tab w:val="num" w:pos="0"/>
        </w:tabs>
        <w:ind w:left="0" w:firstLine="0"/>
      </w:pPr>
      <w:r w:rsidRPr="00B6105B">
        <w:t>Деньги, кредит, банки / Под ред. Г. Н. Белоглазовой. – М.: Юрайт-Издат, 2004. – 620 с.</w:t>
      </w:r>
    </w:p>
    <w:p w:rsidR="00270B72" w:rsidRPr="00B6105B" w:rsidRDefault="00270B72" w:rsidP="00A22B2F">
      <w:pPr>
        <w:pStyle w:val="21"/>
        <w:numPr>
          <w:ilvl w:val="0"/>
          <w:numId w:val="2"/>
        </w:numPr>
        <w:tabs>
          <w:tab w:val="clear" w:pos="720"/>
          <w:tab w:val="num" w:pos="0"/>
        </w:tabs>
        <w:ind w:left="0" w:firstLine="0"/>
      </w:pPr>
      <w:r w:rsidRPr="00B6105B">
        <w:t>Деньги, кредит, банки / Под ред. О.И. Лаврушина. - - М.: Финансы и статистика, 2002.- 464 с.</w:t>
      </w:r>
    </w:p>
    <w:p w:rsidR="00270B72" w:rsidRDefault="00270B72" w:rsidP="00A22B2F">
      <w:pPr>
        <w:pStyle w:val="21"/>
        <w:numPr>
          <w:ilvl w:val="0"/>
          <w:numId w:val="2"/>
        </w:numPr>
        <w:tabs>
          <w:tab w:val="clear" w:pos="720"/>
          <w:tab w:val="num" w:pos="0"/>
        </w:tabs>
        <w:ind w:left="0" w:firstLine="0"/>
      </w:pPr>
      <w:r w:rsidRPr="00B6105B">
        <w:t>Постатейный комментарий к Федеральному закону от 10.07.2002 №86-ФЗ "О Центральном банке Российской Федерации (Банке России)" - М.: Издательство "Дело", 2003.</w:t>
      </w:r>
    </w:p>
    <w:p w:rsidR="00A22B2F" w:rsidRPr="00B6105B" w:rsidRDefault="00A22B2F" w:rsidP="00A22B2F">
      <w:pPr>
        <w:pStyle w:val="21"/>
        <w:numPr>
          <w:ilvl w:val="0"/>
          <w:numId w:val="2"/>
        </w:numPr>
        <w:tabs>
          <w:tab w:val="clear" w:pos="720"/>
          <w:tab w:val="num" w:pos="0"/>
        </w:tabs>
        <w:ind w:left="0" w:firstLine="0"/>
      </w:pPr>
    </w:p>
    <w:p w:rsidR="00270B72" w:rsidRPr="00B6105B" w:rsidRDefault="00270B72" w:rsidP="00B6105B">
      <w:pPr>
        <w:pStyle w:val="a6"/>
        <w:ind w:firstLine="709"/>
        <w:jc w:val="both"/>
      </w:pPr>
      <w:r w:rsidRPr="00B6105B">
        <w:br w:type="page"/>
        <w:t>ДОРАБОТКА</w:t>
      </w:r>
    </w:p>
    <w:p w:rsidR="00270B72" w:rsidRPr="00B6105B" w:rsidRDefault="00270B72" w:rsidP="00B6105B">
      <w:pPr>
        <w:pStyle w:val="a6"/>
        <w:ind w:firstLine="709"/>
        <w:jc w:val="both"/>
      </w:pPr>
    </w:p>
    <w:p w:rsidR="00270B72" w:rsidRPr="00B6105B" w:rsidRDefault="00270B72" w:rsidP="00B6105B">
      <w:pPr>
        <w:pStyle w:val="aa"/>
        <w:spacing w:before="0" w:beforeAutospacing="0" w:after="0" w:afterAutospacing="0" w:line="360" w:lineRule="auto"/>
        <w:ind w:firstLine="709"/>
        <w:rPr>
          <w:rFonts w:ascii="Times New Roman" w:hAnsi="Times New Roman" w:cs="Times New Roman"/>
          <w:sz w:val="28"/>
        </w:rPr>
      </w:pPr>
      <w:r w:rsidRPr="00B6105B">
        <w:rPr>
          <w:rFonts w:ascii="Times New Roman" w:hAnsi="Times New Roman" w:cs="Times New Roman"/>
          <w:sz w:val="28"/>
        </w:rPr>
        <w:t>1.</w:t>
      </w:r>
      <w:r w:rsidRPr="00B6105B">
        <w:rPr>
          <w:rFonts w:ascii="Times New Roman" w:hAnsi="Times New Roman"/>
          <w:sz w:val="28"/>
        </w:rPr>
        <w:t xml:space="preserve"> </w:t>
      </w:r>
      <w:r w:rsidRPr="00B6105B">
        <w:rPr>
          <w:rFonts w:ascii="Times New Roman" w:hAnsi="Times New Roman" w:cs="Times New Roman"/>
          <w:sz w:val="28"/>
        </w:rPr>
        <w:t>В целях сглаживания конъюнктурных колебаний уровня ликвидности Банк России намерен активно развивать различные виды операций рефинансирования.</w:t>
      </w:r>
    </w:p>
    <w:p w:rsidR="00270B72" w:rsidRPr="00B6105B" w:rsidRDefault="00270B72" w:rsidP="00B6105B">
      <w:pPr>
        <w:pStyle w:val="a6"/>
        <w:ind w:firstLine="709"/>
        <w:jc w:val="both"/>
      </w:pPr>
      <w:r w:rsidRPr="00B6105B">
        <w:t>В частности, в следующем году планируется продолжить практику предоставления денежных средств кредитным организациям путем проведения аукционов прямого РЕПО. При этом срок, на который будут проводиться указанные операции, при необходимости может составлять от 1 до 7 дней. В случае существенных колебаний уровня ликвидности Банк России может также использовать операции РЕПО, проводимые в ходе вторичных торгов по гособлигациям. Кроме того, Банк России намерен продолжить предоставление банкам расчетных кредитов «овернайт» и внутридневных кредитов, обеспеченных государственными ценными бумагами и облигациями Банка России (ОБР). Также будут сохранены возможности пополнения ликвидности кредитных организаций на основе заключения с Банком России сделок «валютный своп».</w:t>
      </w:r>
    </w:p>
    <w:p w:rsidR="00270B72" w:rsidRPr="00B6105B" w:rsidRDefault="00270B72" w:rsidP="00B6105B">
      <w:pPr>
        <w:pStyle w:val="MainText"/>
        <w:spacing w:line="360" w:lineRule="auto"/>
        <w:ind w:firstLine="709"/>
        <w:rPr>
          <w:rFonts w:ascii="Times New Roman" w:hAnsi="Times New Roman"/>
          <w:color w:val="auto"/>
          <w:sz w:val="28"/>
          <w:lang w:val="ru-RU"/>
        </w:rPr>
      </w:pPr>
      <w:r w:rsidRPr="00B6105B">
        <w:rPr>
          <w:rFonts w:ascii="Times New Roman" w:hAnsi="Times New Roman"/>
          <w:sz w:val="28"/>
          <w:lang w:val="ru-RU"/>
        </w:rPr>
        <w:t xml:space="preserve">2. </w:t>
      </w:r>
      <w:r w:rsidRPr="00B6105B">
        <w:rPr>
          <w:rFonts w:ascii="Times New Roman" w:hAnsi="Times New Roman"/>
          <w:color w:val="auto"/>
          <w:sz w:val="28"/>
          <w:lang w:val="ru-RU"/>
        </w:rPr>
        <w:t>В целях контроля за состоянием ликвидности банка, то есть его способности обеспечить своевременное и полное выполнение своих денежных и иных обязательств, вытекающих из сделок с использованием финансовых инструментов, устанавливаются нормативы мгновенной, текущей, долгосрочной и общей ликвидности, которые регулируют (ограничивают) риски потери банком ликвидности и определяются как отношение между активами и пассивами с учетом сроков, сумм и типов активов и пассивов, других факторов, а также отношение его ликвидных активов (наличных денежных средств, требований до востребования, краткосрочных ценных бумаг, других легкореализуемых активов) и суммарных активов.</w:t>
      </w:r>
    </w:p>
    <w:p w:rsidR="00270B72" w:rsidRPr="00B6105B" w:rsidRDefault="00270B72" w:rsidP="00B6105B">
      <w:pPr>
        <w:pStyle w:val="MainTextBezOtstupa"/>
        <w:spacing w:line="360" w:lineRule="auto"/>
        <w:ind w:firstLine="709"/>
        <w:rPr>
          <w:rFonts w:ascii="Times New Roman" w:hAnsi="Times New Roman"/>
          <w:sz w:val="28"/>
          <w:lang w:val="ru-RU"/>
        </w:rPr>
      </w:pPr>
      <w:r w:rsidRPr="00B6105B">
        <w:rPr>
          <w:rFonts w:ascii="Times New Roman" w:hAnsi="Times New Roman"/>
          <w:color w:val="auto"/>
          <w:sz w:val="28"/>
          <w:lang w:val="ru-RU"/>
        </w:rPr>
        <w:t>Норматив мгновенной ликвидности банка (Н2) регулирует (ограничивает) риск потери банком ликвидности в течение одного операционного дня и определяет минимальное отношение суммы высоколиквидных активов банка к сумме пассивов банка по счетам до востребования.</w:t>
      </w:r>
      <w:r w:rsidR="00B6105B" w:rsidRPr="00B6105B">
        <w:rPr>
          <w:rFonts w:ascii="Times New Roman" w:hAnsi="Times New Roman"/>
          <w:color w:val="auto"/>
          <w:sz w:val="28"/>
          <w:lang w:val="ru-RU"/>
        </w:rPr>
        <w:t xml:space="preserve"> </w:t>
      </w:r>
    </w:p>
    <w:p w:rsidR="00270B72" w:rsidRPr="00B6105B" w:rsidRDefault="00270B72" w:rsidP="00B6105B">
      <w:pPr>
        <w:pStyle w:val="a6"/>
        <w:ind w:firstLine="709"/>
        <w:jc w:val="both"/>
      </w:pPr>
      <w:r w:rsidRPr="00B6105B">
        <w:t>Минимально допустимое числовое значение норматива Н2 устанавливается в размере 15</w:t>
      </w:r>
      <w:r w:rsidR="00B6105B" w:rsidRPr="00B6105B">
        <w:t xml:space="preserve"> </w:t>
      </w:r>
      <w:r w:rsidRPr="00B6105B">
        <w:t>процентов.</w:t>
      </w:r>
    </w:p>
    <w:p w:rsidR="00270B72" w:rsidRPr="00B6105B" w:rsidRDefault="00270B72" w:rsidP="00B6105B">
      <w:pPr>
        <w:pStyle w:val="MainText"/>
        <w:spacing w:line="360" w:lineRule="auto"/>
        <w:ind w:firstLine="709"/>
        <w:rPr>
          <w:rFonts w:ascii="Times New Roman" w:hAnsi="Times New Roman"/>
          <w:color w:val="auto"/>
          <w:sz w:val="28"/>
          <w:lang w:val="ru-RU"/>
        </w:rPr>
      </w:pPr>
      <w:r w:rsidRPr="00B6105B">
        <w:rPr>
          <w:rFonts w:ascii="Times New Roman" w:hAnsi="Times New Roman"/>
          <w:color w:val="auto"/>
          <w:sz w:val="28"/>
          <w:lang w:val="ru-RU"/>
        </w:rPr>
        <w:t>Минимально допустимое числовое значение норматива Н3 устанавливается в размере 50</w:t>
      </w:r>
      <w:r w:rsidR="00B6105B" w:rsidRPr="00B6105B">
        <w:rPr>
          <w:rFonts w:ascii="Times New Roman" w:hAnsi="Times New Roman"/>
          <w:color w:val="auto"/>
          <w:sz w:val="28"/>
          <w:lang w:val="ru-RU"/>
        </w:rPr>
        <w:t xml:space="preserve"> </w:t>
      </w:r>
      <w:r w:rsidRPr="00B6105B">
        <w:rPr>
          <w:rFonts w:ascii="Times New Roman" w:hAnsi="Times New Roman"/>
          <w:color w:val="auto"/>
          <w:sz w:val="28"/>
          <w:lang w:val="ru-RU"/>
        </w:rPr>
        <w:t>процентов.</w:t>
      </w:r>
    </w:p>
    <w:p w:rsidR="00270B72" w:rsidRPr="00B6105B" w:rsidRDefault="00270B72" w:rsidP="00B6105B">
      <w:pPr>
        <w:pStyle w:val="MainText"/>
        <w:spacing w:line="360" w:lineRule="auto"/>
        <w:ind w:firstLine="709"/>
        <w:rPr>
          <w:rFonts w:ascii="Times New Roman" w:hAnsi="Times New Roman"/>
          <w:color w:val="auto"/>
          <w:sz w:val="28"/>
          <w:lang w:val="ru-RU"/>
        </w:rPr>
      </w:pPr>
      <w:r w:rsidRPr="00B6105B">
        <w:rPr>
          <w:rFonts w:ascii="Times New Roman" w:hAnsi="Times New Roman"/>
          <w:color w:val="auto"/>
          <w:sz w:val="28"/>
          <w:lang w:val="ru-RU"/>
        </w:rPr>
        <w:t>Максимально допустимое числовое значение норматива Н4 устанавливается в размере 120</w:t>
      </w:r>
      <w:r w:rsidR="00B6105B" w:rsidRPr="00B6105B">
        <w:rPr>
          <w:rFonts w:ascii="Times New Roman" w:hAnsi="Times New Roman"/>
          <w:color w:val="auto"/>
          <w:sz w:val="28"/>
          <w:lang w:val="ru-RU"/>
        </w:rPr>
        <w:t xml:space="preserve"> </w:t>
      </w:r>
      <w:r w:rsidRPr="00B6105B">
        <w:rPr>
          <w:rFonts w:ascii="Times New Roman" w:hAnsi="Times New Roman"/>
          <w:color w:val="auto"/>
          <w:sz w:val="28"/>
          <w:lang w:val="ru-RU"/>
        </w:rPr>
        <w:t>процентов.</w:t>
      </w:r>
    </w:p>
    <w:p w:rsidR="00270B72" w:rsidRPr="00B6105B" w:rsidRDefault="00270B72" w:rsidP="00B6105B">
      <w:pPr>
        <w:pStyle w:val="a6"/>
        <w:ind w:firstLine="709"/>
        <w:jc w:val="both"/>
      </w:pPr>
      <w:r w:rsidRPr="00B6105B">
        <w:t>Минимально допустимое числовое значение норматива Н5 устанавливается в размере 20</w:t>
      </w:r>
      <w:r w:rsidR="00B6105B" w:rsidRPr="00B6105B">
        <w:t xml:space="preserve"> </w:t>
      </w:r>
      <w:r w:rsidRPr="00B6105B">
        <w:t>процентов.</w:t>
      </w:r>
    </w:p>
    <w:p w:rsidR="00270B72" w:rsidRPr="00B6105B" w:rsidRDefault="00270B72" w:rsidP="00A22B2F">
      <w:pPr>
        <w:pStyle w:val="a6"/>
        <w:ind w:firstLine="709"/>
        <w:jc w:val="both"/>
      </w:pPr>
      <w:r w:rsidRPr="00B6105B">
        <w:t>3. Сравнительная таблица, характеризующая способы ценообразования на централизованные ресурсы</w:t>
      </w:r>
    </w:p>
    <w:p w:rsidR="00270B72" w:rsidRPr="00B6105B" w:rsidRDefault="00270B72" w:rsidP="00B6105B">
      <w:pPr>
        <w:pStyle w:val="ac"/>
        <w:ind w:firstLine="709"/>
        <w:jc w:val="both"/>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7"/>
        <w:gridCol w:w="2268"/>
        <w:gridCol w:w="2266"/>
        <w:gridCol w:w="2271"/>
      </w:tblGrid>
      <w:tr w:rsidR="00270B72" w:rsidRPr="00A22B2F" w:rsidTr="00A22B2F">
        <w:trPr>
          <w:jc w:val="center"/>
        </w:trPr>
        <w:tc>
          <w:tcPr>
            <w:tcW w:w="2392" w:type="dxa"/>
          </w:tcPr>
          <w:p w:rsidR="00270B72" w:rsidRPr="00A22B2F" w:rsidRDefault="00270B72" w:rsidP="00A22B2F">
            <w:pPr>
              <w:pStyle w:val="ac"/>
              <w:jc w:val="left"/>
              <w:rPr>
                <w:sz w:val="20"/>
                <w:szCs w:val="20"/>
              </w:rPr>
            </w:pPr>
          </w:p>
        </w:tc>
        <w:tc>
          <w:tcPr>
            <w:tcW w:w="2393" w:type="dxa"/>
          </w:tcPr>
          <w:p w:rsidR="00270B72" w:rsidRPr="00A22B2F" w:rsidRDefault="00270B72" w:rsidP="00A22B2F">
            <w:pPr>
              <w:pStyle w:val="ac"/>
              <w:jc w:val="left"/>
              <w:rPr>
                <w:sz w:val="20"/>
                <w:szCs w:val="20"/>
              </w:rPr>
            </w:pPr>
            <w:r w:rsidRPr="00A22B2F">
              <w:rPr>
                <w:sz w:val="20"/>
                <w:szCs w:val="20"/>
              </w:rPr>
              <w:t>Ломбардный кредит</w:t>
            </w:r>
          </w:p>
        </w:tc>
        <w:tc>
          <w:tcPr>
            <w:tcW w:w="2393" w:type="dxa"/>
          </w:tcPr>
          <w:p w:rsidR="00270B72" w:rsidRPr="00A22B2F" w:rsidRDefault="00270B72" w:rsidP="00A22B2F">
            <w:pPr>
              <w:pStyle w:val="ac"/>
              <w:jc w:val="left"/>
              <w:rPr>
                <w:sz w:val="20"/>
                <w:szCs w:val="20"/>
              </w:rPr>
            </w:pPr>
            <w:r w:rsidRPr="00A22B2F">
              <w:rPr>
                <w:sz w:val="20"/>
                <w:szCs w:val="20"/>
              </w:rPr>
              <w:t>Кредит «Овернайт»</w:t>
            </w:r>
          </w:p>
        </w:tc>
        <w:tc>
          <w:tcPr>
            <w:tcW w:w="2393" w:type="dxa"/>
          </w:tcPr>
          <w:p w:rsidR="00270B72" w:rsidRPr="00A22B2F" w:rsidRDefault="00270B72" w:rsidP="00A22B2F">
            <w:pPr>
              <w:pStyle w:val="ac"/>
              <w:jc w:val="left"/>
              <w:rPr>
                <w:sz w:val="20"/>
                <w:szCs w:val="20"/>
              </w:rPr>
            </w:pPr>
            <w:r w:rsidRPr="00A22B2F">
              <w:rPr>
                <w:sz w:val="20"/>
                <w:szCs w:val="20"/>
              </w:rPr>
              <w:t>Внутридневный кредит</w:t>
            </w:r>
          </w:p>
        </w:tc>
      </w:tr>
      <w:tr w:rsidR="00270B72" w:rsidRPr="00A22B2F" w:rsidTr="00A22B2F">
        <w:trPr>
          <w:jc w:val="center"/>
        </w:trPr>
        <w:tc>
          <w:tcPr>
            <w:tcW w:w="2392" w:type="dxa"/>
          </w:tcPr>
          <w:p w:rsidR="00270B72" w:rsidRPr="00A22B2F" w:rsidRDefault="00270B72" w:rsidP="00A22B2F">
            <w:pPr>
              <w:pStyle w:val="ac"/>
              <w:jc w:val="left"/>
              <w:rPr>
                <w:sz w:val="20"/>
                <w:szCs w:val="20"/>
              </w:rPr>
            </w:pPr>
            <w:r w:rsidRPr="00A22B2F">
              <w:rPr>
                <w:sz w:val="20"/>
                <w:szCs w:val="20"/>
              </w:rPr>
              <w:t>Форма обеспечения</w:t>
            </w:r>
          </w:p>
        </w:tc>
        <w:tc>
          <w:tcPr>
            <w:tcW w:w="2393" w:type="dxa"/>
          </w:tcPr>
          <w:p w:rsidR="00270B72" w:rsidRPr="00A22B2F" w:rsidRDefault="00270B72" w:rsidP="00A22B2F">
            <w:pPr>
              <w:pStyle w:val="ac"/>
              <w:jc w:val="left"/>
              <w:rPr>
                <w:sz w:val="20"/>
                <w:szCs w:val="20"/>
              </w:rPr>
            </w:pPr>
            <w:r w:rsidRPr="00A22B2F">
              <w:rPr>
                <w:sz w:val="20"/>
                <w:szCs w:val="20"/>
              </w:rPr>
              <w:t xml:space="preserve">Ломбардная </w:t>
            </w:r>
          </w:p>
        </w:tc>
        <w:tc>
          <w:tcPr>
            <w:tcW w:w="2393" w:type="dxa"/>
          </w:tcPr>
          <w:p w:rsidR="00270B72" w:rsidRPr="00A22B2F" w:rsidRDefault="00270B72" w:rsidP="00A22B2F">
            <w:pPr>
              <w:pStyle w:val="ac"/>
              <w:jc w:val="left"/>
              <w:rPr>
                <w:sz w:val="20"/>
                <w:szCs w:val="20"/>
              </w:rPr>
            </w:pPr>
            <w:r w:rsidRPr="00A22B2F">
              <w:rPr>
                <w:sz w:val="20"/>
                <w:szCs w:val="20"/>
              </w:rPr>
              <w:t xml:space="preserve">Учетная </w:t>
            </w:r>
          </w:p>
        </w:tc>
        <w:tc>
          <w:tcPr>
            <w:tcW w:w="2393" w:type="dxa"/>
          </w:tcPr>
          <w:p w:rsidR="00270B72" w:rsidRPr="00A22B2F" w:rsidRDefault="00270B72" w:rsidP="00A22B2F">
            <w:pPr>
              <w:pStyle w:val="ac"/>
              <w:jc w:val="left"/>
              <w:rPr>
                <w:sz w:val="20"/>
                <w:szCs w:val="20"/>
              </w:rPr>
            </w:pPr>
            <w:r w:rsidRPr="00A22B2F">
              <w:rPr>
                <w:sz w:val="20"/>
                <w:szCs w:val="20"/>
              </w:rPr>
              <w:t xml:space="preserve">Учетная </w:t>
            </w:r>
          </w:p>
        </w:tc>
      </w:tr>
      <w:tr w:rsidR="00270B72" w:rsidRPr="00A22B2F" w:rsidTr="00A22B2F">
        <w:trPr>
          <w:jc w:val="center"/>
        </w:trPr>
        <w:tc>
          <w:tcPr>
            <w:tcW w:w="2392" w:type="dxa"/>
          </w:tcPr>
          <w:p w:rsidR="00270B72" w:rsidRPr="00A22B2F" w:rsidRDefault="00270B72" w:rsidP="00A22B2F">
            <w:pPr>
              <w:pStyle w:val="ac"/>
              <w:jc w:val="left"/>
              <w:rPr>
                <w:sz w:val="20"/>
                <w:szCs w:val="20"/>
              </w:rPr>
            </w:pPr>
            <w:r w:rsidRPr="00A22B2F">
              <w:rPr>
                <w:sz w:val="20"/>
                <w:szCs w:val="20"/>
              </w:rPr>
              <w:t>Метод предоставления</w:t>
            </w:r>
          </w:p>
        </w:tc>
        <w:tc>
          <w:tcPr>
            <w:tcW w:w="2393" w:type="dxa"/>
          </w:tcPr>
          <w:p w:rsidR="00270B72" w:rsidRPr="00A22B2F" w:rsidRDefault="00270B72" w:rsidP="00A22B2F">
            <w:pPr>
              <w:pStyle w:val="ac"/>
              <w:jc w:val="left"/>
              <w:rPr>
                <w:sz w:val="20"/>
                <w:szCs w:val="20"/>
              </w:rPr>
            </w:pPr>
            <w:r w:rsidRPr="00A22B2F">
              <w:rPr>
                <w:sz w:val="20"/>
                <w:szCs w:val="20"/>
              </w:rPr>
              <w:t xml:space="preserve">На основе аукционов </w:t>
            </w:r>
          </w:p>
        </w:tc>
        <w:tc>
          <w:tcPr>
            <w:tcW w:w="2393" w:type="dxa"/>
          </w:tcPr>
          <w:p w:rsidR="00270B72" w:rsidRPr="00A22B2F" w:rsidRDefault="00270B72" w:rsidP="00A22B2F">
            <w:pPr>
              <w:pStyle w:val="ac"/>
              <w:jc w:val="left"/>
              <w:rPr>
                <w:sz w:val="20"/>
                <w:szCs w:val="20"/>
              </w:rPr>
            </w:pPr>
            <w:r w:rsidRPr="00A22B2F">
              <w:rPr>
                <w:sz w:val="20"/>
                <w:szCs w:val="20"/>
              </w:rPr>
              <w:t xml:space="preserve">Прямой </w:t>
            </w:r>
          </w:p>
        </w:tc>
        <w:tc>
          <w:tcPr>
            <w:tcW w:w="2393" w:type="dxa"/>
          </w:tcPr>
          <w:p w:rsidR="00270B72" w:rsidRPr="00A22B2F" w:rsidRDefault="00270B72" w:rsidP="00A22B2F">
            <w:pPr>
              <w:pStyle w:val="ac"/>
              <w:jc w:val="left"/>
              <w:rPr>
                <w:sz w:val="20"/>
                <w:szCs w:val="20"/>
              </w:rPr>
            </w:pPr>
            <w:r w:rsidRPr="00A22B2F">
              <w:rPr>
                <w:sz w:val="20"/>
                <w:szCs w:val="20"/>
              </w:rPr>
              <w:t>Прямой</w:t>
            </w:r>
          </w:p>
        </w:tc>
      </w:tr>
      <w:tr w:rsidR="00270B72" w:rsidRPr="00A22B2F" w:rsidTr="00A22B2F">
        <w:trPr>
          <w:jc w:val="center"/>
        </w:trPr>
        <w:tc>
          <w:tcPr>
            <w:tcW w:w="2392" w:type="dxa"/>
          </w:tcPr>
          <w:p w:rsidR="00270B72" w:rsidRPr="00A22B2F" w:rsidRDefault="00270B72" w:rsidP="00A22B2F">
            <w:pPr>
              <w:pStyle w:val="ac"/>
              <w:jc w:val="left"/>
              <w:rPr>
                <w:sz w:val="20"/>
                <w:szCs w:val="20"/>
              </w:rPr>
            </w:pPr>
            <w:r w:rsidRPr="00A22B2F">
              <w:rPr>
                <w:sz w:val="20"/>
                <w:szCs w:val="20"/>
              </w:rPr>
              <w:t>Срок предоставления</w:t>
            </w:r>
          </w:p>
        </w:tc>
        <w:tc>
          <w:tcPr>
            <w:tcW w:w="2393" w:type="dxa"/>
          </w:tcPr>
          <w:p w:rsidR="00270B72" w:rsidRPr="00A22B2F" w:rsidRDefault="00270B72" w:rsidP="00A22B2F">
            <w:pPr>
              <w:pStyle w:val="ac"/>
              <w:jc w:val="left"/>
              <w:rPr>
                <w:sz w:val="20"/>
                <w:szCs w:val="20"/>
              </w:rPr>
            </w:pPr>
            <w:r w:rsidRPr="00A22B2F">
              <w:rPr>
                <w:sz w:val="20"/>
                <w:szCs w:val="20"/>
              </w:rPr>
              <w:t>Среднесрочный (от 3 дней до 1 мес.)</w:t>
            </w:r>
          </w:p>
        </w:tc>
        <w:tc>
          <w:tcPr>
            <w:tcW w:w="2393" w:type="dxa"/>
          </w:tcPr>
          <w:p w:rsidR="00270B72" w:rsidRPr="00A22B2F" w:rsidRDefault="00270B72" w:rsidP="00A22B2F">
            <w:pPr>
              <w:pStyle w:val="ac"/>
              <w:jc w:val="left"/>
              <w:rPr>
                <w:sz w:val="20"/>
                <w:szCs w:val="20"/>
              </w:rPr>
            </w:pPr>
            <w:r w:rsidRPr="00A22B2F">
              <w:rPr>
                <w:sz w:val="20"/>
                <w:szCs w:val="20"/>
              </w:rPr>
              <w:t xml:space="preserve">Краткосрочный </w:t>
            </w:r>
          </w:p>
        </w:tc>
        <w:tc>
          <w:tcPr>
            <w:tcW w:w="2393" w:type="dxa"/>
          </w:tcPr>
          <w:p w:rsidR="00270B72" w:rsidRPr="00A22B2F" w:rsidRDefault="00270B72" w:rsidP="00A22B2F">
            <w:pPr>
              <w:pStyle w:val="ac"/>
              <w:jc w:val="left"/>
              <w:rPr>
                <w:sz w:val="20"/>
                <w:szCs w:val="20"/>
              </w:rPr>
            </w:pPr>
            <w:r w:rsidRPr="00A22B2F">
              <w:rPr>
                <w:sz w:val="20"/>
                <w:szCs w:val="20"/>
              </w:rPr>
              <w:t>Краткосрочный</w:t>
            </w:r>
          </w:p>
        </w:tc>
      </w:tr>
      <w:tr w:rsidR="00270B72" w:rsidRPr="00A22B2F" w:rsidTr="00A22B2F">
        <w:trPr>
          <w:jc w:val="center"/>
        </w:trPr>
        <w:tc>
          <w:tcPr>
            <w:tcW w:w="2392" w:type="dxa"/>
          </w:tcPr>
          <w:p w:rsidR="00270B72" w:rsidRPr="00A22B2F" w:rsidRDefault="00270B72" w:rsidP="00A22B2F">
            <w:pPr>
              <w:pStyle w:val="ac"/>
              <w:jc w:val="left"/>
              <w:rPr>
                <w:sz w:val="20"/>
                <w:szCs w:val="20"/>
              </w:rPr>
            </w:pPr>
            <w:r w:rsidRPr="00A22B2F">
              <w:rPr>
                <w:sz w:val="20"/>
                <w:szCs w:val="20"/>
              </w:rPr>
              <w:t xml:space="preserve">Процентная ставка, % </w:t>
            </w:r>
          </w:p>
        </w:tc>
        <w:tc>
          <w:tcPr>
            <w:tcW w:w="2393" w:type="dxa"/>
          </w:tcPr>
          <w:p w:rsidR="00270B72" w:rsidRPr="00A22B2F" w:rsidRDefault="00270B72" w:rsidP="00A22B2F">
            <w:pPr>
              <w:pStyle w:val="ac"/>
              <w:jc w:val="left"/>
              <w:rPr>
                <w:sz w:val="20"/>
                <w:szCs w:val="20"/>
              </w:rPr>
            </w:pPr>
            <w:r w:rsidRPr="00A22B2F">
              <w:rPr>
                <w:sz w:val="20"/>
                <w:szCs w:val="20"/>
              </w:rPr>
              <w:t>150</w:t>
            </w:r>
          </w:p>
        </w:tc>
        <w:tc>
          <w:tcPr>
            <w:tcW w:w="2393" w:type="dxa"/>
          </w:tcPr>
          <w:p w:rsidR="00270B72" w:rsidRPr="00A22B2F" w:rsidRDefault="00270B72" w:rsidP="00A22B2F">
            <w:pPr>
              <w:pStyle w:val="ac"/>
              <w:jc w:val="left"/>
              <w:rPr>
                <w:sz w:val="20"/>
                <w:szCs w:val="20"/>
              </w:rPr>
            </w:pPr>
            <w:r w:rsidRPr="00A22B2F">
              <w:rPr>
                <w:sz w:val="20"/>
                <w:szCs w:val="20"/>
              </w:rPr>
              <w:t>13</w:t>
            </w:r>
          </w:p>
        </w:tc>
        <w:tc>
          <w:tcPr>
            <w:tcW w:w="2393" w:type="dxa"/>
          </w:tcPr>
          <w:p w:rsidR="00270B72" w:rsidRPr="00A22B2F" w:rsidRDefault="00270B72" w:rsidP="00A22B2F">
            <w:pPr>
              <w:pStyle w:val="ac"/>
              <w:jc w:val="left"/>
              <w:rPr>
                <w:sz w:val="20"/>
                <w:szCs w:val="20"/>
              </w:rPr>
            </w:pPr>
            <w:r w:rsidRPr="00A22B2F">
              <w:rPr>
                <w:sz w:val="20"/>
                <w:szCs w:val="20"/>
              </w:rPr>
              <w:t>0</w:t>
            </w:r>
          </w:p>
        </w:tc>
      </w:tr>
    </w:tbl>
    <w:p w:rsidR="00270B72" w:rsidRPr="00B6105B" w:rsidRDefault="00270B72" w:rsidP="00A22B2F">
      <w:pPr>
        <w:pStyle w:val="a6"/>
        <w:ind w:firstLine="709"/>
        <w:jc w:val="both"/>
      </w:pPr>
      <w:bookmarkStart w:id="0" w:name="_GoBack"/>
      <w:bookmarkEnd w:id="0"/>
    </w:p>
    <w:sectPr w:rsidR="00270B72" w:rsidRPr="00B6105B" w:rsidSect="00B6105B">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FA5" w:rsidRDefault="00B35FA5">
      <w:r>
        <w:separator/>
      </w:r>
    </w:p>
  </w:endnote>
  <w:endnote w:type="continuationSeparator" w:id="0">
    <w:p w:rsidR="00B35FA5" w:rsidRDefault="00B3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Matisse ITC"/>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FA5" w:rsidRDefault="00B35FA5">
      <w:r>
        <w:separator/>
      </w:r>
    </w:p>
  </w:footnote>
  <w:footnote w:type="continuationSeparator" w:id="0">
    <w:p w:rsidR="00B35FA5" w:rsidRDefault="00B35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BC3" w:rsidRDefault="00222BC3">
    <w:pPr>
      <w:pStyle w:val="a3"/>
      <w:framePr w:wrap="around" w:vAnchor="text" w:hAnchor="margin" w:xAlign="right" w:y="1"/>
      <w:rPr>
        <w:rStyle w:val="a5"/>
      </w:rPr>
    </w:pPr>
  </w:p>
  <w:p w:rsidR="00222BC3" w:rsidRDefault="00222BC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47C69"/>
    <w:multiLevelType w:val="hybridMultilevel"/>
    <w:tmpl w:val="483692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BCD12D4"/>
    <w:multiLevelType w:val="hybridMultilevel"/>
    <w:tmpl w:val="8342F6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D1A15E3"/>
    <w:multiLevelType w:val="hybridMultilevel"/>
    <w:tmpl w:val="AF967B94"/>
    <w:lvl w:ilvl="0" w:tplc="4486561C">
      <w:start w:val="1"/>
      <w:numFmt w:val="bullet"/>
      <w:lvlText w:val=""/>
      <w:lvlJc w:val="left"/>
      <w:pPr>
        <w:tabs>
          <w:tab w:val="num" w:pos="720"/>
        </w:tabs>
        <w:ind w:left="720" w:hanging="360"/>
      </w:pPr>
      <w:rPr>
        <w:rFonts w:ascii="Symbol" w:hAnsi="Symbol" w:hint="default"/>
        <w:sz w:val="20"/>
      </w:rPr>
    </w:lvl>
    <w:lvl w:ilvl="1" w:tplc="CA7CA008" w:tentative="1">
      <w:start w:val="1"/>
      <w:numFmt w:val="bullet"/>
      <w:lvlText w:val="o"/>
      <w:lvlJc w:val="left"/>
      <w:pPr>
        <w:tabs>
          <w:tab w:val="num" w:pos="1440"/>
        </w:tabs>
        <w:ind w:left="1440" w:hanging="360"/>
      </w:pPr>
      <w:rPr>
        <w:rFonts w:ascii="Courier New" w:hAnsi="Courier New" w:hint="default"/>
        <w:sz w:val="20"/>
      </w:rPr>
    </w:lvl>
    <w:lvl w:ilvl="2" w:tplc="D8CCC13A" w:tentative="1">
      <w:start w:val="1"/>
      <w:numFmt w:val="bullet"/>
      <w:lvlText w:val=""/>
      <w:lvlJc w:val="left"/>
      <w:pPr>
        <w:tabs>
          <w:tab w:val="num" w:pos="2160"/>
        </w:tabs>
        <w:ind w:left="2160" w:hanging="360"/>
      </w:pPr>
      <w:rPr>
        <w:rFonts w:ascii="Wingdings" w:hAnsi="Wingdings" w:hint="default"/>
        <w:sz w:val="20"/>
      </w:rPr>
    </w:lvl>
    <w:lvl w:ilvl="3" w:tplc="46F206A2" w:tentative="1">
      <w:start w:val="1"/>
      <w:numFmt w:val="bullet"/>
      <w:lvlText w:val=""/>
      <w:lvlJc w:val="left"/>
      <w:pPr>
        <w:tabs>
          <w:tab w:val="num" w:pos="2880"/>
        </w:tabs>
        <w:ind w:left="2880" w:hanging="360"/>
      </w:pPr>
      <w:rPr>
        <w:rFonts w:ascii="Wingdings" w:hAnsi="Wingdings" w:hint="default"/>
        <w:sz w:val="20"/>
      </w:rPr>
    </w:lvl>
    <w:lvl w:ilvl="4" w:tplc="C5328FD2" w:tentative="1">
      <w:start w:val="1"/>
      <w:numFmt w:val="bullet"/>
      <w:lvlText w:val=""/>
      <w:lvlJc w:val="left"/>
      <w:pPr>
        <w:tabs>
          <w:tab w:val="num" w:pos="3600"/>
        </w:tabs>
        <w:ind w:left="3600" w:hanging="360"/>
      </w:pPr>
      <w:rPr>
        <w:rFonts w:ascii="Wingdings" w:hAnsi="Wingdings" w:hint="default"/>
        <w:sz w:val="20"/>
      </w:rPr>
    </w:lvl>
    <w:lvl w:ilvl="5" w:tplc="CCEAD072" w:tentative="1">
      <w:start w:val="1"/>
      <w:numFmt w:val="bullet"/>
      <w:lvlText w:val=""/>
      <w:lvlJc w:val="left"/>
      <w:pPr>
        <w:tabs>
          <w:tab w:val="num" w:pos="4320"/>
        </w:tabs>
        <w:ind w:left="4320" w:hanging="360"/>
      </w:pPr>
      <w:rPr>
        <w:rFonts w:ascii="Wingdings" w:hAnsi="Wingdings" w:hint="default"/>
        <w:sz w:val="20"/>
      </w:rPr>
    </w:lvl>
    <w:lvl w:ilvl="6" w:tplc="3C0C127E" w:tentative="1">
      <w:start w:val="1"/>
      <w:numFmt w:val="bullet"/>
      <w:lvlText w:val=""/>
      <w:lvlJc w:val="left"/>
      <w:pPr>
        <w:tabs>
          <w:tab w:val="num" w:pos="5040"/>
        </w:tabs>
        <w:ind w:left="5040" w:hanging="360"/>
      </w:pPr>
      <w:rPr>
        <w:rFonts w:ascii="Wingdings" w:hAnsi="Wingdings" w:hint="default"/>
        <w:sz w:val="20"/>
      </w:rPr>
    </w:lvl>
    <w:lvl w:ilvl="7" w:tplc="F322FA88" w:tentative="1">
      <w:start w:val="1"/>
      <w:numFmt w:val="bullet"/>
      <w:lvlText w:val=""/>
      <w:lvlJc w:val="left"/>
      <w:pPr>
        <w:tabs>
          <w:tab w:val="num" w:pos="5760"/>
        </w:tabs>
        <w:ind w:left="5760" w:hanging="360"/>
      </w:pPr>
      <w:rPr>
        <w:rFonts w:ascii="Wingdings" w:hAnsi="Wingdings" w:hint="default"/>
        <w:sz w:val="20"/>
      </w:rPr>
    </w:lvl>
    <w:lvl w:ilvl="8" w:tplc="D3E2318E"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05B"/>
    <w:rsid w:val="00127BFF"/>
    <w:rsid w:val="00222BC3"/>
    <w:rsid w:val="00270B72"/>
    <w:rsid w:val="007B617F"/>
    <w:rsid w:val="00826473"/>
    <w:rsid w:val="009305E3"/>
    <w:rsid w:val="009508B7"/>
    <w:rsid w:val="00A22B2F"/>
    <w:rsid w:val="00B35FA5"/>
    <w:rsid w:val="00B6105B"/>
    <w:rsid w:val="00B87BBA"/>
    <w:rsid w:val="00EF7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775118-4714-4A65-86C6-18CDAAD9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sz w:val="28"/>
    </w:rPr>
  </w:style>
  <w:style w:type="paragraph" w:styleId="2">
    <w:name w:val="heading 2"/>
    <w:basedOn w:val="a"/>
    <w:next w:val="a"/>
    <w:link w:val="20"/>
    <w:uiPriority w:val="99"/>
    <w:qFormat/>
    <w:pPr>
      <w:keepNext/>
      <w:spacing w:line="360" w:lineRule="auto"/>
      <w:ind w:firstLine="709"/>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Title"/>
    <w:basedOn w:val="a"/>
    <w:link w:val="a7"/>
    <w:uiPriority w:val="99"/>
    <w:qFormat/>
    <w:pPr>
      <w:spacing w:line="360" w:lineRule="auto"/>
      <w:jc w:val="center"/>
    </w:pPr>
    <w:rPr>
      <w:sz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customStyle="1" w:styleId="main">
    <w:name w:val="main"/>
    <w:basedOn w:val="a"/>
    <w:uiPriority w:val="99"/>
    <w:pPr>
      <w:ind w:left="160" w:right="160" w:firstLine="300"/>
      <w:textAlignment w:val="top"/>
    </w:pPr>
    <w:rPr>
      <w:rFonts w:ascii="Arial" w:hAnsi="Arial" w:cs="Arial"/>
      <w:color w:val="000000"/>
      <w:sz w:val="18"/>
      <w:szCs w:val="18"/>
    </w:rPr>
  </w:style>
  <w:style w:type="character" w:styleId="a8">
    <w:name w:val="Strong"/>
    <w:uiPriority w:val="99"/>
    <w:qFormat/>
    <w:rPr>
      <w:rFonts w:cs="Times New Roman"/>
      <w:b/>
      <w:bCs/>
    </w:rPr>
  </w:style>
  <w:style w:type="character" w:styleId="a9">
    <w:name w:val="Emphasis"/>
    <w:uiPriority w:val="99"/>
    <w:qFormat/>
    <w:rPr>
      <w:rFonts w:cs="Times New Roman"/>
      <w:i/>
      <w:iCs/>
    </w:rPr>
  </w:style>
  <w:style w:type="character" w:customStyle="1" w:styleId="subheader1">
    <w:name w:val="subheader1"/>
    <w:uiPriority w:val="99"/>
    <w:rPr>
      <w:rFonts w:cs="Times New Roman"/>
      <w:b/>
      <w:bCs/>
    </w:rPr>
  </w:style>
  <w:style w:type="paragraph" w:styleId="aa">
    <w:name w:val="Normal (Web)"/>
    <w:basedOn w:val="a"/>
    <w:uiPriority w:val="99"/>
    <w:pPr>
      <w:spacing w:before="100" w:beforeAutospacing="1" w:after="100" w:afterAutospacing="1"/>
      <w:jc w:val="both"/>
    </w:pPr>
    <w:rPr>
      <w:rFonts w:ascii="Arial" w:hAnsi="Arial" w:cs="Arial"/>
    </w:rPr>
  </w:style>
  <w:style w:type="paragraph" w:customStyle="1" w:styleId="pic">
    <w:name w:val="pic"/>
    <w:basedOn w:val="a"/>
    <w:uiPriority w:val="99"/>
    <w:pPr>
      <w:spacing w:before="100" w:beforeAutospacing="1" w:after="100" w:afterAutospacing="1"/>
      <w:jc w:val="center"/>
    </w:pPr>
    <w:rPr>
      <w:rFonts w:ascii="Arial" w:hAnsi="Arial" w:cs="Arial"/>
    </w:rPr>
  </w:style>
  <w:style w:type="paragraph" w:styleId="ab">
    <w:name w:val="caption"/>
    <w:basedOn w:val="a"/>
    <w:uiPriority w:val="99"/>
    <w:qFormat/>
    <w:pPr>
      <w:spacing w:before="100" w:beforeAutospacing="1" w:after="100" w:afterAutospacing="1"/>
      <w:jc w:val="center"/>
    </w:pPr>
    <w:rPr>
      <w:rFonts w:ascii="Arial" w:hAnsi="Arial" w:cs="Arial"/>
      <w:b/>
      <w:bCs/>
    </w:rPr>
  </w:style>
  <w:style w:type="paragraph" w:styleId="ac">
    <w:name w:val="Body Text"/>
    <w:basedOn w:val="a"/>
    <w:link w:val="ad"/>
    <w:uiPriority w:val="99"/>
    <w:pPr>
      <w:spacing w:line="360" w:lineRule="auto"/>
      <w:jc w:val="center"/>
    </w:pPr>
    <w:rPr>
      <w:sz w:val="28"/>
    </w:rPr>
  </w:style>
  <w:style w:type="character" w:customStyle="1" w:styleId="ad">
    <w:name w:val="Основной текст Знак"/>
    <w:link w:val="ac"/>
    <w:uiPriority w:val="99"/>
    <w:semiHidden/>
    <w:rPr>
      <w:sz w:val="24"/>
      <w:szCs w:val="24"/>
    </w:rPr>
  </w:style>
  <w:style w:type="paragraph" w:styleId="ae">
    <w:name w:val="Body Text Indent"/>
    <w:basedOn w:val="a"/>
    <w:link w:val="af"/>
    <w:uiPriority w:val="99"/>
    <w:pPr>
      <w:spacing w:line="360" w:lineRule="auto"/>
      <w:ind w:firstLine="709"/>
      <w:jc w:val="both"/>
    </w:pPr>
    <w:rPr>
      <w:sz w:val="28"/>
      <w:szCs w:val="20"/>
    </w:rPr>
  </w:style>
  <w:style w:type="character" w:customStyle="1" w:styleId="af">
    <w:name w:val="Основной текст с отступом Знак"/>
    <w:link w:val="ae"/>
    <w:uiPriority w:val="99"/>
    <w:semiHidden/>
    <w:rPr>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4"/>
      <w:szCs w:val="14"/>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11">
    <w:name w:val="Гиперссылка1"/>
    <w:uiPriority w:val="99"/>
    <w:rPr>
      <w:rFonts w:cs="Times New Roman"/>
      <w:color w:val="000000"/>
      <w:u w:val="single"/>
    </w:rPr>
  </w:style>
  <w:style w:type="paragraph" w:styleId="21">
    <w:name w:val="Body Text 2"/>
    <w:basedOn w:val="a"/>
    <w:link w:val="22"/>
    <w:uiPriority w:val="99"/>
    <w:pPr>
      <w:spacing w:line="360" w:lineRule="auto"/>
      <w:jc w:val="both"/>
    </w:pPr>
    <w:rPr>
      <w:sz w:val="28"/>
      <w:szCs w:val="20"/>
    </w:rPr>
  </w:style>
  <w:style w:type="character" w:customStyle="1" w:styleId="22">
    <w:name w:val="Основной текст 2 Знак"/>
    <w:link w:val="21"/>
    <w:uiPriority w:val="99"/>
    <w:semiHidden/>
    <w:rPr>
      <w:sz w:val="24"/>
      <w:szCs w:val="24"/>
    </w:rPr>
  </w:style>
  <w:style w:type="paragraph" w:customStyle="1" w:styleId="MainText">
    <w:name w:val="MainText"/>
    <w:uiPriority w:val="99"/>
    <w:pPr>
      <w:overflowPunct w:val="0"/>
      <w:autoSpaceDE w:val="0"/>
      <w:autoSpaceDN w:val="0"/>
      <w:adjustRightInd w:val="0"/>
      <w:ind w:firstLine="567"/>
      <w:jc w:val="both"/>
      <w:textAlignment w:val="baseline"/>
    </w:pPr>
    <w:rPr>
      <w:rFonts w:ascii="PragmaticaC" w:hAnsi="PragmaticaC"/>
      <w:color w:val="000000"/>
      <w:sz w:val="19"/>
      <w:lang w:val="en-US"/>
    </w:rPr>
  </w:style>
  <w:style w:type="paragraph" w:customStyle="1" w:styleId="MainTextBezOtstupa">
    <w:name w:val="MainTextBezOtstupa"/>
    <w:basedOn w:val="MainText"/>
    <w:uiPriority w:val="99"/>
    <w:pPr>
      <w:ind w:firstLine="0"/>
    </w:pPr>
  </w:style>
  <w:style w:type="paragraph" w:styleId="af0">
    <w:name w:val="footer"/>
    <w:basedOn w:val="a"/>
    <w:link w:val="af1"/>
    <w:uiPriority w:val="99"/>
    <w:rsid w:val="00B6105B"/>
    <w:pPr>
      <w:tabs>
        <w:tab w:val="center" w:pos="4677"/>
        <w:tab w:val="right" w:pos="9355"/>
      </w:tabs>
    </w:pPr>
  </w:style>
  <w:style w:type="character" w:customStyle="1" w:styleId="af1">
    <w:name w:val="Ниж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3882</Words>
  <Characters>22129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Karpov</dc:creator>
  <cp:keywords/>
  <dc:description/>
  <cp:lastModifiedBy>admin</cp:lastModifiedBy>
  <cp:revision>2</cp:revision>
  <dcterms:created xsi:type="dcterms:W3CDTF">2014-03-01T11:39:00Z</dcterms:created>
  <dcterms:modified xsi:type="dcterms:W3CDTF">2014-03-01T11:39:00Z</dcterms:modified>
</cp:coreProperties>
</file>