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3" w:rsidRDefault="00465A23" w:rsidP="00375770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Pr="00375770" w:rsidRDefault="0079299F" w:rsidP="00375770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Лицензирование торговой деятельности.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Лицензирование – это способ защиты субъектов рынка от действий непрофессиональных участников, форма контроля государства за деятельностью субъекта. Лицензирование проводится государственными органами.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Для получения лицензии на осуществление торговой деятельности необходимо предоставить в лицензирующий орган следующие документы: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1)     заявление о выдаче лицензии с указанием наименования и организационно-правовой формы юридического лица, места нахождения, наименования банка, расчетного счета, банковского идентификационного счета,  корреспондентского счета, ИНН;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2)     копии учредительных документов и свидетельства о государственной регистрации лицензиата в качестве юридического лица или индивидуального предпринимателя;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3)     справку о постановке на учет  в налоговом органе;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4)     документ, подтверждающий внесение соискателем лицензии платы за рассмотрение лицензирующим органом заявления.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Выдача документа, подтверждающего наличие лицензии, проводится в течение трех дней после представления соискателем документа об уплате лицензионного сбора. В случае преобразования предприятия, изменения его наименования или места нахождения, следует подать заявление о переоформлении документа, подтверждающего наличие лицензии. Переоформление осуществляется в течение 5 дней со дня подачи соответствующего заявления.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Лицензирующие органы  вправе приостановить действие лицензии в случае: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- выявления нарушений лицензионных требований, ведущих к ущербу прав, интересов, нравственности и здоровья отдельных граждан и РФ в целом;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- невыполнения  фабрикой решения лицензионных органов, обязующих его устранить выявленные нарушения.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Законом № 158-ФЗ предусмотрено несколько видов платежей, связанных с получением и переоформлением лицензий на торговлю кондитерскими изделиями: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1)     за рассмотрение лицензионным органом заявления соискателя взимается плата в размере 2 минимальных размеров оплаты труда (МРОТ);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2)     в случае переоформления документа, подтверждающего наличие лицензии, за выдачу указанного документа и внесения в него изменений взимается плата 0,07 МРОТ;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3)     за выдачу лицензии  взимается лицензионный сбор в размере 7 МРОТ.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Срок действия лицензии на торговлю кондитерскими изделиями составляет не более трех лет. В продлении лицензии может быть отказано по следующим основаниям: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-   за время действия лицензии были зафиксированы нарушения лицензионных условий; </w:t>
      </w:r>
    </w:p>
    <w:p w:rsidR="0079299F" w:rsidRPr="00375770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 xml:space="preserve">-   изменились в худшую сторону условия осуществления деятельности; </w:t>
      </w:r>
    </w:p>
    <w:p w:rsidR="0079299F" w:rsidRDefault="0079299F" w:rsidP="00375770">
      <w:pPr>
        <w:spacing w:after="0" w:line="360" w:lineRule="auto"/>
        <w:ind w:firstLine="567"/>
        <w:rPr>
          <w:sz w:val="28"/>
        </w:rPr>
      </w:pPr>
      <w:r w:rsidRPr="00375770">
        <w:rPr>
          <w:sz w:val="28"/>
        </w:rPr>
        <w:t>-   за время, прошедшее со времени получения предыдущей лицензии, изменились лицензионные условия.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Государственное регулирование торговой деятельности осуществляется посредством: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1) установления требований к организации и осуществлению торговой деятельности;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2) антимонопольного регулирования;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3) лицензирования торговой деятельности по продаже отдельных видов товаров;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4) технического регулирования;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5) применения мер экономического и административного характера, способствующих развитию торговой деятельности;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6) учета хозяйствующих субъектов, осуществляющих торговую деятельность, в целях информационно-аналитического обеспечения в области торговой деятельности;</w:t>
      </w:r>
    </w:p>
    <w:p w:rsidR="0079299F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7) государственного контроля за соблюдением хозяйствующими субъектами, осуществляющими торговую деятельность, требований настоящего Федерального закона и иных федеральных законов, регулирующих отношения в сфере торговли.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Целями государственного регулирования в сфере торговли являются: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1) обеспечение единства экономического пространства на территории Российской Федерации путем установления единого порядка организации и осуществления торговой деятельности на всей территории Российской Федерации;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2) обеспечение соблюдения прав и законных интересов хозяйствующих субъектов, осуществляющих деятельность в сфере торговли;</w:t>
      </w:r>
    </w:p>
    <w:p w:rsidR="0079299F" w:rsidRPr="00E425AA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3) развитие торговой деятельности в Российской Федерации, в том числе посредством государственной поддержки торговой деятельности и развития конкуренции, необходимых для повышения качества торговли и доступности товаров в местах проживания граждан;</w:t>
      </w:r>
    </w:p>
    <w:p w:rsidR="0079299F" w:rsidRDefault="0079299F" w:rsidP="00E425AA">
      <w:pPr>
        <w:spacing w:after="0" w:line="360" w:lineRule="auto"/>
        <w:ind w:firstLine="567"/>
        <w:rPr>
          <w:sz w:val="28"/>
        </w:rPr>
      </w:pPr>
      <w:r w:rsidRPr="00E425AA">
        <w:rPr>
          <w:sz w:val="28"/>
        </w:rPr>
        <w:t>4) разграничение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в области регулирования торговой деятельности.</w:t>
      </w:r>
    </w:p>
    <w:p w:rsidR="0079299F" w:rsidRDefault="0079299F" w:rsidP="00B07529">
      <w:pPr>
        <w:spacing w:after="0" w:line="360" w:lineRule="auto"/>
        <w:ind w:firstLine="567"/>
        <w:jc w:val="center"/>
        <w:rPr>
          <w:b/>
          <w:bCs/>
          <w:sz w:val="36"/>
          <w:szCs w:val="36"/>
        </w:rPr>
      </w:pPr>
    </w:p>
    <w:p w:rsidR="0079299F" w:rsidRDefault="0079299F" w:rsidP="00B07529">
      <w:pPr>
        <w:spacing w:after="0" w:line="360" w:lineRule="auto"/>
        <w:ind w:firstLine="567"/>
        <w:jc w:val="center"/>
        <w:rPr>
          <w:b/>
          <w:bCs/>
          <w:sz w:val="36"/>
          <w:szCs w:val="36"/>
        </w:rPr>
      </w:pPr>
    </w:p>
    <w:p w:rsidR="0079299F" w:rsidRDefault="0079299F" w:rsidP="00B07529">
      <w:pPr>
        <w:spacing w:after="0" w:line="360" w:lineRule="auto"/>
        <w:ind w:firstLine="567"/>
        <w:jc w:val="center"/>
        <w:rPr>
          <w:b/>
          <w:bCs/>
          <w:sz w:val="36"/>
          <w:szCs w:val="36"/>
        </w:rPr>
      </w:pPr>
    </w:p>
    <w:p w:rsidR="0079299F" w:rsidRDefault="0079299F" w:rsidP="00B07529">
      <w:pPr>
        <w:spacing w:after="0" w:line="360" w:lineRule="auto"/>
        <w:ind w:firstLine="567"/>
        <w:jc w:val="center"/>
        <w:rPr>
          <w:b/>
          <w:bCs/>
          <w:sz w:val="36"/>
          <w:szCs w:val="36"/>
        </w:rPr>
      </w:pPr>
    </w:p>
    <w:p w:rsidR="0079299F" w:rsidRDefault="0079299F" w:rsidP="00B07529">
      <w:pPr>
        <w:spacing w:after="0" w:line="360" w:lineRule="auto"/>
        <w:ind w:firstLine="567"/>
        <w:jc w:val="center"/>
        <w:rPr>
          <w:b/>
          <w:bCs/>
          <w:sz w:val="36"/>
          <w:szCs w:val="36"/>
        </w:rPr>
      </w:pPr>
    </w:p>
    <w:p w:rsidR="0079299F" w:rsidRPr="00B07529" w:rsidRDefault="0079299F" w:rsidP="00B07529">
      <w:pPr>
        <w:spacing w:after="0" w:line="360" w:lineRule="auto"/>
        <w:ind w:firstLine="567"/>
        <w:jc w:val="center"/>
        <w:rPr>
          <w:b/>
          <w:bCs/>
          <w:sz w:val="36"/>
          <w:szCs w:val="36"/>
        </w:rPr>
      </w:pPr>
      <w:r w:rsidRPr="00B07529">
        <w:rPr>
          <w:b/>
          <w:bCs/>
          <w:sz w:val="36"/>
          <w:szCs w:val="36"/>
        </w:rPr>
        <w:t>Упрощенная система налогообложения для субъектов малого предпринимательства.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На малых предприятиях применяется упрощенный план счетов бухгалтерского учета, который субъектам малого предпринимательства предлагают использовать Рекомендации. В отличие от более крупных хозяйствующих субъектов, малые предприятия чаще всего не используют счета для обобщения информации о нематериальных активах (счета 04 и 05), оборудовании, требующем монтажа (счет 07), отложенных налогах ( счета 09, 77).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Материальные счета на малых предприятия представлены счетом 10, а затраты на производство аккумулируются на счете 20 бухгалтерского учета.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Учет денежных средств согласно плану счетов малых предприятий осуществляется с применением традиционных счетов. А вот счета учета доходов и расходов будущих периодов, а также резервов предстоящих расходов отсутствуют.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Это связано с тем, что малые предприятия могут вести бухгалтерский учет кассовым методом. То есть производственные затраты могут отражаться только в части оплаченных товаров (работ и услуг), а учет приобретенных или реализованных товаров (работ, услуг) до момента оплаты ведется обособленно.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Пунктом 3 статьи 4 Закона № 129-ФЗ установлено, что организации, которые перешли на УСН, не обязаны вести бухгалтерский учет, за исключением учета основных средств и нематериальных активов.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Но в реальности это освобождение от ведения бухгалтерского учета по сути является формальным.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Во-первых, бухгалтерский учет необходимо вести с целью контроля финансового положения вашей фирмы и для того, чтоб можно было ценить результаты ее деятельности.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Во-вторых, в большинстве случаев у организаций, применяющих УСН, возникает необходимость вести бухучет в силу законодательства.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>К примеру, бух</w:t>
      </w:r>
      <w:r>
        <w:rPr>
          <w:sz w:val="28"/>
          <w:lang w:eastAsia="zh-CN"/>
        </w:rPr>
        <w:t xml:space="preserve">галтерский </w:t>
      </w:r>
      <w:r w:rsidRPr="00B07529">
        <w:rPr>
          <w:sz w:val="28"/>
          <w:lang w:eastAsia="zh-CN"/>
        </w:rPr>
        <w:t xml:space="preserve">учет должны вести акционерные общества и общества с ограниченной ответственностью. Это следует Федерального закона от 26.12.1995 № 208-ФЗ «Об акционерных обществах» (далее - Закон № 208-ФЗ) и Федерального закона от 08.02.1998 № 14-ФЗ «Об обществах с ограниченной ответственностью» (далее - Закон № 14-ФЗ).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Конституционный Суд РФ в Определении от 13.06.2006 № 319-О установил отсутствие противоречия между нормами Законов №№ 129-ФЗ и 208-ФЗ.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Он указал, что, несмотря на освобождение от обязанности вести бухгалтерский учет, акционерным обществам необходимо составлять бухгалтерскую отчетность по данным об имущественном и финансовом положении, а также по результатам хозяйственной деятельности. Это обеспечивает права акционеров на получение информации о деятельности акционерного общества.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Конституционный Суд РФ своим Определением подтвердил необходимость ведения бухгалтерского учета акционерными обществами.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До появления этого Определения некоторые федеральные арбитражные суды придерживались противоположной точки зрения. Они считали, что организации, применяющие УСН, не должны вести бухгалтерский учет, даже если такая необходимость предусмотрена законом.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Необходимость вести бухгалтерский учет может возникнуть также в следующих случаях: </w:t>
      </w:r>
    </w:p>
    <w:p w:rsidR="0079299F" w:rsidRPr="00B07529" w:rsidRDefault="0079299F" w:rsidP="00B07529">
      <w:pPr>
        <w:numPr>
          <w:ilvl w:val="0"/>
          <w:numId w:val="1"/>
        </w:num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при выплате дивидендов для определения размера чистой прибыли и стоимости чистых активов; </w:t>
      </w:r>
    </w:p>
    <w:p w:rsidR="0079299F" w:rsidRPr="00B07529" w:rsidRDefault="0079299F" w:rsidP="00B07529">
      <w:pPr>
        <w:numPr>
          <w:ilvl w:val="0"/>
          <w:numId w:val="1"/>
        </w:num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когда необходимо определить, является ли сделка организации крупной; </w:t>
      </w:r>
    </w:p>
    <w:p w:rsidR="0079299F" w:rsidRPr="00B07529" w:rsidRDefault="0079299F" w:rsidP="00B07529">
      <w:pPr>
        <w:numPr>
          <w:ilvl w:val="0"/>
          <w:numId w:val="1"/>
        </w:num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для опубликования годового отчета и бухгалтерского баланса в случае публичного размещения облигаций и иных эмиссионных ценных бумаг; </w:t>
      </w:r>
    </w:p>
    <w:p w:rsidR="0079299F" w:rsidRPr="00B07529" w:rsidRDefault="0079299F" w:rsidP="00B07529">
      <w:pPr>
        <w:numPr>
          <w:ilvl w:val="0"/>
          <w:numId w:val="1"/>
        </w:num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когда организация совмещает УСН и ЕНВД.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Организации, применяющие УСН, не должны представлять бухгалтерскую отчетность в налоговые органы. Это следует из подпункта 5 пункта 1 статьи 23 НК РФ. В нем указано, что отчетность не сдают те организации, которые освобождены от обязанности вести бухучет в соответствии с Законом № 129-ФЗ.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Исключением из этого правила являются организации, которые совмещают УСН и ЕНВД.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Как указывают контролирующие органы, если организация применяет два специальных налоговых режима, один из которых не освобожден от ведения бухучета, то она должна представлять в налоговый орган бухгалтерскую отчетность в целом по организации. </w:t>
      </w:r>
    </w:p>
    <w:p w:rsidR="0079299F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Субъекты малого предпринимательства, которые применяют специальный налоговый режим в виде ЕНВД, составляют и представляют бухгалтерскую отчетность в обычном порядке, предусмотренном законодательством для субъектов малого предпринимательства. То есть состав и формы отчетности плательщиков ЕНВД аналогичны отчетности, представляемой при общем режиме налогообложения.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>Отчетность малых предприятий по УСН.</w:t>
      </w:r>
      <w:r w:rsidRPr="00B07529">
        <w:rPr>
          <w:b/>
          <w:bCs/>
          <w:sz w:val="28"/>
          <w:lang w:eastAsia="zh-CN"/>
        </w:rPr>
        <w:t xml:space="preserve"> </w:t>
      </w:r>
      <w:r w:rsidRPr="00B07529">
        <w:rPr>
          <w:sz w:val="28"/>
          <w:lang w:eastAsia="zh-CN"/>
        </w:rPr>
        <w:t xml:space="preserve">Налогоплательщики представляют в налоговые органы налоговые декларации по истечении налогового (отчетного) периода.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Статьей 346.23 НК РФ установлены сроки и место подачи деклараций.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Налоговые декларации по итогам отчетного периода представляются не позднее 25 календарных дней со дня окончания соответствующего отчетного периода.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Налоговые декларации по итогам налогового периода представляются налогоплательщиками-организациями не позднее 31 марта года, следующего за истекшим налоговым периодом, а налогоплательщиками - индивидуальными предпринимателями – по не позднее 30 апреля года, следующего за истекшим налоговым периодом.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То есть срок подачи декларации по итогам года для предпринимателей, по сравнению с организациями, продлен на месяц.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В статье 346.23 НК РФ установлено, что налогоплательщики-организации представляют декларации в налоговые органы по месту своего нахождения, а налогоплательщики - индивидуальные предприниматели - по месту жительства.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В соответствии с пунктом 3 статьи 346.23 НК РФ форма налоговых деклараций и порядок их заполнения утверждаются Минфином России. </w:t>
      </w:r>
    </w:p>
    <w:p w:rsidR="0079299F" w:rsidRPr="00B07529" w:rsidRDefault="0079299F" w:rsidP="00B07529">
      <w:pPr>
        <w:spacing w:after="0" w:line="360" w:lineRule="auto"/>
        <w:ind w:firstLine="567"/>
        <w:rPr>
          <w:sz w:val="28"/>
          <w:lang w:eastAsia="zh-CN"/>
        </w:rPr>
      </w:pPr>
      <w:r w:rsidRPr="00B07529">
        <w:rPr>
          <w:sz w:val="28"/>
          <w:lang w:eastAsia="zh-CN"/>
        </w:rPr>
        <w:t xml:space="preserve">Форма и Порядок заполнения налоговой декларации по единому налогу, уплачиваемому в связи с применением УСН, утверждены Приказом Минфина России от 17 января 2006 г. № 7н «Об утверждении формы налоговой декларации по налогу, уплачиваемому в связи с применением упрощенной системы налогообложения, и Порядка ее заполнения». </w:t>
      </w:r>
    </w:p>
    <w:p w:rsidR="0079299F" w:rsidRPr="00E425AA" w:rsidRDefault="0079299F" w:rsidP="00E425AA">
      <w:pPr>
        <w:spacing w:after="0" w:line="160" w:lineRule="atLeast"/>
        <w:rPr>
          <w:sz w:val="28"/>
        </w:rPr>
      </w:pPr>
    </w:p>
    <w:p w:rsidR="0079299F" w:rsidRPr="00375770" w:rsidRDefault="0079299F" w:rsidP="00375770">
      <w:pPr>
        <w:tabs>
          <w:tab w:val="left" w:pos="2268"/>
        </w:tabs>
        <w:spacing w:after="0" w:line="160" w:lineRule="atLeast"/>
        <w:ind w:firstLine="567"/>
        <w:rPr>
          <w:sz w:val="28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</w:p>
    <w:p w:rsidR="0079299F" w:rsidRPr="00631A08" w:rsidRDefault="0079299F" w:rsidP="00631A08">
      <w:pPr>
        <w:tabs>
          <w:tab w:val="left" w:pos="2268"/>
        </w:tabs>
        <w:spacing w:after="0" w:line="360" w:lineRule="auto"/>
        <w:jc w:val="center"/>
        <w:rPr>
          <w:b/>
          <w:bCs/>
          <w:sz w:val="36"/>
          <w:szCs w:val="36"/>
        </w:rPr>
      </w:pPr>
      <w:r w:rsidRPr="00631A08">
        <w:rPr>
          <w:b/>
          <w:bCs/>
          <w:sz w:val="36"/>
          <w:szCs w:val="36"/>
        </w:rPr>
        <w:t>Задача № 1.4.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3"/>
        <w:gridCol w:w="2392"/>
        <w:gridCol w:w="2393"/>
        <w:gridCol w:w="2393"/>
      </w:tblGrid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№ операции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Дебит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Кредит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Сумма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41/1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5000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900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41/2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6375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1147,5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72000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91/2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9500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900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1147,5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5000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8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6375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91/1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99/1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66100</w:t>
            </w:r>
          </w:p>
        </w:tc>
      </w:tr>
      <w:tr w:rsidR="0079299F" w:rsidRPr="00E42D64" w:rsidTr="00E42D64"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10</w:t>
            </w:r>
          </w:p>
        </w:tc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91/2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99/2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1977,5</w:t>
            </w:r>
          </w:p>
        </w:tc>
      </w:tr>
    </w:tbl>
    <w:p w:rsidR="0079299F" w:rsidRDefault="0079299F" w:rsidP="00631A08">
      <w:pPr>
        <w:spacing w:after="0" w:line="360" w:lineRule="auto"/>
        <w:rPr>
          <w:sz w:val="28"/>
        </w:rPr>
      </w:pPr>
    </w:p>
    <w:p w:rsidR="0079299F" w:rsidRPr="00631A08" w:rsidRDefault="0079299F" w:rsidP="00631A08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631A08">
        <w:rPr>
          <w:b/>
          <w:bCs/>
          <w:sz w:val="36"/>
          <w:szCs w:val="36"/>
        </w:rPr>
        <w:t>Задача № 2.1.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№ операции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Дебит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 xml:space="preserve">Кредит 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 xml:space="preserve">Сумма 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76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1800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1476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324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44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61,5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162</w:t>
            </w:r>
          </w:p>
        </w:tc>
      </w:tr>
    </w:tbl>
    <w:p w:rsidR="0079299F" w:rsidRDefault="0079299F" w:rsidP="00631A08">
      <w:pPr>
        <w:spacing w:after="0" w:line="360" w:lineRule="auto"/>
        <w:rPr>
          <w:sz w:val="28"/>
        </w:rPr>
      </w:pPr>
    </w:p>
    <w:p w:rsidR="0079299F" w:rsidRPr="00631A08" w:rsidRDefault="0079299F" w:rsidP="00631A08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631A08">
        <w:rPr>
          <w:b/>
          <w:bCs/>
          <w:sz w:val="36"/>
          <w:szCs w:val="36"/>
        </w:rPr>
        <w:t>Задача №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№ операции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Дебит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Кредит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 xml:space="preserve">Сумма 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12308,2</w:t>
            </w:r>
          </w:p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2701,8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4307,87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775,41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20093,28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4307,87</w:t>
            </w:r>
          </w:p>
        </w:tc>
      </w:tr>
    </w:tbl>
    <w:p w:rsidR="0079299F" w:rsidRDefault="0079299F" w:rsidP="00631A08">
      <w:pPr>
        <w:spacing w:after="0" w:line="360" w:lineRule="auto"/>
        <w:rPr>
          <w:sz w:val="28"/>
        </w:rPr>
      </w:pPr>
    </w:p>
    <w:p w:rsidR="0079299F" w:rsidRPr="00036747" w:rsidRDefault="0079299F" w:rsidP="00036747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036747">
        <w:rPr>
          <w:b/>
          <w:bCs/>
          <w:sz w:val="36"/>
          <w:szCs w:val="36"/>
        </w:rPr>
        <w:t>Задача № 7.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№ операции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Дебит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Кредит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 xml:space="preserve">Сумма 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62/3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156000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90/3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23796,6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34203,4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98000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23796,6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23796,6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156000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20000</w:t>
            </w:r>
          </w:p>
        </w:tc>
      </w:tr>
    </w:tbl>
    <w:p w:rsidR="0079299F" w:rsidRDefault="0079299F" w:rsidP="00631A08">
      <w:pPr>
        <w:spacing w:after="0" w:line="360" w:lineRule="auto"/>
        <w:rPr>
          <w:sz w:val="28"/>
        </w:rPr>
      </w:pPr>
    </w:p>
    <w:p w:rsidR="0079299F" w:rsidRPr="00036747" w:rsidRDefault="0079299F" w:rsidP="00036747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036747">
        <w:rPr>
          <w:b/>
          <w:bCs/>
          <w:sz w:val="36"/>
          <w:szCs w:val="36"/>
        </w:rPr>
        <w:t>Задача № 9.1.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№ операции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Дебит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Кредит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b/>
                <w:bCs/>
                <w:sz w:val="28"/>
              </w:rPr>
            </w:pPr>
            <w:r w:rsidRPr="00E42D64">
              <w:rPr>
                <w:b/>
                <w:bCs/>
                <w:sz w:val="28"/>
              </w:rPr>
              <w:t>Сумма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12200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12200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1861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1861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1700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1700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259,3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259,3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300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2800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2800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427,1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427,1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10000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1525,4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1525,4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1525,4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762,7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10000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45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5000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68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762,4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26/2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2800</w:t>
            </w:r>
          </w:p>
        </w:tc>
      </w:tr>
      <w:tr w:rsidR="0079299F" w:rsidRPr="00E42D64" w:rsidTr="00E42D64">
        <w:tc>
          <w:tcPr>
            <w:tcW w:w="2392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20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26/1</w:t>
            </w:r>
          </w:p>
        </w:tc>
        <w:tc>
          <w:tcPr>
            <w:tcW w:w="2393" w:type="dxa"/>
          </w:tcPr>
          <w:p w:rsidR="0079299F" w:rsidRPr="00E42D64" w:rsidRDefault="0079299F" w:rsidP="00E42D64">
            <w:pPr>
              <w:spacing w:after="0" w:line="360" w:lineRule="auto"/>
              <w:rPr>
                <w:sz w:val="28"/>
              </w:rPr>
            </w:pPr>
            <w:r w:rsidRPr="00E42D64">
              <w:rPr>
                <w:sz w:val="28"/>
              </w:rPr>
              <w:t>1700</w:t>
            </w:r>
          </w:p>
        </w:tc>
      </w:tr>
    </w:tbl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Default="0079299F" w:rsidP="00631A08">
      <w:pPr>
        <w:spacing w:after="0" w:line="360" w:lineRule="auto"/>
        <w:rPr>
          <w:sz w:val="28"/>
        </w:rPr>
      </w:pPr>
    </w:p>
    <w:p w:rsidR="0079299F" w:rsidRPr="004F076B" w:rsidRDefault="0079299F" w:rsidP="004F076B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4F076B">
        <w:rPr>
          <w:b/>
          <w:bCs/>
          <w:sz w:val="36"/>
          <w:szCs w:val="36"/>
        </w:rPr>
        <w:t>Список литературы.</w:t>
      </w:r>
    </w:p>
    <w:p w:rsidR="0079299F" w:rsidRDefault="0079299F" w:rsidP="004F076B">
      <w:pPr>
        <w:pStyle w:val="1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Бухгалтерское дело: учебное пособие / Под ред. д.э.н., проф. Н.Н. Хахоновой, к.э.н. И.В. Алексеевой. – М.: Издательско-торговая корпорация «Дашков и К»; Ростов н/Д: Академцентр, 2008.</w:t>
      </w:r>
    </w:p>
    <w:p w:rsidR="0079299F" w:rsidRDefault="0079299F" w:rsidP="004F076B">
      <w:pPr>
        <w:pStyle w:val="1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Финансовый учет: Учебник / под ред. В.Г, Гетьмана. – 4-е изд., перераб. и доп. – М.: Финансы и статистика; ИНФРА-М. 2008.</w:t>
      </w:r>
    </w:p>
    <w:p w:rsidR="0079299F" w:rsidRDefault="0079299F" w:rsidP="004F076B">
      <w:pPr>
        <w:pStyle w:val="1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Бухгалтерский учет: Учеб. Пособие. – 5-е изд., перераб. и доп. – М.: ИНФРА-М, 2008.</w:t>
      </w:r>
    </w:p>
    <w:p w:rsidR="0079299F" w:rsidRDefault="0079299F" w:rsidP="004F076B">
      <w:pPr>
        <w:pStyle w:val="1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Основы бухгалтерского учета и аудита. Серия «учебники Феникса». – Ростов н/Д: «Феникс», 2009.</w:t>
      </w:r>
    </w:p>
    <w:p w:rsidR="0079299F" w:rsidRDefault="0079299F" w:rsidP="004F076B">
      <w:pPr>
        <w:pStyle w:val="1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Бухгалтерский финансовый учет: учеб пособие / под общ. ред. Н.А. Лытневой. – М.: ИД «ФОРУМ»: ИНФРА-М,2009.</w:t>
      </w:r>
    </w:p>
    <w:p w:rsidR="0079299F" w:rsidRPr="004F076B" w:rsidRDefault="0079299F" w:rsidP="004F076B">
      <w:pPr>
        <w:pStyle w:val="1"/>
        <w:spacing w:after="0" w:line="360" w:lineRule="auto"/>
        <w:rPr>
          <w:sz w:val="28"/>
        </w:rPr>
      </w:pPr>
      <w:bookmarkStart w:id="0" w:name="_GoBack"/>
      <w:bookmarkEnd w:id="0"/>
    </w:p>
    <w:sectPr w:rsidR="0079299F" w:rsidRPr="004F076B" w:rsidSect="00E425AA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9F" w:rsidRDefault="0079299F" w:rsidP="00E425AA">
      <w:pPr>
        <w:spacing w:after="0" w:line="240" w:lineRule="auto"/>
      </w:pPr>
      <w:r>
        <w:separator/>
      </w:r>
    </w:p>
  </w:endnote>
  <w:endnote w:type="continuationSeparator" w:id="0">
    <w:p w:rsidR="0079299F" w:rsidRDefault="0079299F" w:rsidP="00E4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9F" w:rsidRDefault="007929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A23">
      <w:rPr>
        <w:noProof/>
      </w:rPr>
      <w:t>2</w:t>
    </w:r>
    <w:r>
      <w:fldChar w:fldCharType="end"/>
    </w:r>
  </w:p>
  <w:p w:rsidR="0079299F" w:rsidRDefault="007929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9F" w:rsidRDefault="0079299F" w:rsidP="00E425AA">
      <w:pPr>
        <w:spacing w:after="0" w:line="240" w:lineRule="auto"/>
      </w:pPr>
      <w:r>
        <w:separator/>
      </w:r>
    </w:p>
  </w:footnote>
  <w:footnote w:type="continuationSeparator" w:id="0">
    <w:p w:rsidR="0079299F" w:rsidRDefault="0079299F" w:rsidP="00E4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C356B"/>
    <w:multiLevelType w:val="hybridMultilevel"/>
    <w:tmpl w:val="BAC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554AF2"/>
    <w:multiLevelType w:val="multilevel"/>
    <w:tmpl w:val="DECE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E07FC"/>
    <w:multiLevelType w:val="hybridMultilevel"/>
    <w:tmpl w:val="8B5232CE"/>
    <w:lvl w:ilvl="0" w:tplc="6F4422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A08"/>
    <w:rsid w:val="00036747"/>
    <w:rsid w:val="000931A2"/>
    <w:rsid w:val="000A5C22"/>
    <w:rsid w:val="002D6348"/>
    <w:rsid w:val="00375770"/>
    <w:rsid w:val="00464323"/>
    <w:rsid w:val="00465A23"/>
    <w:rsid w:val="004F076B"/>
    <w:rsid w:val="005030F7"/>
    <w:rsid w:val="00631A08"/>
    <w:rsid w:val="006353E7"/>
    <w:rsid w:val="00721A44"/>
    <w:rsid w:val="0079299F"/>
    <w:rsid w:val="008A3D3A"/>
    <w:rsid w:val="008E099F"/>
    <w:rsid w:val="00923357"/>
    <w:rsid w:val="00B07529"/>
    <w:rsid w:val="00D214AE"/>
    <w:rsid w:val="00E425AA"/>
    <w:rsid w:val="00E42D64"/>
    <w:rsid w:val="00E56850"/>
    <w:rsid w:val="00F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1154-52A6-4034-95EE-5876B475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ongolian Bait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0F7"/>
    <w:pPr>
      <w:spacing w:after="200" w:line="276" w:lineRule="auto"/>
    </w:pPr>
    <w:rPr>
      <w:rFonts w:cs="Times New Roman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375770"/>
    <w:pPr>
      <w:ind w:left="720"/>
      <w:contextualSpacing/>
    </w:pPr>
  </w:style>
  <w:style w:type="paragraph" w:styleId="a4">
    <w:name w:val="header"/>
    <w:basedOn w:val="a"/>
    <w:link w:val="a5"/>
    <w:semiHidden/>
    <w:rsid w:val="00E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E425AA"/>
    <w:rPr>
      <w:rFonts w:cs="Times New Roman"/>
    </w:rPr>
  </w:style>
  <w:style w:type="paragraph" w:styleId="a6">
    <w:name w:val="footer"/>
    <w:basedOn w:val="a"/>
    <w:link w:val="a7"/>
    <w:rsid w:val="00E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E42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Лицензирование торговой деятельности</vt:lpstr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Лицензирование торговой деятельности</dc:title>
  <dc:subject/>
  <dc:creator>AAA</dc:creator>
  <cp:keywords/>
  <dc:description/>
  <cp:lastModifiedBy>Irina</cp:lastModifiedBy>
  <cp:revision>2</cp:revision>
  <dcterms:created xsi:type="dcterms:W3CDTF">2014-08-13T15:13:00Z</dcterms:created>
  <dcterms:modified xsi:type="dcterms:W3CDTF">2014-08-13T15:13:00Z</dcterms:modified>
</cp:coreProperties>
</file>