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EF6AC8">
        <w:rPr>
          <w:color w:val="000000"/>
          <w:sz w:val="28"/>
          <w:szCs w:val="36"/>
        </w:rPr>
        <w:t>Белорусский Государственный Университет</w:t>
      </w: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F6AC8">
        <w:rPr>
          <w:color w:val="000000"/>
          <w:sz w:val="28"/>
          <w:szCs w:val="36"/>
        </w:rPr>
        <w:t>Информатики и Радиоэлектроники</w:t>
      </w: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F6AC8">
        <w:rPr>
          <w:color w:val="000000"/>
          <w:sz w:val="28"/>
        </w:rPr>
        <w:t>Кафедра электронных вычислительных средств</w:t>
      </w: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808CD" w:rsidRPr="00EF6AC8" w:rsidRDefault="00B808CD" w:rsidP="003F24A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</w:p>
    <w:p w:rsidR="00B808CD" w:rsidRPr="00EF6AC8" w:rsidRDefault="00B808C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EF6AC8">
        <w:rPr>
          <w:b/>
          <w:color w:val="000000"/>
          <w:sz w:val="28"/>
          <w:szCs w:val="40"/>
        </w:rPr>
        <w:t>Контрольная работа</w:t>
      </w:r>
    </w:p>
    <w:p w:rsidR="003F24A2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B808CD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  <w:r w:rsidRPr="00EF6AC8">
        <w:rPr>
          <w:b/>
          <w:color w:val="000000"/>
          <w:sz w:val="28"/>
        </w:rPr>
        <w:t>Медицинские экспертные системы</w:t>
      </w:r>
    </w:p>
    <w:p w:rsidR="000547F8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 w:rsidRPr="00EF6AC8">
        <w:rPr>
          <w:color w:val="000000"/>
          <w:sz w:val="28"/>
        </w:rPr>
        <w:br w:type="page"/>
      </w:r>
      <w:r w:rsidRPr="00EF6AC8">
        <w:rPr>
          <w:b/>
          <w:color w:val="000000"/>
          <w:sz w:val="28"/>
          <w:szCs w:val="32"/>
        </w:rPr>
        <w:t>Содержание</w:t>
      </w:r>
    </w:p>
    <w:p w:rsidR="000547F8" w:rsidRPr="00EF6AC8" w:rsidRDefault="000547F8" w:rsidP="003F24A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32"/>
        </w:rPr>
      </w:pPr>
    </w:p>
    <w:p w:rsidR="000547F8" w:rsidRPr="00EF6AC8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1</w:t>
      </w:r>
      <w:r w:rsidR="000547F8" w:rsidRPr="00EF6AC8">
        <w:rPr>
          <w:color w:val="000000"/>
          <w:sz w:val="28"/>
          <w:szCs w:val="28"/>
        </w:rPr>
        <w:t>. Арифметические опе</w:t>
      </w:r>
      <w:r w:rsidRPr="00EF6AC8">
        <w:rPr>
          <w:color w:val="000000"/>
          <w:sz w:val="28"/>
          <w:szCs w:val="28"/>
        </w:rPr>
        <w:t>рации над нечеткими множествами</w:t>
      </w:r>
    </w:p>
    <w:p w:rsidR="000547F8" w:rsidRPr="00EF6AC8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2</w:t>
      </w:r>
      <w:r w:rsidR="000547F8" w:rsidRPr="00EF6AC8">
        <w:rPr>
          <w:color w:val="000000"/>
          <w:sz w:val="28"/>
          <w:szCs w:val="28"/>
        </w:rPr>
        <w:t>. Активационная</w:t>
      </w:r>
      <w:r w:rsidRPr="00EF6AC8">
        <w:rPr>
          <w:color w:val="000000"/>
          <w:sz w:val="28"/>
          <w:szCs w:val="28"/>
        </w:rPr>
        <w:t xml:space="preserve"> функция искусственного нейрона</w:t>
      </w:r>
    </w:p>
    <w:p w:rsidR="000547F8" w:rsidRPr="00EF6AC8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3</w:t>
      </w:r>
      <w:r w:rsidR="000547F8" w:rsidRPr="00EF6AC8">
        <w:rPr>
          <w:color w:val="000000"/>
          <w:sz w:val="28"/>
          <w:szCs w:val="28"/>
        </w:rPr>
        <w:t xml:space="preserve">. Назначение </w:t>
      </w:r>
      <w:r w:rsidRPr="00EF6AC8">
        <w:rPr>
          <w:color w:val="000000"/>
          <w:sz w:val="28"/>
          <w:szCs w:val="28"/>
        </w:rPr>
        <w:t>и особенности экспертных систем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3F24A2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br w:type="page"/>
      </w:r>
      <w:r w:rsidRPr="00EF6AC8">
        <w:rPr>
          <w:b/>
          <w:color w:val="000000"/>
          <w:sz w:val="28"/>
          <w:szCs w:val="28"/>
        </w:rPr>
        <w:t>1. Арифметические операции над нечеткими множествами</w:t>
      </w: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ОБЪЕДИНЕНИЕ: создается новое множество из элементов исходных множеств, причем для одинаковых элементов прин</w:t>
      </w:r>
      <w:r w:rsidR="006307ED" w:rsidRPr="00EF6AC8">
        <w:rPr>
          <w:color w:val="000000"/>
          <w:sz w:val="28"/>
          <w:szCs w:val="28"/>
        </w:rPr>
        <w:t>адлежность берется максимальной(критерий максимума).</w:t>
      </w:r>
    </w:p>
    <w:p w:rsidR="00F076D5" w:rsidRPr="00EF6AC8" w:rsidRDefault="00F076D5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76D5" w:rsidRPr="00EF6AC8" w:rsidRDefault="00C0370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2.5pt">
            <v:imagedata r:id="rId5" o:title=""/>
          </v:shape>
        </w:pict>
      </w:r>
    </w:p>
    <w:p w:rsidR="00F076D5" w:rsidRPr="00EF6AC8" w:rsidRDefault="00F076D5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ПЕРЕСЕЧЕНИЕ: создается новое множество из одинаковых элементов исходных множеств, принадлежно</w:t>
      </w:r>
      <w:r w:rsidR="006307ED" w:rsidRPr="00EF6AC8">
        <w:rPr>
          <w:color w:val="000000"/>
          <w:sz w:val="28"/>
          <w:szCs w:val="28"/>
        </w:rPr>
        <w:t>сть которых берется минимальной(критерий минимуима).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07ED" w:rsidRPr="00EF6AC8" w:rsidRDefault="00C0370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63.5pt;height:23.25pt">
            <v:imagedata r:id="rId6" o:title=""/>
          </v:shape>
        </w:pict>
      </w:r>
    </w:p>
    <w:p w:rsidR="006307ED" w:rsidRPr="00EF6AC8" w:rsidRDefault="006307ED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ДОПОЛНЕНИЕ: инвертируется принадлежность каждого элемента.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07ED" w:rsidRPr="00EF6AC8" w:rsidRDefault="00C0370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07.25pt;height:23.25pt">
            <v:imagedata r:id="rId7" o:title=""/>
          </v:shape>
        </w:pict>
      </w:r>
    </w:p>
    <w:p w:rsidR="006307ED" w:rsidRPr="00EF6AC8" w:rsidRDefault="006307ED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СТЕПЕНЬ: принадлежность каждого элемента возводится в степень.</w:t>
      </w: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CON - концентрация, степень=2 (уменьшает степень нечеткости)</w:t>
      </w:r>
    </w:p>
    <w:p w:rsidR="00D010C6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DIN - растяжение, степень=1/2 (увеличивает степень нечеткости)</w:t>
      </w: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РАЗНОСТЬ: новое множество состоит из одинаковых элементов исходных множеств.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  <w:lang w:val="en-US"/>
        </w:rPr>
      </w:pPr>
      <w:r w:rsidRPr="00EF6AC8">
        <w:rPr>
          <w:color w:val="000000"/>
          <w:sz w:val="28"/>
          <w:szCs w:val="28"/>
          <w:lang w:val="en-US"/>
        </w:rPr>
        <w:t>A - B = {&lt;Ma-b(x)/x&gt;}</w:t>
      </w: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  <w:lang w:val="en-US"/>
        </w:rPr>
      </w:pPr>
      <w:r w:rsidRPr="00EF6AC8">
        <w:rPr>
          <w:color w:val="000000"/>
          <w:sz w:val="28"/>
          <w:szCs w:val="28"/>
          <w:lang w:val="en-US"/>
        </w:rPr>
        <w:t xml:space="preserve">Ma-b(x) = Ma(x)-Mb(a), </w:t>
      </w:r>
      <w:r w:rsidRPr="00EF6AC8">
        <w:rPr>
          <w:color w:val="000000"/>
          <w:sz w:val="28"/>
          <w:szCs w:val="28"/>
        </w:rPr>
        <w:t>если</w:t>
      </w:r>
      <w:r w:rsidRPr="00EF6AC8">
        <w:rPr>
          <w:color w:val="000000"/>
          <w:sz w:val="28"/>
          <w:szCs w:val="28"/>
          <w:lang w:val="en-US"/>
        </w:rPr>
        <w:t xml:space="preserve"> Ma(x)&gt;Mb(x)</w:t>
      </w:r>
    </w:p>
    <w:p w:rsidR="008F2810" w:rsidRPr="00EF6AC8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НОСИТЕЛЬ: состоит из элементов исходного множества, принадлежности которых больше нуля.</w:t>
      </w: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  <w:lang w:val="en-US"/>
        </w:rPr>
      </w:pPr>
      <w:r w:rsidRPr="00EF6AC8">
        <w:rPr>
          <w:color w:val="000000"/>
          <w:sz w:val="28"/>
          <w:szCs w:val="28"/>
          <w:lang w:val="en-US"/>
        </w:rPr>
        <w:t>Supp(A) = {x|x?X /\ Ma(x)&gt;0}</w:t>
      </w:r>
    </w:p>
    <w:p w:rsidR="008F2810" w:rsidRPr="00EF6AC8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УМНОЖЕНИЕ НА ЧИСЛО: принадлежности элементов домножаются на число.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q*A = {&lt;q*Ma(x)/x&gt;}</w:t>
      </w:r>
    </w:p>
    <w:p w:rsidR="008F2810" w:rsidRPr="00EF6AC8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СУПРЕМУМ: Sup - точная верхняя грань (максимальное значение принадлежности, присутствующее в множестве).</w:t>
      </w: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НОРМАЛИЗАЦИЯ: нечеткое множество нормально если супремум множества равен единице. Для нормализации перечитывают принадлежности элементов: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  <w:lang w:val="en-US"/>
        </w:rPr>
        <w:t>M</w:t>
      </w:r>
      <w:r w:rsidRPr="00EF6AC8">
        <w:rPr>
          <w:color w:val="000000"/>
          <w:sz w:val="28"/>
          <w:szCs w:val="28"/>
        </w:rPr>
        <w:t>'</w:t>
      </w:r>
      <w:r w:rsidRPr="00EF6AC8">
        <w:rPr>
          <w:color w:val="000000"/>
          <w:sz w:val="28"/>
          <w:szCs w:val="28"/>
          <w:lang w:val="en-US"/>
        </w:rPr>
        <w:t>a</w:t>
      </w:r>
      <w:r w:rsidRPr="00EF6AC8">
        <w:rPr>
          <w:color w:val="000000"/>
          <w:sz w:val="28"/>
          <w:szCs w:val="28"/>
        </w:rPr>
        <w:t>(</w:t>
      </w:r>
      <w:r w:rsidRPr="00EF6AC8">
        <w:rPr>
          <w:color w:val="000000"/>
          <w:sz w:val="28"/>
          <w:szCs w:val="28"/>
          <w:lang w:val="en-US"/>
        </w:rPr>
        <w:t>x</w:t>
      </w:r>
      <w:r w:rsidRPr="00EF6AC8">
        <w:rPr>
          <w:color w:val="000000"/>
          <w:sz w:val="28"/>
          <w:szCs w:val="28"/>
        </w:rPr>
        <w:t xml:space="preserve">) = </w:t>
      </w:r>
      <w:r w:rsidRPr="00EF6AC8">
        <w:rPr>
          <w:color w:val="000000"/>
          <w:sz w:val="28"/>
          <w:szCs w:val="28"/>
          <w:lang w:val="en-US"/>
        </w:rPr>
        <w:t>Ma</w:t>
      </w:r>
      <w:r w:rsidRPr="00EF6AC8">
        <w:rPr>
          <w:color w:val="000000"/>
          <w:sz w:val="28"/>
          <w:szCs w:val="28"/>
        </w:rPr>
        <w:t>(</w:t>
      </w:r>
      <w:r w:rsidRPr="00EF6AC8">
        <w:rPr>
          <w:color w:val="000000"/>
          <w:sz w:val="28"/>
          <w:szCs w:val="28"/>
          <w:lang w:val="en-US"/>
        </w:rPr>
        <w:t>x</w:t>
      </w:r>
      <w:r w:rsidRPr="00EF6AC8">
        <w:rPr>
          <w:color w:val="000000"/>
          <w:sz w:val="28"/>
          <w:szCs w:val="28"/>
        </w:rPr>
        <w:t>)/(</w:t>
      </w:r>
      <w:r w:rsidRPr="00EF6AC8">
        <w:rPr>
          <w:color w:val="000000"/>
          <w:sz w:val="28"/>
          <w:szCs w:val="28"/>
          <w:lang w:val="en-US"/>
        </w:rPr>
        <w:t>Sup</w:t>
      </w:r>
      <w:r w:rsidRPr="00EF6AC8">
        <w:rPr>
          <w:color w:val="000000"/>
          <w:sz w:val="28"/>
          <w:szCs w:val="28"/>
        </w:rPr>
        <w:t xml:space="preserve"> </w:t>
      </w:r>
      <w:r w:rsidRPr="00EF6AC8">
        <w:rPr>
          <w:color w:val="000000"/>
          <w:sz w:val="28"/>
          <w:szCs w:val="28"/>
          <w:lang w:val="en-US"/>
        </w:rPr>
        <w:t>Ma</w:t>
      </w:r>
      <w:r w:rsidRPr="00EF6AC8">
        <w:rPr>
          <w:color w:val="000000"/>
          <w:sz w:val="28"/>
          <w:szCs w:val="28"/>
        </w:rPr>
        <w:t>(</w:t>
      </w:r>
      <w:r w:rsidRPr="00EF6AC8">
        <w:rPr>
          <w:color w:val="000000"/>
          <w:sz w:val="28"/>
          <w:szCs w:val="28"/>
          <w:lang w:val="en-US"/>
        </w:rPr>
        <w:t>x</w:t>
      </w:r>
      <w:r w:rsidRPr="00EF6AC8">
        <w:rPr>
          <w:color w:val="000000"/>
          <w:sz w:val="28"/>
          <w:szCs w:val="28"/>
        </w:rPr>
        <w:t>))</w:t>
      </w:r>
    </w:p>
    <w:p w:rsidR="008F2810" w:rsidRPr="00EF6AC8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АЛЬФА-СРЕЗ: множество альфа уровня - те элементы исходного множества, принадлежность которых выше или равна заданного порога. Порог, равный 1/2, называют точкой перехода.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Aq = {x|x?X /\ Ma(x)&gt;q}</w:t>
      </w:r>
    </w:p>
    <w:p w:rsidR="008F2810" w:rsidRPr="00EF6AC8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НЕЧЕТКОЕ ВКЛЮЧЕНИЕ: степень включения нечеткого множества</w:t>
      </w:r>
    </w:p>
    <w:p w:rsidR="003F24A2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  <w:lang w:val="en-US"/>
        </w:rPr>
      </w:pPr>
      <w:r w:rsidRPr="00EF6AC8">
        <w:rPr>
          <w:color w:val="000000"/>
          <w:sz w:val="28"/>
          <w:szCs w:val="28"/>
          <w:lang w:val="en-US"/>
        </w:rPr>
        <w:t>V(A1,A2) = (Ma1(x0)-&gt;Ma2(x0))&amp;(Ma1(x1)-&gt;Ma2(x1))&amp;..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010C6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По Лукасевичу: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Ma1(x)-&gt;Ma2(x) = 1&amp;(1-Ma1(x)+Ma2(x))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0C6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По Заде:</w:t>
      </w: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  <w:lang w:val="en-US"/>
        </w:rPr>
      </w:pPr>
      <w:r w:rsidRPr="00EF6AC8">
        <w:rPr>
          <w:color w:val="000000"/>
          <w:sz w:val="28"/>
          <w:szCs w:val="28"/>
          <w:lang w:val="en-US"/>
        </w:rPr>
        <w:t>Ma1(x)-&gt;Ma2(x) = (1-Ma1(x)) \/ Ma2(x)</w:t>
      </w:r>
    </w:p>
    <w:p w:rsidR="008F2810" w:rsidRPr="00EF6AC8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F24A2" w:rsidRPr="00EF6AC8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НЕЧЕТКОЕ РАВЕНСТВО: степень нечеткого равенства</w:t>
      </w:r>
    </w:p>
    <w:p w:rsidR="003F24A2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010C6" w:rsidRPr="00EF6AC8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R(A1,A2) = V(A1,A2) &amp; V(A2,A1)</w: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0734E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 w:rsidRPr="00EF6AC8">
        <w:rPr>
          <w:b/>
          <w:color w:val="000000"/>
          <w:sz w:val="28"/>
          <w:szCs w:val="32"/>
        </w:rPr>
        <w:t xml:space="preserve">2. </w:t>
      </w:r>
      <w:r w:rsidR="0060734E" w:rsidRPr="00EF6AC8">
        <w:rPr>
          <w:b/>
          <w:color w:val="000000"/>
          <w:sz w:val="28"/>
          <w:szCs w:val="32"/>
        </w:rPr>
        <w:t>Активационная</w:t>
      </w:r>
      <w:r w:rsidRPr="00EF6AC8">
        <w:rPr>
          <w:b/>
          <w:color w:val="000000"/>
          <w:sz w:val="28"/>
          <w:szCs w:val="32"/>
        </w:rPr>
        <w:t xml:space="preserve"> функция искусственного нейрона</w:t>
      </w:r>
    </w:p>
    <w:p w:rsidR="00F076D5" w:rsidRPr="00EF6AC8" w:rsidRDefault="00F076D5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F24A2" w:rsidRPr="00EF6AC8" w:rsidRDefault="00C0370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28" type="#_x0000_t75" style="width:223.5pt;height:99.75pt">
            <v:imagedata r:id="rId8" o:title=""/>
          </v:shape>
        </w:pic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Искусственный нейрон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Искусственный нейрон имитирует свойства биологического нейрона. На вход искусственного нейрона поступает некоторое множество сигналов, каждый из которых является выходом другого нейрона. Каждый вход умножается на соответствующий вес</w:t>
      </w:r>
      <w:r w:rsidR="00250C13" w:rsidRPr="00EF6AC8">
        <w:rPr>
          <w:color w:val="000000"/>
          <w:sz w:val="28"/>
          <w:szCs w:val="28"/>
        </w:rPr>
        <w:t>овой коэфициент</w:t>
      </w:r>
      <w:r w:rsidRPr="00EF6AC8">
        <w:rPr>
          <w:color w:val="000000"/>
          <w:sz w:val="28"/>
          <w:szCs w:val="28"/>
        </w:rPr>
        <w:t xml:space="preserve">, аналогичный синаптической силе, и все произведения суммируются, определяя уровень активации нейрона. На рис. 1.2 представлена модель, реализующая эту идею. Хотя сетевые парадигмы весьма разнообразны, в основе почти всех их лежит эта конфигурация. Здесь множество входных сигналов, обозначенных x1, x2,:, xn, поступает на искусственный нейрон. Эти входные сигналы, в совокупности, обозначаемые вектором X, соответствуют сигналам, приходящим в синапсы биологического нейрона. Каждый сигнал умножается на соответствующий весовой коэфициент w1, w2,..., wn, и поступает на суммирующий блок, обозначенный </w:t>
      </w:r>
      <w:r w:rsidR="00CA66EE" w:rsidRPr="00EF6AC8">
        <w:rPr>
          <w:color w:val="000000"/>
          <w:sz w:val="28"/>
          <w:szCs w:val="28"/>
        </w:rPr>
        <w:t>∑. Каждый коэфициент</w:t>
      </w:r>
      <w:r w:rsidRPr="00EF6AC8">
        <w:rPr>
          <w:color w:val="000000"/>
          <w:sz w:val="28"/>
          <w:szCs w:val="28"/>
        </w:rPr>
        <w:t xml:space="preserve"> соответствует "силе" одной биологической синап</w:t>
      </w:r>
      <w:r w:rsidR="00CA66EE" w:rsidRPr="00EF6AC8">
        <w:rPr>
          <w:color w:val="000000"/>
          <w:sz w:val="28"/>
          <w:szCs w:val="28"/>
        </w:rPr>
        <w:t>тической связи. (Множество коэфициентов</w:t>
      </w:r>
      <w:r w:rsidRPr="00EF6AC8">
        <w:rPr>
          <w:color w:val="000000"/>
          <w:sz w:val="28"/>
          <w:szCs w:val="28"/>
        </w:rPr>
        <w:t xml:space="preserve"> в совокупности обозначается вектором W.) Суммирующий блок, соответствующий телу биологического элемента, складывает взвешенные входы алгебраически, создавая выход, который мы будем называть NET. В векторных обозначениях это может быть компактно записано следующим образом: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1CF" w:rsidRPr="00EF6AC8" w:rsidRDefault="003231CF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NET = XW.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Активационные функции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231CF" w:rsidRPr="00EF6AC8" w:rsidRDefault="00C0370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29" type="#_x0000_t75" style="width:440.25pt;height:138.75pt">
            <v:imagedata r:id="rId9" o:title=""/>
          </v:shape>
        </w:pic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Сигнал NET далее, как правило, преобразуется активационной функцией F и дает выходной нейронный сигнал OUT. Активационная функция может быть обычной линейной функцией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1CF" w:rsidRPr="00EF6AC8" w:rsidRDefault="003231CF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OUT = K(NET),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где К - постоянная, пороговой функции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OUT = 1, если NET &gt; T,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OUT = 0 в остальных случаях,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где Т - некоторая постоянная пороговая величина, или же является функцией, более точно моделирующей нелинейную передаточную характеристику биологического нейрона и представляющей нейронной сети большие возможности.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Если функция F сужает диапазон изменения величины NET так, что при любых значениях NET значения OUT принадлежат некоторому конечному интервалу, то F называется "сжимающей" функцией. В качестве "сжимающей" функции часто используется логистическая или "сигмоидальная" (S-образная) функция. Эта функция математически выражается как F(x) = 1/(1 + е-x). Таким образом,</w:t>
      </w: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1CF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OUT=1/(1+e-NET)</w:t>
      </w:r>
    </w:p>
    <w:p w:rsidR="003231CF" w:rsidRPr="00EF6AC8" w:rsidRDefault="00C0370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30" type="#_x0000_t75" style="width:440.25pt;height:150pt">
            <v:imagedata r:id="rId10" o:title=""/>
          </v:shape>
        </w:pic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40F1" w:rsidRPr="00EF6AC8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По аналогии с электронными системами активационную функцию можно считать нелинейной усилительной характеристикой искусственного нейрона. Коэффициент усиления вычисляется как отношение приращения величины OUT к вызвавшему его небольшому приращению величины NET. Он выражается наклоном кривой при определенном уровне возбуждения и изменяется от малых значений при больших отрицательных возбуждениях (кривая почти горизонтальна) до максимального значения при нулевом возбуждении и снова уменьшается, когда возбуждение становится большим положительным. Гроссберг (1973) обнаружил, что подобная нелинейная характеристика решает поставленную им дилемму шумового насыщения. Каким образом одна и та же сеть может обрабатывать как слабые, так и сильные сигналы? Слабые сигналы нуждаются в большом сетевом усилении, чтобы дать пригодный к использованию выходной сигнал. Однако усилительные каскады с большими коэффициентами усиления могут привести к насыщению выхода шумами усилителей (случайными флуктуациями), которые присутствуют в любой физически реализованной сети. Сильные входные сигналы в свою очередь также будут приводить к насыщению усилительных каскадов, исключая возможность полезного использования выхода. Центральная область логистической функции, имеющая большой коэффициент усиления, решает проблему обработки слабых сигналов, в то время как области с падающим усилением на положительном и отрицательном концах подходят для больших возбуждений. Таким образом, нейрон функционирует с большим усилением в широком диапазоне уровня входного сигнала.</w:t>
      </w:r>
    </w:p>
    <w:p w:rsidR="00F076D5" w:rsidRPr="00EF6AC8" w:rsidRDefault="008340F1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Другой широко используемой активационной функцией является гиперболический тангенс. По форме она сходна с логистической функцией и часто используется биологами в качестве математической модели активации нервной клетки.</w:t>
      </w:r>
    </w:p>
    <w:p w:rsidR="008340F1" w:rsidRPr="00EF6AC8" w:rsidRDefault="008340F1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В качестве активационной функции искусственной нейронной сети она записывается следующим образом: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40F1" w:rsidRPr="00EF6AC8" w:rsidRDefault="008340F1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OUT = th(x).</w:t>
      </w:r>
    </w:p>
    <w:p w:rsidR="00CA66EE" w:rsidRPr="00EF6AC8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40F1" w:rsidRPr="00EF6AC8" w:rsidRDefault="008340F1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Подобно логистической функции гиперболический тангенс является S-образной функцией, но он симметричен относительно начала координат, и в точке NET = 0 значение выходного сигнала OUT равно нулю. В отличие от логистической функции гиперболический тангенс принимает значения различных знаков, что оказ</w:t>
      </w:r>
      <w:r w:rsidR="003231CF" w:rsidRPr="00EF6AC8">
        <w:rPr>
          <w:color w:val="000000"/>
          <w:sz w:val="28"/>
          <w:szCs w:val="28"/>
        </w:rPr>
        <w:t>ывается выгодным для ряда сетей.</w:t>
      </w:r>
    </w:p>
    <w:p w:rsidR="00CA66EE" w:rsidRPr="00EF6AC8" w:rsidRDefault="00787C97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</w:rPr>
      </w:pPr>
      <w:r w:rsidRPr="00EF6AC8">
        <w:rPr>
          <w:color w:val="000000"/>
          <w:sz w:val="28"/>
          <w:szCs w:val="28"/>
        </w:rPr>
        <w:br w:type="page"/>
      </w:r>
      <w:r w:rsidR="00C0370D">
        <w:rPr>
          <w:b/>
          <w:color w:val="000000"/>
          <w:sz w:val="28"/>
          <w:szCs w:val="28"/>
        </w:rPr>
        <w:pict>
          <v:shape id="_x0000_i1031" type="#_x0000_t75" style="width:440.25pt;height:184.5pt">
            <v:imagedata r:id="rId11" o:title=""/>
          </v:shape>
        </w:pic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A66EE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 w:rsidRPr="00EF6AC8">
        <w:rPr>
          <w:b/>
          <w:color w:val="000000"/>
          <w:sz w:val="28"/>
          <w:szCs w:val="32"/>
        </w:rPr>
        <w:t xml:space="preserve">3. </w:t>
      </w:r>
      <w:r w:rsidR="0060734E" w:rsidRPr="00EF6AC8">
        <w:rPr>
          <w:b/>
          <w:color w:val="000000"/>
          <w:sz w:val="28"/>
          <w:szCs w:val="32"/>
        </w:rPr>
        <w:t>Назначение и особенности экспертных систем</w: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6EE" w:rsidRPr="00EF6AC8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Экспертная система (ЭС) — компьютерная программа, способная заменить специалиста-эксперта в разрешении проблемной ситуации. ЭС начали разрабатываться исследователями искусственного интеллекта в 1970-х годах, а в 1980-х получили коммерческое подкрепление.</w:t>
      </w:r>
    </w:p>
    <w:p w:rsidR="00CA66EE" w:rsidRPr="00EF6AC8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В информатике экспертные системы рассматриваются совместно с базами знаний как модели поведения экспертов в определенной области знаний с использованием процедур логического вывода и принятия решений, а базы знаний — как совокупность фактов и правил логического вывода в выбранной предметной области деятельности.</w:t>
      </w:r>
    </w:p>
    <w:p w:rsidR="00CA66EE" w:rsidRPr="00EF6AC8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Другие подобные программы — поисковые или справочные (энциклопедические) системы. По запросу пользователя они предоставляют наиболее подходящие (релевантные) разделы базы статей.</w:t>
      </w:r>
    </w:p>
    <w:p w:rsidR="00687416" w:rsidRPr="00EF6AC8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ЭС может функционировать в 2-х режимах.</w:t>
      </w:r>
    </w:p>
    <w:p w:rsidR="00687416" w:rsidRPr="00EF6AC8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Режим ввода знаний — в этом режиме эксперт с помощью инженера по знаниям посредством редактора базы знаний вводит известные ему сведения о предметной области в базу знаний ЭС.</w:t>
      </w:r>
    </w:p>
    <w:p w:rsidR="00687416" w:rsidRPr="00EF6AC8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Режим консультации — пользователь ведет диалог с ЭС, сообщая ей сведения о текущей задаче и получая рекомендации ЭС. Например, на основе сведений о физическом состоянии больного ЭС ставит диагноз в виде перечня заболеваний, наиболее вероятных при данных симптомах.</w:t>
      </w:r>
    </w:p>
    <w:p w:rsidR="00687416" w:rsidRPr="00EF6AC8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ЭС предназначены для так называемых неформализованных задач, т.е. ЭС не отвергают и не заменяют традиционного подхода к разработке программ, ориентированного на решение формализованных задач. Экспертные системы и системы искусственного интеллекта отличаются от систем обработки данных тем, что в них в основном используются символьный (а не числовой) способ представления, символьный вывод и эвристический поиск решения (а не исполнение известного алгоритма).</w:t>
      </w:r>
      <w:r w:rsidR="0060734E" w:rsidRPr="00EF6AC8">
        <w:rPr>
          <w:color w:val="000000"/>
          <w:sz w:val="28"/>
          <w:szCs w:val="28"/>
        </w:rPr>
        <w:t xml:space="preserve"> Назначение экспертных систем заключается в решении достаточно трудных для экспертов задач на основе накапливаемой базы знаний, отражающей опыт работы экспертов в рассматриваемой проблемной области. Достоинство применения экспертных систем заключается в возможности принятия решений в уникальных ситуациях, для которых алгоритм заранее не известен и формируется по исходным данным в виде цепочки рассуждений (правил принятия решений) из базы знаний. Причем решение задач предполагается осуществлять в условиях неполноты, недостоверности, многозначности исходной информации и качественных оценок процессов.</w:t>
      </w:r>
    </w:p>
    <w:p w:rsidR="00687416" w:rsidRPr="00EF6AC8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Экспертные системы применяются для решения только трудных практических задач. По качеству и эффективности решения экспертные системы не уступают решениям эксперта-человека. Решения экспертных систем обладают "прозрачностью", т.е. могут быть объяснены пользователю на качественном уровне. Это качество экспертных систем обеспечивается их способностью рассуждать о своих знаниях и умозаключениях. Экспертные системы способны пополнять свои знания в ходе взаимодействия с экспертом. Необходимо отметить, что в настоящее время технология экспертных систем используется для решения различных типов задач (интерпретация, предсказание, диагностика, планирование, конструирование, контроль, отладка, инструктаж, управление ) в самых разнообразных проблемных областях, таких, как финансы, нефтяная и газовая промышленность, энергетика, транспорт, фармацевтическое производство, космос, металлургия, горное дело, химия, образование, целлюлозно-бумажная промышленность, телекоммуникации и связь и др.</w:t>
      </w:r>
    </w:p>
    <w:p w:rsidR="0060734E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EF6AC8">
        <w:rPr>
          <w:b/>
          <w:color w:val="000000"/>
          <w:sz w:val="28"/>
          <w:szCs w:val="28"/>
        </w:rPr>
        <w:t>Особенности экспертных систем</w: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1.</w:t>
      </w:r>
      <w:r w:rsidR="003F24A2" w:rsidRPr="00EF6AC8">
        <w:rPr>
          <w:color w:val="000000"/>
          <w:sz w:val="28"/>
          <w:szCs w:val="28"/>
        </w:rPr>
        <w:t xml:space="preserve"> </w:t>
      </w:r>
      <w:r w:rsidRPr="00EF6AC8">
        <w:rPr>
          <w:color w:val="000000"/>
          <w:sz w:val="28"/>
          <w:szCs w:val="28"/>
        </w:rPr>
        <w:t>ЭС ограничена определенной предметной областью.</w: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2.</w:t>
      </w:r>
      <w:r w:rsidR="003F24A2" w:rsidRPr="00EF6AC8">
        <w:rPr>
          <w:color w:val="000000"/>
          <w:sz w:val="28"/>
          <w:szCs w:val="28"/>
        </w:rPr>
        <w:t xml:space="preserve"> </w:t>
      </w:r>
      <w:r w:rsidRPr="00EF6AC8">
        <w:rPr>
          <w:color w:val="000000"/>
          <w:sz w:val="28"/>
          <w:szCs w:val="28"/>
        </w:rPr>
        <w:t>ЭС способна рассуждать при сомнительных исходных данных.</w: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3.</w:t>
      </w:r>
      <w:r w:rsidR="003F24A2" w:rsidRPr="00EF6AC8">
        <w:rPr>
          <w:color w:val="000000"/>
          <w:sz w:val="28"/>
          <w:szCs w:val="28"/>
        </w:rPr>
        <w:t xml:space="preserve"> </w:t>
      </w:r>
      <w:r w:rsidRPr="00EF6AC8">
        <w:rPr>
          <w:color w:val="000000"/>
          <w:sz w:val="28"/>
          <w:szCs w:val="28"/>
        </w:rPr>
        <w:t>ЭС способна объяснить цепочку сделанных ею рассуждений.</w: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4.</w:t>
      </w:r>
      <w:r w:rsidR="003F24A2" w:rsidRPr="00EF6AC8">
        <w:rPr>
          <w:color w:val="000000"/>
          <w:sz w:val="28"/>
          <w:szCs w:val="28"/>
        </w:rPr>
        <w:t xml:space="preserve"> </w:t>
      </w:r>
      <w:r w:rsidRPr="00EF6AC8">
        <w:rPr>
          <w:color w:val="000000"/>
          <w:sz w:val="28"/>
          <w:szCs w:val="28"/>
        </w:rPr>
        <w:t>Факты и механизм (программа) формирования выводов четко отделены друг от друга.</w:t>
      </w:r>
    </w:p>
    <w:p w:rsidR="003F24A2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5.</w:t>
      </w:r>
      <w:r w:rsidR="003F24A2" w:rsidRPr="00EF6AC8">
        <w:rPr>
          <w:color w:val="000000"/>
          <w:sz w:val="28"/>
          <w:szCs w:val="28"/>
        </w:rPr>
        <w:t xml:space="preserve"> </w:t>
      </w:r>
      <w:r w:rsidRPr="00EF6AC8">
        <w:rPr>
          <w:color w:val="000000"/>
          <w:sz w:val="28"/>
          <w:szCs w:val="28"/>
        </w:rPr>
        <w:t>ЭС строится так, чтобы имелась возможность постепенного ее наращивания (расширения) и модернизации.</w:t>
      </w:r>
    </w:p>
    <w:p w:rsidR="0060734E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6.</w:t>
      </w:r>
      <w:r w:rsidR="003F24A2" w:rsidRPr="00EF6AC8">
        <w:rPr>
          <w:color w:val="000000"/>
          <w:sz w:val="28"/>
          <w:szCs w:val="28"/>
        </w:rPr>
        <w:t xml:space="preserve"> </w:t>
      </w:r>
      <w:r w:rsidRPr="00EF6AC8">
        <w:rPr>
          <w:color w:val="000000"/>
          <w:sz w:val="28"/>
          <w:szCs w:val="28"/>
        </w:rPr>
        <w:t>В результате работы ЭС формируется диагноз, рекомендация, совет, как нужно поступать в конкретной ситуации, или предположение о том, что произошло с исследуемым объектом.</w:t>
      </w:r>
    </w:p>
    <w:p w:rsidR="00687416" w:rsidRPr="00EF6AC8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t>Экспертные системы имитируют процессы принятия решения людьми-экспертами, и в состоянии компетентно решать сложные проблемы.</w:t>
      </w:r>
    </w:p>
    <w:p w:rsidR="000547F8" w:rsidRPr="00EF6AC8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EF6AC8">
        <w:rPr>
          <w:color w:val="000000"/>
          <w:sz w:val="28"/>
          <w:szCs w:val="28"/>
        </w:rPr>
        <w:br w:type="page"/>
      </w:r>
      <w:r w:rsidR="000547F8" w:rsidRPr="00EF6AC8">
        <w:rPr>
          <w:b/>
          <w:color w:val="000000"/>
          <w:sz w:val="28"/>
          <w:szCs w:val="28"/>
        </w:rPr>
        <w:t>Список использованной литературы</w:t>
      </w:r>
    </w:p>
    <w:p w:rsidR="003F24A2" w:rsidRPr="00EF6AC8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24A2" w:rsidRPr="00EF6AC8" w:rsidRDefault="00250C13" w:rsidP="003F24A2">
      <w:pPr>
        <w:pStyle w:val="Default"/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 w:rsidRPr="00EF6AC8">
        <w:rPr>
          <w:sz w:val="28"/>
          <w:szCs w:val="28"/>
        </w:rPr>
        <w:t>1.</w:t>
      </w:r>
      <w:r w:rsidR="000547F8" w:rsidRPr="00EF6AC8">
        <w:rPr>
          <w:sz w:val="28"/>
          <w:szCs w:val="28"/>
        </w:rPr>
        <w:t>Пивкин В.Я. и др., Нечеткие множества в системах управления, Учебное пособие.Томск: Томский гос. университет</w:t>
      </w:r>
      <w:r w:rsidRPr="00EF6AC8">
        <w:rPr>
          <w:sz w:val="28"/>
          <w:szCs w:val="28"/>
        </w:rPr>
        <w:t>, 2001.</w:t>
      </w:r>
    </w:p>
    <w:p w:rsidR="003F24A2" w:rsidRPr="00EF6AC8" w:rsidRDefault="000547F8" w:rsidP="003F24A2">
      <w:pPr>
        <w:pStyle w:val="Default"/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 w:rsidRPr="00EF6AC8">
        <w:rPr>
          <w:sz w:val="28"/>
          <w:szCs w:val="28"/>
        </w:rPr>
        <w:t>2.</w:t>
      </w:r>
      <w:r w:rsidR="003F24A2" w:rsidRPr="00EF6AC8">
        <w:rPr>
          <w:sz w:val="28"/>
          <w:szCs w:val="28"/>
        </w:rPr>
        <w:t xml:space="preserve"> </w:t>
      </w:r>
      <w:r w:rsidRPr="00EF6AC8">
        <w:rPr>
          <w:sz w:val="28"/>
          <w:szCs w:val="28"/>
        </w:rPr>
        <w:t>Яхъяева Г.Э Нечеткие множества и нейронные сети: Уч. пособие для вузов,М.: Мир, 2006.</w:t>
      </w:r>
    </w:p>
    <w:p w:rsidR="003F24A2" w:rsidRPr="00EF6AC8" w:rsidRDefault="00250C13" w:rsidP="003F24A2">
      <w:pPr>
        <w:pStyle w:val="Default"/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 w:rsidRPr="00EF6AC8">
        <w:rPr>
          <w:sz w:val="28"/>
          <w:szCs w:val="28"/>
        </w:rPr>
        <w:t>3.</w:t>
      </w:r>
      <w:r w:rsidR="003F24A2" w:rsidRPr="00EF6AC8">
        <w:rPr>
          <w:sz w:val="28"/>
          <w:szCs w:val="28"/>
        </w:rPr>
        <w:t xml:space="preserve"> </w:t>
      </w:r>
      <w:r w:rsidRPr="00EF6AC8">
        <w:rPr>
          <w:sz w:val="28"/>
          <w:szCs w:val="28"/>
        </w:rPr>
        <w:t>Попов Э.В. и др. Статические и динамические экспертные системы.М.: Финансы и статистика, 1996.</w:t>
      </w:r>
      <w:bookmarkStart w:id="0" w:name="_GoBack"/>
      <w:bookmarkEnd w:id="0"/>
    </w:p>
    <w:sectPr w:rsidR="003F24A2" w:rsidRPr="00EF6AC8" w:rsidSect="003F24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A464C1"/>
    <w:multiLevelType w:val="hybridMultilevel"/>
    <w:tmpl w:val="85435E8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03FBC4E"/>
    <w:multiLevelType w:val="hybridMultilevel"/>
    <w:tmpl w:val="5804DD3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01BD90"/>
    <w:multiLevelType w:val="hybridMultilevel"/>
    <w:tmpl w:val="C1BC3D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E8C1ACC"/>
    <w:multiLevelType w:val="hybridMultilevel"/>
    <w:tmpl w:val="94F85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0C6"/>
    <w:rsid w:val="000547F8"/>
    <w:rsid w:val="000666D5"/>
    <w:rsid w:val="00250C13"/>
    <w:rsid w:val="003231CF"/>
    <w:rsid w:val="003671D8"/>
    <w:rsid w:val="0038012C"/>
    <w:rsid w:val="003F24A2"/>
    <w:rsid w:val="0060734E"/>
    <w:rsid w:val="006307ED"/>
    <w:rsid w:val="00687416"/>
    <w:rsid w:val="00787C97"/>
    <w:rsid w:val="008340F1"/>
    <w:rsid w:val="008F2810"/>
    <w:rsid w:val="00930337"/>
    <w:rsid w:val="00B808CD"/>
    <w:rsid w:val="00C0370D"/>
    <w:rsid w:val="00C11E44"/>
    <w:rsid w:val="00CA66EE"/>
    <w:rsid w:val="00D010C6"/>
    <w:rsid w:val="00D839B9"/>
    <w:rsid w:val="00E4474F"/>
    <w:rsid w:val="00EE1A16"/>
    <w:rsid w:val="00EF6AC8"/>
    <w:rsid w:val="00F076D5"/>
    <w:rsid w:val="00F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BBF20D7-1D4F-4BCF-83E1-B12C6BBB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7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операции над нечеткими множествами</vt:lpstr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операции над нечеткими множествами</dc:title>
  <dc:subject/>
  <dc:creator>Саша</dc:creator>
  <cp:keywords/>
  <dc:description/>
  <cp:lastModifiedBy>admin</cp:lastModifiedBy>
  <cp:revision>2</cp:revision>
  <dcterms:created xsi:type="dcterms:W3CDTF">2014-02-25T02:55:00Z</dcterms:created>
  <dcterms:modified xsi:type="dcterms:W3CDTF">2014-02-25T02:55:00Z</dcterms:modified>
</cp:coreProperties>
</file>