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t>Контрольная работа</w:t>
      </w: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t>Тема: Международные финансы</w:t>
      </w:r>
    </w:p>
    <w:p w:rsidR="00123A2F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3E4081" w:rsidRPr="00BC203D" w:rsidRDefault="00123A2F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br w:type="page"/>
      </w:r>
      <w:r w:rsidR="00AC1256" w:rsidRPr="00BC203D">
        <w:rPr>
          <w:b/>
          <w:color w:val="000000"/>
          <w:sz w:val="28"/>
          <w:szCs w:val="28"/>
        </w:rPr>
        <w:lastRenderedPageBreak/>
        <w:t>СОДЕРЖАНИЕ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D06224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ВВЕДЕНИЕ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1</w:t>
      </w:r>
      <w:r w:rsidR="00D95666" w:rsidRPr="00BC203D">
        <w:rPr>
          <w:color w:val="000000"/>
          <w:sz w:val="28"/>
          <w:szCs w:val="28"/>
        </w:rPr>
        <w:t xml:space="preserve"> </w:t>
      </w:r>
      <w:r w:rsidR="00516359" w:rsidRPr="00BC203D">
        <w:rPr>
          <w:color w:val="000000"/>
          <w:sz w:val="28"/>
          <w:szCs w:val="28"/>
        </w:rPr>
        <w:t>Международная валютно-кредитная система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2</w:t>
      </w:r>
      <w:r w:rsidR="00D95666" w:rsidRPr="00BC203D">
        <w:rPr>
          <w:color w:val="000000"/>
          <w:sz w:val="28"/>
          <w:szCs w:val="28"/>
        </w:rPr>
        <w:t xml:space="preserve"> </w:t>
      </w:r>
      <w:r w:rsidR="00516359" w:rsidRPr="00BC203D">
        <w:rPr>
          <w:color w:val="000000"/>
          <w:sz w:val="28"/>
          <w:szCs w:val="28"/>
        </w:rPr>
        <w:t>Международные источники финансирования</w:t>
      </w:r>
    </w:p>
    <w:p w:rsidR="00D06224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left"/>
        <w:rPr>
          <w:bCs/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3</w:t>
      </w:r>
      <w:r w:rsidR="008774F9" w:rsidRPr="00BC203D">
        <w:rPr>
          <w:color w:val="000000"/>
          <w:sz w:val="28"/>
          <w:szCs w:val="28"/>
        </w:rPr>
        <w:t xml:space="preserve"> </w:t>
      </w:r>
      <w:r w:rsidR="00516359" w:rsidRPr="00BC203D">
        <w:rPr>
          <w:bCs/>
          <w:color w:val="000000"/>
          <w:sz w:val="28"/>
          <w:szCs w:val="28"/>
        </w:rPr>
        <w:t>Отчетность в системе международных источников финансовой информации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ЗАКЛЮЧЕНИЕ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СПИСОК ИСПОЛЬЗОВАННОЙ ЛИТЕРАТУРЫ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lef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ПРАКТИЧЕСКАЯ ЧАСТЬ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Pr="00BC203D">
        <w:rPr>
          <w:b/>
          <w:color w:val="000000"/>
          <w:sz w:val="28"/>
          <w:szCs w:val="28"/>
        </w:rPr>
        <w:t>ВВЕДЕНИЕ</w:t>
      </w:r>
    </w:p>
    <w:p w:rsidR="00516359" w:rsidRPr="00BC203D" w:rsidRDefault="0051635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0C35BB" w:rsidRPr="00BC203D" w:rsidRDefault="000C35BB" w:rsidP="00BC203D">
      <w:pPr>
        <w:pStyle w:val="a8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Несмотря на то, что методы управления финансами в крупной компании в международном контексте достаточно универсальны, национальные особенности в организации и ведении бизнеса безусловно оказывают определенное, а порой и существенное влияние на их содержание. Знание этих особенностей имеет особую значимость для транснациональных корпораций и совместных предприятий, вместе с тем некоторые из них представляют интерес для любых специалистов в области управления, учета, финансов, поскольку многие предприятия, хотя и по разным причинам, обычно заинтересованы в выходе на международную арену. Мотивация организации международных бизнес-контактов может быть различной </w:t>
      </w:r>
      <w:r w:rsidR="0051635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выход на новые рынки сбыта продукции, поиск более дешевой рабочей силы, потребность в дополнительном финансировании, открытие дополнительных производств, диверсификация финансово-хозяйственной деятельности и т.п. Безусловно, развитие международных экономических связей в известной степени координируется и стимулируется государственными органами, вместе с тем и частный капитал играет в этом процессе далеко не последнюю роль.</w:t>
      </w:r>
    </w:p>
    <w:p w:rsidR="000C35BB" w:rsidRPr="00BC203D" w:rsidRDefault="000C35BB" w:rsidP="00BC203D">
      <w:pPr>
        <w:pStyle w:val="a8"/>
        <w:shd w:val="clear" w:color="000000" w:fill="FFFFFF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Международный рынок капитала существует с незапамятных времен, однако особенно бурное развитие он получил в связи с появлением транснациональных корпораций (ТНК). Первые ТНК организованы более сорока лет назад и сегодня они представляют собой серьезную мировую экономическую силу. Были времена, когда для организации международной экономической деятельности приходилось перемещать из страны в страну средства производства, рабочую силу, материальные и финансовые ресурсы. С появлением международного рынка капитала нужда в этом практически отпала. Транснациональные и национальные корпорации могут получить необходимые ресурсы с помощью международных валютно-кредитных организаций, крупных банков, фондовых бирж, эффективность деятельности которых чрезвычайно высока.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Pr="00BC203D">
        <w:rPr>
          <w:b/>
          <w:color w:val="000000"/>
          <w:sz w:val="28"/>
          <w:szCs w:val="28"/>
        </w:rPr>
        <w:t>1</w:t>
      </w:r>
      <w:r w:rsidR="005732E5" w:rsidRPr="00BC203D">
        <w:rPr>
          <w:b/>
          <w:color w:val="000000"/>
          <w:sz w:val="28"/>
          <w:szCs w:val="28"/>
        </w:rPr>
        <w:t xml:space="preserve"> </w:t>
      </w:r>
      <w:r w:rsidR="00516359" w:rsidRPr="00BC203D">
        <w:rPr>
          <w:b/>
          <w:color w:val="000000"/>
          <w:sz w:val="28"/>
          <w:szCs w:val="28"/>
        </w:rPr>
        <w:t>Международная валютно-кредитная система</w:t>
      </w:r>
    </w:p>
    <w:p w:rsidR="005732E5" w:rsidRPr="00BC203D" w:rsidRDefault="005732E5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516359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Международная валютно-кредитная система представляет собой набор законов и правил, регулирующих деятельность центральных эмиссионных банков на внешних валютных рынках.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 XIX </w:t>
      </w:r>
      <w:r w:rsidR="0051635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начале XX веков центральным элементом системы было золото.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Эра золотого стандарта началась в 1821 г., когда Великобритания объявила о конвертируемости фунта стерлингов в золото. Вскоре то же самое сделали США с долларом.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Таким образом, любая компания, осуществляющая международные операции, в зависимости от обменных курсов и локальных цен на золото могла покупать валюту либо непосредственно, либо путем промежуточной покупки и продажи золота.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Использование золотого стандарта </w:t>
      </w:r>
      <w:r w:rsidR="0051635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достаточно приемлемая схема в относительно стабильной экономической ситуации, однако она сразу же дает сбои в случае крупных международных потрясений. Таким потрясением была первая мировая война.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Практика дополнительной эмиссии денег для финансирования военных расходов с одновременным поддержанием конвертируемости своей валюты в золото с необходимостью приводила к оттоку золотого запаса за рубеж. Поэтому большинство стран отказалось от практики золотого стандарта.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1914 г. в местечке Бреттон-Вудс (США) 44 страны заключили соглашение о новой международной валютно-кредитной системе и основали Международный валютный фонд для управления ею.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Суть системы состояла в том, что паритетные обменные курсы валют устанавливались в долларах США, при этом доллар обменивался на золото по фиксированной цене 35 долл. за одну тройскую унцию.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Каждый из участников подписанных соглашений брал на себя обязательство осуществлять валютную интервенцию как необходимое средство обеспечения фиксированного обменного курса валюты своей страны относительно доллара США.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начале 1973 г. острейший кризис затронул доллар США; это привело к отходу от Бреттон-Вудсской системы и замене ее системой «плавающих» обменных курсов валют.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 конце 50-х </w:t>
      </w:r>
      <w:r w:rsidR="0051635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начале 60-х годов начал формироваться международный финансовый рынок, называемый также евровалютным рынком.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Его основными составными частями являются денежный рынок, рынок кредитов и рынок ценных бумаг.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Интересно отметить, что в числе основных причин его создания западные эксперты называют желание ряда европейских стран, включая СССР, обойти ограничения в валютных операциях, установленных США в рамках «холодной войны».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Также существенную роль в его становлении сыграла практика создания офшорных зон, в которых ведение валютных операций осуществляется в специальном льготном режиме.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 концу 80-х годов объем еврорынка оценивался более чем в 2,5 трлн. долл.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t>2</w:t>
      </w:r>
      <w:r w:rsidR="005732E5" w:rsidRPr="00BC203D">
        <w:rPr>
          <w:b/>
          <w:color w:val="000000"/>
          <w:sz w:val="28"/>
          <w:szCs w:val="28"/>
        </w:rPr>
        <w:t xml:space="preserve"> </w:t>
      </w:r>
      <w:r w:rsidR="00516359" w:rsidRPr="00BC203D">
        <w:rPr>
          <w:b/>
          <w:color w:val="000000"/>
          <w:sz w:val="28"/>
          <w:szCs w:val="28"/>
        </w:rPr>
        <w:t>Международные источники финансирования</w:t>
      </w:r>
    </w:p>
    <w:p w:rsidR="00516359" w:rsidRPr="00BC203D" w:rsidRDefault="00516359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16"/>
        </w:rPr>
      </w:pP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Основными способами получения иностранных долгосрочных инвестиций являются: прямое валютное инвестирование, создание совместных предприятий, эмиссия евроакций и еврооблигаций, открытие кредитной линии, процентные и валютные свопы, опционы.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iCs/>
          <w:color w:val="000000"/>
          <w:sz w:val="28"/>
          <w:szCs w:val="28"/>
        </w:rPr>
        <w:t>Прямое валютное инвестирование (Foreign Direct Investment)</w:t>
      </w:r>
      <w:r w:rsidRPr="00BC203D">
        <w:rPr>
          <w:color w:val="000000"/>
          <w:sz w:val="28"/>
          <w:szCs w:val="28"/>
        </w:rPr>
        <w:t xml:space="preserve"> является одним из инструментов деятельности ТНК и подразумевает полное финансирование иностранной компанией деятельности своего филиала за рубежом. При этом могут передаваться за рубеж любые виды активов, включая управленческий персонал и ноу-хау.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iCs/>
          <w:color w:val="000000"/>
          <w:sz w:val="28"/>
          <w:szCs w:val="28"/>
        </w:rPr>
        <w:t>Создание совместных предприятий (International Joint Ventures)</w:t>
      </w:r>
      <w:r w:rsidRPr="00BC203D">
        <w:rPr>
          <w:color w:val="000000"/>
          <w:sz w:val="28"/>
          <w:szCs w:val="28"/>
        </w:rPr>
        <w:t xml:space="preserve"> более реалистический способ получения иностранных инвестиций. Большая часть инвестиций </w:t>
      </w:r>
      <w:r w:rsidR="00516359" w:rsidRPr="00BC203D">
        <w:rPr>
          <w:color w:val="000000"/>
          <w:sz w:val="28"/>
          <w:szCs w:val="28"/>
        </w:rPr>
        <w:t>обеспечивается</w:t>
      </w:r>
      <w:r w:rsidRPr="00BC203D">
        <w:rPr>
          <w:color w:val="000000"/>
          <w:sz w:val="28"/>
          <w:szCs w:val="28"/>
        </w:rPr>
        <w:t xml:space="preserve"> именно благодаря созданию совместных предприятий.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Более 17 000 таких предприятий с совокупным уставным капиталом в 20 млрд. руб. и 4,5 млрд. долл. было создано в последние годы. В каждой стране существует свое законодательство, регулирующее деятельность совместных предприятий, в частности весьма распространенным требованием является ограничение доли иностранного инвестора в капитале совместного предприятия 49%.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iCs/>
          <w:color w:val="000000"/>
          <w:sz w:val="28"/>
          <w:szCs w:val="28"/>
        </w:rPr>
        <w:t>Эмиссия евроакций и еврооблигаций (Euro-equity and Eurobond Market)</w:t>
      </w:r>
      <w:r w:rsidRPr="00BC203D">
        <w:rPr>
          <w:color w:val="000000"/>
          <w:sz w:val="28"/>
          <w:szCs w:val="28"/>
        </w:rPr>
        <w:t xml:space="preserve"> предполагает выпуск ценных бумаг с целью размещения их среди иностранных инвесторов. Многие ведущие фондовые биржи котируют ценные бумаги иностранных компаний, главным образом ТНК. Лидирующую роль играет Лондонская фондовая биржа.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Существуют специальные международные синдикаты, занимающиеся организацией выпуска и размещения подобных ценных бумаг, страхованием и выдачей гарантий. Некоторые крупные ТНК создают за рубежом собственные финансовые институты для подобных операций. Очевидно, что чести котировать свои бумаги на зарубежных фондовых биржах удостаиваются лишь солидные преуспевающие компании.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последние годы Россия сделала определенные шаги с целью выхода на евровалютный рынок. В числе этих шагов выпуск и размещение</w:t>
      </w:r>
      <w:r w:rsidR="00516359" w:rsidRPr="00BC203D">
        <w:rPr>
          <w:color w:val="000000"/>
          <w:sz w:val="28"/>
          <w:szCs w:val="28"/>
        </w:rPr>
        <w:t xml:space="preserve"> за рубежом евробондов</w:t>
      </w:r>
      <w:r w:rsidRPr="00BC203D">
        <w:rPr>
          <w:color w:val="000000"/>
          <w:sz w:val="28"/>
          <w:szCs w:val="28"/>
        </w:rPr>
        <w:t>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iCs/>
          <w:color w:val="000000"/>
          <w:sz w:val="28"/>
          <w:szCs w:val="28"/>
        </w:rPr>
        <w:t>Кредитная линия (Credit Line)</w:t>
      </w:r>
      <w:r w:rsidRPr="00BC203D">
        <w:rPr>
          <w:color w:val="000000"/>
          <w:sz w:val="28"/>
          <w:szCs w:val="28"/>
        </w:rPr>
        <w:t xml:space="preserve"> представляет собой моральное (не контрактное) обязательство иностранного банка кредитовать клиента до определенного максимума. Как правило, клиент обязан держать в банке депозит в размере 10% от суммы линии плюс 10% от выбранных кредитов. Комиссия за обязательство не берется.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Кредитная линия открывается обычно на год и может быть продлена при отсутствии нареканий со стороны банка.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Одной из разновидностей кредитной линии, применяемой для краткосрочного финансирования, является </w:t>
      </w:r>
      <w:r w:rsidRPr="00BC203D">
        <w:rPr>
          <w:iCs/>
          <w:color w:val="000000"/>
          <w:sz w:val="28"/>
          <w:szCs w:val="28"/>
        </w:rPr>
        <w:t>учетная кредитная линия (Discount Credit Line)</w:t>
      </w:r>
      <w:r w:rsidRPr="00BC203D">
        <w:rPr>
          <w:color w:val="000000"/>
          <w:sz w:val="28"/>
          <w:szCs w:val="28"/>
        </w:rPr>
        <w:t>, представляющая собой обязательство иностранного банка учитывать векселя клиента в пределах оговоренной суммы.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iCs/>
          <w:color w:val="000000"/>
          <w:sz w:val="28"/>
          <w:szCs w:val="28"/>
        </w:rPr>
        <w:t>Валютные свопы (currency swaps)</w:t>
      </w:r>
      <w:r w:rsidRPr="00BC203D">
        <w:rPr>
          <w:color w:val="000000"/>
          <w:sz w:val="28"/>
          <w:szCs w:val="28"/>
        </w:rPr>
        <w:t xml:space="preserve"> представляют собой обменные операции национальными валютами, выполняемые компаниями, представляющими разные страны. Необходимость подобных операций обусловлена тем обстоятельством, что в большинстве стран иностранные компании могут получить кредит в местном банке на условиях менее выгодных, чем местные компании. Для того чтобы минимизировать расходы по обслуживанию кредитов, компании заключают между собой договор о валютном свопе, т.е. обмене долгосрочными кредитными обязательствами в одной валюте на равные обязательства в другой валюте. Схема операции очень проста.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Предположим, американской компании А для финансирования своего английского филиала нужна сумма в английских фунтах с фиксированной процентной ставкой, эквивалентная 10 млн. долл. Она находит английскую фирму (В), которой нужна та же сумма, но в долларах. Две компании обращаются в банк, занимающийся валютными свопами, и с его помощью заключают сделку о том, что он выдаст необходимые кредиты на условиях свопового обменного курса 1 долл. = 0,54 фунта (при установлении обменного курса учитывают возможную его динамику). Оговаривается срок контракта (например, 5 лет) и фиксированные процентные ставки (например, 11 % в фунтах и 9% в долларах). Тогда денежные потоки имеют вид (рис. 1).</w:t>
      </w:r>
    </w:p>
    <w:p w:rsidR="00D06224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66.25pt">
            <v:imagedata r:id="rId7" o:title=""/>
          </v:shape>
        </w:pict>
      </w:r>
    </w:p>
    <w:p w:rsidR="00516359" w:rsidRPr="00BC203D" w:rsidRDefault="00516359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iCs/>
          <w:color w:val="000000"/>
          <w:sz w:val="28"/>
          <w:szCs w:val="28"/>
        </w:rPr>
        <w:t>Рис. 1. Схема денежных потоков при заключении сделки о валютном свопе</w:t>
      </w:r>
    </w:p>
    <w:p w:rsidR="00516359" w:rsidRPr="00BC203D" w:rsidRDefault="0051635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Мы упомянули о некоторых инструментах финансирования деятельности компании в международном контексте, однако основным, конечно, является выход компании со своими ценными бумагами на фондовые биржи мира.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Европе в число крупнейших бирж по уровню капитализации вход</w:t>
      </w:r>
      <w:r w:rsidR="00516359" w:rsidRPr="00BC203D">
        <w:rPr>
          <w:color w:val="000000"/>
          <w:sz w:val="28"/>
          <w:szCs w:val="28"/>
        </w:rPr>
        <w:t>ят</w:t>
      </w:r>
      <w:r w:rsidRPr="00BC203D">
        <w:rPr>
          <w:color w:val="000000"/>
          <w:sz w:val="28"/>
          <w:szCs w:val="28"/>
        </w:rPr>
        <w:t xml:space="preserve">: Лондонская (1400), Франкфуртская (600), Парижская (560), Цюрихская (410), Амстердамская (310). Поскольку выход на эти биржи достаточно сложен ввиду высоких требований, предъявляемых к фирмам-эмитентам, в последние годы определенное развитие получили так называемые альтернативные рынки инвестиций, предназначенные прежде всего для компаний среднего размера. Подобные рынки существуют в Лондоне </w:t>
      </w:r>
      <w:r w:rsidRPr="00BC203D">
        <w:rPr>
          <w:iCs/>
          <w:color w:val="000000"/>
          <w:sz w:val="28"/>
          <w:szCs w:val="28"/>
        </w:rPr>
        <w:t>(Alternative Investment Market)</w:t>
      </w:r>
      <w:r w:rsidRPr="00BC203D">
        <w:rPr>
          <w:color w:val="000000"/>
          <w:sz w:val="28"/>
          <w:szCs w:val="28"/>
        </w:rPr>
        <w:t xml:space="preserve">, Париже </w:t>
      </w:r>
      <w:r w:rsidRPr="00BC203D">
        <w:rPr>
          <w:iCs/>
          <w:color w:val="000000"/>
          <w:sz w:val="28"/>
          <w:szCs w:val="28"/>
        </w:rPr>
        <w:t>(Nouveau Marche)</w:t>
      </w:r>
      <w:r w:rsidRPr="00BC203D">
        <w:rPr>
          <w:color w:val="000000"/>
          <w:sz w:val="28"/>
          <w:szCs w:val="28"/>
        </w:rPr>
        <w:t xml:space="preserve">, Франкфурте </w:t>
      </w:r>
      <w:r w:rsidRPr="00BC203D">
        <w:rPr>
          <w:iCs/>
          <w:color w:val="000000"/>
          <w:sz w:val="28"/>
          <w:szCs w:val="28"/>
        </w:rPr>
        <w:t>(Neuer Markt)</w:t>
      </w:r>
      <w:r w:rsidRPr="00BC203D">
        <w:rPr>
          <w:color w:val="000000"/>
          <w:sz w:val="28"/>
          <w:szCs w:val="28"/>
        </w:rPr>
        <w:t xml:space="preserve">, Брюсселе </w:t>
      </w:r>
      <w:r w:rsidRPr="00BC203D">
        <w:rPr>
          <w:iCs/>
          <w:color w:val="000000"/>
          <w:sz w:val="28"/>
          <w:szCs w:val="28"/>
        </w:rPr>
        <w:t>(Euro.NM Belgium)</w:t>
      </w:r>
      <w:r w:rsidRPr="00BC203D">
        <w:rPr>
          <w:color w:val="000000"/>
          <w:sz w:val="28"/>
          <w:szCs w:val="28"/>
        </w:rPr>
        <w:t xml:space="preserve"> и других крупных европейских финансовых центрах.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Источниками краткосрочного валютного финансирования выступают краткосрочные банковские ссуды, векселя, коносаменты и другие документы, обеспечивающие продвижение товара из одной страны в другую.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iCs/>
          <w:color w:val="000000"/>
          <w:sz w:val="28"/>
          <w:szCs w:val="28"/>
        </w:rPr>
        <w:t>Торговый вексель (Trade Bill)</w:t>
      </w:r>
      <w:r w:rsidRPr="00BC203D">
        <w:rPr>
          <w:color w:val="000000"/>
          <w:sz w:val="28"/>
          <w:szCs w:val="28"/>
        </w:rPr>
        <w:t xml:space="preserve"> представляет собой ценную бумагу, используемую в отношениях между компаниями для финансирования товарных операций. Переводный вексель, или тратта </w:t>
      </w:r>
      <w:r w:rsidRPr="00BC203D">
        <w:rPr>
          <w:iCs/>
          <w:color w:val="000000"/>
          <w:sz w:val="28"/>
          <w:szCs w:val="28"/>
        </w:rPr>
        <w:t>(Bill of Exchange)</w:t>
      </w:r>
      <w:r w:rsidRPr="00BC203D">
        <w:rPr>
          <w:color w:val="000000"/>
          <w:sz w:val="28"/>
          <w:szCs w:val="28"/>
        </w:rPr>
        <w:t xml:space="preserve"> </w:t>
      </w:r>
      <w:r w:rsidR="0051635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это документ, в котором экспортер дает указание импортеру заплатить определенную сумму означенному лицу в течение определенного времени (60 дней, 90 дней и т.п.). </w:t>
      </w:r>
      <w:r w:rsidRPr="00BC203D">
        <w:rPr>
          <w:iCs/>
          <w:color w:val="000000"/>
          <w:sz w:val="28"/>
          <w:szCs w:val="28"/>
        </w:rPr>
        <w:t>Коносамент (Bill of Lading)</w:t>
      </w:r>
      <w:r w:rsidRPr="00BC203D">
        <w:rPr>
          <w:color w:val="000000"/>
          <w:sz w:val="28"/>
          <w:szCs w:val="28"/>
        </w:rPr>
        <w:t xml:space="preserve"> </w:t>
      </w:r>
      <w:r w:rsidR="00516359" w:rsidRPr="00BC203D">
        <w:rPr>
          <w:color w:val="000000"/>
          <w:sz w:val="28"/>
          <w:szCs w:val="28"/>
        </w:rPr>
        <w:t xml:space="preserve">- </w:t>
      </w:r>
      <w:r w:rsidRPr="00BC203D">
        <w:rPr>
          <w:color w:val="000000"/>
          <w:sz w:val="28"/>
          <w:szCs w:val="28"/>
        </w:rPr>
        <w:t xml:space="preserve">документ на отгружаемые товары, содержащий описание товара и условия перевозки. Документ подписывается владельцем судна и отправляется получателю груза, давая тому право на его получение. </w:t>
      </w:r>
      <w:r w:rsidRPr="00BC203D">
        <w:rPr>
          <w:iCs/>
          <w:color w:val="000000"/>
          <w:sz w:val="28"/>
          <w:szCs w:val="28"/>
        </w:rPr>
        <w:t>Кредитное письмо,</w:t>
      </w:r>
      <w:r w:rsidRPr="00BC203D">
        <w:rPr>
          <w:color w:val="000000"/>
          <w:sz w:val="28"/>
          <w:szCs w:val="28"/>
        </w:rPr>
        <w:t xml:space="preserve"> или </w:t>
      </w:r>
      <w:r w:rsidRPr="00BC203D">
        <w:rPr>
          <w:iCs/>
          <w:color w:val="000000"/>
          <w:sz w:val="28"/>
          <w:szCs w:val="28"/>
        </w:rPr>
        <w:t>аккредитив (Letter of Credit)</w:t>
      </w:r>
      <w:r w:rsidRPr="00BC203D">
        <w:rPr>
          <w:color w:val="000000"/>
          <w:sz w:val="28"/>
          <w:szCs w:val="28"/>
        </w:rPr>
        <w:t xml:space="preserve"> является одной из форм платежа в международной торговле. Выпускается банком по поручению импортера и содержит поручение корреспондентскому банку за границей выплатить определенную сумму указанному лицу. Банк выписывает аккредитив только в том случае, если имеется уверенность в кредитоспособности импортера. Для экспортера эта форма оплаты является очень удобной, поскольку страхует от риска поставки товара неизвестному иностранному контрагенту.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Многие из рассмотренных выше источников финансирования пока для российских предприятий носят теоретический характер. Причин тому много: нестабильность политической ситуации, спад производства, высокая инфляция, несовершенство законодательства и др. Одним из действующих источников международного финансирования на уровне отдельных предприятий, хотя и не играющим какой-либо существенной роли, являются целевые фонды, кредиты различных международных организаций, создание совместных производств.</w:t>
      </w:r>
    </w:p>
    <w:p w:rsidR="00AC1256" w:rsidRPr="00BC203D" w:rsidRDefault="00D95666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="00AC1256" w:rsidRPr="00BC203D">
        <w:rPr>
          <w:b/>
          <w:color w:val="000000"/>
          <w:sz w:val="28"/>
          <w:szCs w:val="28"/>
        </w:rPr>
        <w:t>3</w:t>
      </w:r>
      <w:r w:rsidR="005732E5" w:rsidRPr="00BC203D">
        <w:rPr>
          <w:b/>
          <w:color w:val="000000"/>
          <w:sz w:val="28"/>
          <w:szCs w:val="28"/>
        </w:rPr>
        <w:t xml:space="preserve"> </w:t>
      </w:r>
      <w:r w:rsidR="00516359" w:rsidRPr="00BC203D">
        <w:rPr>
          <w:b/>
          <w:bCs/>
          <w:color w:val="000000"/>
          <w:sz w:val="28"/>
          <w:szCs w:val="28"/>
        </w:rPr>
        <w:t>Отчетность в системе международных источников финансовой информации</w:t>
      </w:r>
    </w:p>
    <w:p w:rsidR="005732E5" w:rsidRPr="00BC203D" w:rsidRDefault="005732E5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Информационная индустрия в последние десятилетия развивается исключительно высокими темпами благодаря прежде всего совершенствованию технической базы и программных средств коммуникации. Все крупные информационно-аналитические агентства имеют компьютерные файлы, специализированные по отраслям, видам деятельности, типам инвесторов, периодичности и т.п.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Общее число информационных источников в мире насчитывает сотни наименований. Большинство таких источников достаточно хорошо структурированы, однако их основное предназначение </w:t>
      </w:r>
      <w:r w:rsidR="0051635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дать наиболее общие сведения или важнейшие индикаторы исходя из целевой функции информационного файла; иными словами, эти источники </w:t>
      </w:r>
      <w:r w:rsidR="0051635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часть статистической информации, характерной чертой которой является массовость. В этом смысле совершенно иную природу и предназначение имеет такой информационный источник, как отчетность компании. Он более специфицирован как с позиции его структуры и содержания, так и с позиции его потенциальных пользователей.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Именно он дает наиболее полную информацию о конкретной компании, с ним и приходится прежде всего работать финансовому менеджеру, особенно при организации новых контактов; речь идет как о работе с отчетностью потенциальных зарубежных клиентов, так и о подготовке собственной отчетности в формате и информационной насыщенности, удовлетворяющей потребностям иностранных инвесторов и контрагентов.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 любой стране подготовка отчетности в той или иной степени регулируется государством и/или профессиональными общественными организациями. В частности, описание требований к отчетности, типовые ее форматы и особенности представления по странам Европы можно найти в </w:t>
      </w:r>
      <w:r w:rsidRPr="00BC203D">
        <w:rPr>
          <w:iCs/>
          <w:color w:val="000000"/>
          <w:sz w:val="28"/>
          <w:szCs w:val="28"/>
        </w:rPr>
        <w:t>Europian Accounting Guide</w:t>
      </w:r>
      <w:r w:rsidRPr="00BC203D">
        <w:rPr>
          <w:color w:val="000000"/>
          <w:sz w:val="28"/>
          <w:szCs w:val="28"/>
        </w:rPr>
        <w:t>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последние годы бухгалтеры и финансовые менеджеры многих отечественных предприятий столкнулись с необходимостью готовить отчетность в форматах, доступных для понимания на Западе.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Не вдаваясь подробно в эту проблему, отметим только, что ГААП представляет собой американскую систему регулирования учета и отчетности и ни в коем случае не подменяет международной системы. Кстати, в объемном труде, подготовленном американскими специалистами, идентифицировано 255 различий между ГААП и международными стандартами.</w:t>
      </w:r>
    </w:p>
    <w:p w:rsidR="00A830D9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Проблема подготовки отчетности, доступной для понимания за рубежом, естественно, не является уникальной, свойственной только России, </w:t>
      </w:r>
      <w:r w:rsidR="00A830D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это международная проблема, известны и рекомендации к ее решению; в частности, предлагается придерживаться одного из следующих вариантов действий:</w:t>
      </w:r>
    </w:p>
    <w:p w:rsidR="00D06224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</w:t>
      </w:r>
      <w:r w:rsidR="000C35BB" w:rsidRPr="00BC203D">
        <w:rPr>
          <w:color w:val="000000"/>
          <w:sz w:val="28"/>
          <w:szCs w:val="28"/>
        </w:rPr>
        <w:t>не предпринимать дополнительных действий (проблему интерпретации отчетности должен решить пользователь);</w:t>
      </w:r>
    </w:p>
    <w:p w:rsidR="00D06224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</w:t>
      </w:r>
      <w:r w:rsidR="000C35BB" w:rsidRPr="00BC203D">
        <w:rPr>
          <w:color w:val="000000"/>
          <w:sz w:val="28"/>
          <w:szCs w:val="28"/>
        </w:rPr>
        <w:t>подготовить перевод текстовой части отчета (на язык, понятный большей части предполагаемых пользователей отчета);</w:t>
      </w:r>
    </w:p>
    <w:p w:rsidR="00D06224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</w:t>
      </w:r>
      <w:r w:rsidR="000C35BB" w:rsidRPr="00BC203D">
        <w:rPr>
          <w:color w:val="000000"/>
          <w:sz w:val="28"/>
          <w:szCs w:val="28"/>
        </w:rPr>
        <w:t>пересчитать данные отчета в иностранную валюту (чаще всего речь идет о долларах США);</w:t>
      </w:r>
    </w:p>
    <w:p w:rsidR="00D06224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</w:t>
      </w:r>
      <w:r w:rsidR="000C35BB" w:rsidRPr="00BC203D">
        <w:rPr>
          <w:color w:val="000000"/>
          <w:sz w:val="28"/>
          <w:szCs w:val="28"/>
        </w:rPr>
        <w:t>включить в годовой отчет дополнительную поясняющую информацию (имеется в виду, что некоторые наиболее важные или неоднозначно трактуемые в международной практике индикаторы пересчитываются исходя из требований страны, для пользователей которой готовится иностранная версия отчета);</w:t>
      </w:r>
    </w:p>
    <w:p w:rsidR="00D06224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</w:t>
      </w:r>
      <w:r w:rsidR="000C35BB" w:rsidRPr="00BC203D">
        <w:rPr>
          <w:color w:val="000000"/>
          <w:sz w:val="28"/>
          <w:szCs w:val="28"/>
        </w:rPr>
        <w:t>подготовить отчет в соответствии с зарубежными стандартами (чаще всего подразумеваются либо международные учетные стандарты, либо американский ГААП).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Обсуждаемая проблема на самом деле является лишь частью более общей проблемы, известной как проблема «международной гармонизации (стандартизации) бухгалтерского учета».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Идея </w:t>
      </w:r>
      <w:r w:rsidRPr="00BC203D">
        <w:rPr>
          <w:iCs/>
          <w:color w:val="000000"/>
          <w:sz w:val="28"/>
          <w:szCs w:val="28"/>
        </w:rPr>
        <w:t>гармонизации</w:t>
      </w:r>
      <w:r w:rsidRPr="00BC203D">
        <w:rPr>
          <w:color w:val="000000"/>
          <w:sz w:val="28"/>
          <w:szCs w:val="28"/>
        </w:rPr>
        <w:t xml:space="preserve"> различных систем бухгалтерского учета реализуется в рамках Европейского сообщества </w:t>
      </w:r>
      <w:r w:rsidRPr="00BC203D">
        <w:rPr>
          <w:iCs/>
          <w:color w:val="000000"/>
          <w:sz w:val="28"/>
          <w:szCs w:val="28"/>
        </w:rPr>
        <w:t>(ЕС)</w:t>
      </w:r>
      <w:r w:rsidRPr="00BC203D">
        <w:rPr>
          <w:color w:val="000000"/>
          <w:sz w:val="28"/>
          <w:szCs w:val="28"/>
        </w:rPr>
        <w:t xml:space="preserve">. Логика ее такова: в каждой стране может существовать своя модель организации учета и система стандартов, ее регулирующих. Главное, чтобы эти стандарты не противоречили аналогичным стандартам в других странах </w:t>
      </w:r>
      <w:r w:rsidR="00A830D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членах сообщества, т.е. находились в «гармонии» друг с другом.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Работа в этом направлении ведется с 1961 г., когда в рамках ЕС была сформирована Исследовательская группа по проблемам бухгалтерского учета </w:t>
      </w:r>
      <w:r w:rsidRPr="00BC203D">
        <w:rPr>
          <w:iCs/>
          <w:color w:val="000000"/>
          <w:sz w:val="28"/>
          <w:szCs w:val="28"/>
        </w:rPr>
        <w:t>(Groupe d 'Etudes)</w:t>
      </w:r>
      <w:r w:rsidRPr="00BC203D">
        <w:rPr>
          <w:color w:val="000000"/>
          <w:sz w:val="28"/>
          <w:szCs w:val="28"/>
        </w:rPr>
        <w:t>, цель которой состояла в формировании концепции развития учета в странах сообщества.</w:t>
      </w:r>
    </w:p>
    <w:p w:rsidR="00A830D9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Что касается принципов практической реализации идеи гармонизации, то в их основе лежит </w:t>
      </w:r>
      <w:r w:rsidRPr="00BC203D">
        <w:rPr>
          <w:iCs/>
          <w:color w:val="000000"/>
          <w:sz w:val="28"/>
          <w:szCs w:val="28"/>
        </w:rPr>
        <w:t>политическое соглашение</w:t>
      </w:r>
      <w:r w:rsidRPr="00BC203D">
        <w:rPr>
          <w:color w:val="000000"/>
          <w:sz w:val="28"/>
          <w:szCs w:val="28"/>
        </w:rPr>
        <w:t xml:space="preserve"> стран </w:t>
      </w:r>
      <w:r w:rsidR="00A830D9" w:rsidRPr="00BC203D">
        <w:rPr>
          <w:color w:val="000000"/>
          <w:sz w:val="28"/>
          <w:szCs w:val="28"/>
        </w:rPr>
        <w:t xml:space="preserve">- </w:t>
      </w:r>
      <w:r w:rsidRPr="00BC203D">
        <w:rPr>
          <w:color w:val="000000"/>
          <w:sz w:val="28"/>
          <w:szCs w:val="28"/>
        </w:rPr>
        <w:t>участников сообщества. Именно поэтому основные положения учетных директив включены каждым членом ЕС в свое национальное законодательство в части, имеющей отношение к бухгалтерскому учету.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частности, в Великобритании рекомендуемые Четвертой директивой форматы отчетности приведены в Законе о компаниях, который является основным документом, регулирующим деятельность коммерческих фирм и организаций. Эти форматы различаются составом статей и способом их группировки. Вместе с тем жесткие ограничения на состав статей не налагаются, предлагаемые директивой структуры используются компаниями в качестве основы.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Идея </w:t>
      </w:r>
      <w:r w:rsidRPr="00BC203D">
        <w:rPr>
          <w:iCs/>
          <w:color w:val="000000"/>
          <w:sz w:val="28"/>
          <w:szCs w:val="28"/>
        </w:rPr>
        <w:t>стандартизации</w:t>
      </w:r>
      <w:r w:rsidRPr="00BC203D">
        <w:rPr>
          <w:color w:val="000000"/>
          <w:sz w:val="28"/>
          <w:szCs w:val="28"/>
        </w:rPr>
        <w:t xml:space="preserve"> учетных процедур реализуется в рамках работ по унификации учета, которые ведет </w:t>
      </w:r>
      <w:r w:rsidRPr="00BC203D">
        <w:rPr>
          <w:iCs/>
          <w:color w:val="000000"/>
          <w:sz w:val="28"/>
          <w:szCs w:val="28"/>
        </w:rPr>
        <w:t>Комитет по международным стандартам бухгалтерского учета (International Accounting Standards Committee, IASC)</w:t>
      </w:r>
      <w:r w:rsidRPr="00BC203D">
        <w:rPr>
          <w:color w:val="000000"/>
          <w:sz w:val="28"/>
          <w:szCs w:val="28"/>
        </w:rPr>
        <w:t>. Логика этого подхода такова: должен существовать унифицированный набор стандартов, приложимых к любой ситуации, в любой стране.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Поэтому становится бессмысленным разрабатывать национальные стандарты. Что касается внедрения единых стандартов, то в отличие от практики, используемой в ЕС, речь не идет о силовых методах с помощью законодательных органов — следование международным стандартам должно осуществляться в результате добровольного соглашения профессиональных организаций стран.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С момента своего создания в 1973 г. </w:t>
      </w:r>
      <w:r w:rsidRPr="00BC203D">
        <w:rPr>
          <w:iCs/>
          <w:color w:val="000000"/>
          <w:sz w:val="28"/>
          <w:szCs w:val="28"/>
        </w:rPr>
        <w:t>IASC</w:t>
      </w:r>
      <w:r w:rsidRPr="00BC203D">
        <w:rPr>
          <w:color w:val="000000"/>
          <w:sz w:val="28"/>
          <w:szCs w:val="28"/>
        </w:rPr>
        <w:t xml:space="preserve"> разработал и внедрил 33 стандарта (в настоящее время действует 31 стандарт), причем в последние годы роль IASC в международном бизнесе значительно усилилась. Это проявляется в различных аспектах.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Во-первых, постоянно увеличивается число членов IASC.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Во-вторых, стандарты имеют весьма солидную поддержку со стороны бизнеса, аудиторских компаний, фондовых бирж.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Так, по данным известной аудиторской компании </w:t>
      </w:r>
      <w:r w:rsidRPr="00BC203D">
        <w:rPr>
          <w:iCs/>
          <w:color w:val="000000"/>
          <w:sz w:val="28"/>
          <w:szCs w:val="28"/>
        </w:rPr>
        <w:t>«Touche Ross International»</w:t>
      </w:r>
      <w:r w:rsidRPr="00BC203D">
        <w:rPr>
          <w:color w:val="000000"/>
          <w:sz w:val="28"/>
          <w:szCs w:val="28"/>
        </w:rPr>
        <w:t xml:space="preserve"> в 1990 г. около 2/3 из 278 крупнейших транснациональных корпораций мира составляли свою отчетность в соответствии с требованиями </w:t>
      </w:r>
      <w:r w:rsidRPr="00BC203D">
        <w:rPr>
          <w:iCs/>
          <w:color w:val="000000"/>
          <w:sz w:val="28"/>
          <w:szCs w:val="28"/>
        </w:rPr>
        <w:t>IASC</w:t>
      </w:r>
      <w:r w:rsidRPr="00BC203D">
        <w:rPr>
          <w:color w:val="000000"/>
          <w:sz w:val="28"/>
          <w:szCs w:val="28"/>
        </w:rPr>
        <w:t>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В-третьих, к работе Комитета прямо или косвенно привлекаются другие международные профессиональные организации.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В-четвертых, и возможно это является наиболее примечательным признаком усиления роли </w:t>
      </w:r>
      <w:r w:rsidRPr="00BC203D">
        <w:rPr>
          <w:iCs/>
          <w:color w:val="000000"/>
          <w:sz w:val="28"/>
          <w:szCs w:val="28"/>
        </w:rPr>
        <w:t>IASC</w:t>
      </w:r>
      <w:r w:rsidRPr="00BC203D">
        <w:rPr>
          <w:color w:val="000000"/>
          <w:sz w:val="28"/>
          <w:szCs w:val="28"/>
        </w:rPr>
        <w:t xml:space="preserve">, резко изменилось отношение к гармонизации учета, а следовательно и к работе </w:t>
      </w:r>
      <w:r w:rsidRPr="00BC203D">
        <w:rPr>
          <w:iCs/>
          <w:color w:val="000000"/>
          <w:sz w:val="28"/>
          <w:szCs w:val="28"/>
        </w:rPr>
        <w:t>IASC</w:t>
      </w:r>
      <w:r w:rsidRPr="00BC203D">
        <w:rPr>
          <w:color w:val="000000"/>
          <w:sz w:val="28"/>
          <w:szCs w:val="28"/>
        </w:rPr>
        <w:t>, не только со стороны национальных профессиональных институтов, но и правительственных органов экономически развитых стран.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Одним из примечательных событий последних лет является интенсификация сотрудничества </w:t>
      </w:r>
      <w:r w:rsidRPr="00BC203D">
        <w:rPr>
          <w:iCs/>
          <w:color w:val="000000"/>
          <w:sz w:val="28"/>
          <w:szCs w:val="28"/>
        </w:rPr>
        <w:t>IASC</w:t>
      </w:r>
      <w:r w:rsidRPr="00BC203D">
        <w:rPr>
          <w:color w:val="000000"/>
          <w:sz w:val="28"/>
          <w:szCs w:val="28"/>
        </w:rPr>
        <w:t xml:space="preserve"> и </w:t>
      </w:r>
      <w:r w:rsidRPr="00BC203D">
        <w:rPr>
          <w:iCs/>
          <w:color w:val="000000"/>
          <w:sz w:val="28"/>
          <w:szCs w:val="28"/>
        </w:rPr>
        <w:t>Международной организации комиссий по Ценным бумагам (International Organization of Securities Commissions, IOSCO)</w:t>
      </w:r>
      <w:r w:rsidRPr="00BC203D">
        <w:rPr>
          <w:color w:val="000000"/>
          <w:sz w:val="28"/>
          <w:szCs w:val="28"/>
        </w:rPr>
        <w:t>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Следует отметить, что роль базового набора стандартов в отношении отчетности не следует понимать буквально </w:t>
      </w:r>
      <w:r w:rsidR="00A830D9" w:rsidRPr="00BC203D">
        <w:rPr>
          <w:color w:val="000000"/>
          <w:sz w:val="28"/>
          <w:szCs w:val="28"/>
        </w:rPr>
        <w:t xml:space="preserve">- </w:t>
      </w:r>
      <w:r w:rsidRPr="00BC203D">
        <w:rPr>
          <w:color w:val="000000"/>
          <w:sz w:val="28"/>
          <w:szCs w:val="28"/>
        </w:rPr>
        <w:t>в том смысле, что после реализации проекта все транснациональные корпорации и крупные национальные компании разных стран будут заполнять отчетность по некоторым унифицированным формам.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Смысл проекта состоит в определенном нивелировании национальных особенностей трактовки основных объектов бухгалтерского учета и принципов их отражения в учете и отчетности. Поэтому состав статей отчетности в каждом конкретном случае, по-видимому, будет представлять собой выборку из некоторого гипотетического инварианта довольно дробных статей, агрегируемых по усмотрению составителя отчетности.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Необходимые комментарии к статьям, как уже принято в мировой практике, будут даваться в пояснениях и расшифровках. Иными словами, с позиции отечественных специалистов, которым в той или иной степени приходится сталкиваться с отчетностью зарубежных компаний, никаких радикальных изменений по сравнению с существующим положением не произойдет.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Несмотря на очевидный прогресс в координации усилий фондовых бирж и </w:t>
      </w:r>
      <w:r w:rsidRPr="00BC203D">
        <w:rPr>
          <w:iCs/>
          <w:color w:val="000000"/>
          <w:sz w:val="28"/>
          <w:szCs w:val="28"/>
        </w:rPr>
        <w:t>IASC</w:t>
      </w:r>
      <w:r w:rsidRPr="00BC203D">
        <w:rPr>
          <w:color w:val="000000"/>
          <w:sz w:val="28"/>
          <w:szCs w:val="28"/>
        </w:rPr>
        <w:t xml:space="preserve"> по улучшению информационного обеспечения инвесторов путем внедрения некоего единого набора стандартов, нельзя сказать, что этот процесс проходит абсолютно безболезненно и быстрыми темпами.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Впервые признание значимости международных учетных стандартов </w:t>
      </w:r>
      <w:r w:rsidRPr="00BC203D">
        <w:rPr>
          <w:iCs/>
          <w:color w:val="000000"/>
          <w:sz w:val="28"/>
          <w:szCs w:val="28"/>
        </w:rPr>
        <w:t>(IAS)</w:t>
      </w:r>
      <w:r w:rsidRPr="00BC203D">
        <w:rPr>
          <w:color w:val="000000"/>
          <w:sz w:val="28"/>
          <w:szCs w:val="28"/>
        </w:rPr>
        <w:t xml:space="preserve"> нашло отражение в 1984 г. в опубликованном мнении Лондонской фондовой биржи, согласно которому всем иностранным корпорациям, желавшим котировать свои ценные бумаги в Лондоне, было рекомендовано придерживаться этих стандартов. В 1985 г. такое же признание впервые последовало от одной из крупнейших американских корпораций </w:t>
      </w:r>
      <w:r w:rsidR="00A830D9" w:rsidRPr="00BC203D">
        <w:rPr>
          <w:color w:val="000000"/>
          <w:sz w:val="28"/>
          <w:szCs w:val="28"/>
        </w:rPr>
        <w:t>-</w:t>
      </w:r>
      <w:r w:rsidRPr="00BC203D">
        <w:rPr>
          <w:color w:val="000000"/>
          <w:sz w:val="28"/>
          <w:szCs w:val="28"/>
        </w:rPr>
        <w:t xml:space="preserve"> </w:t>
      </w:r>
      <w:r w:rsidRPr="00BC203D">
        <w:rPr>
          <w:iCs/>
          <w:color w:val="000000"/>
          <w:sz w:val="28"/>
          <w:szCs w:val="28"/>
        </w:rPr>
        <w:t>General Electric</w:t>
      </w:r>
      <w:r w:rsidRPr="00BC203D">
        <w:rPr>
          <w:color w:val="000000"/>
          <w:sz w:val="28"/>
          <w:szCs w:val="28"/>
        </w:rPr>
        <w:t xml:space="preserve">, объявившей, что ее отчетность за 1984 г. составлена в соответствии с национальными стандартами </w:t>
      </w:r>
      <w:r w:rsidRPr="00BC203D">
        <w:rPr>
          <w:iCs/>
          <w:color w:val="000000"/>
          <w:sz w:val="28"/>
          <w:szCs w:val="28"/>
        </w:rPr>
        <w:t>(GAAP)</w:t>
      </w:r>
      <w:r w:rsidRPr="00BC203D">
        <w:rPr>
          <w:color w:val="000000"/>
          <w:sz w:val="28"/>
          <w:szCs w:val="28"/>
        </w:rPr>
        <w:t xml:space="preserve"> и </w:t>
      </w:r>
      <w:r w:rsidRPr="00BC203D">
        <w:rPr>
          <w:iCs/>
          <w:color w:val="000000"/>
          <w:sz w:val="28"/>
          <w:szCs w:val="28"/>
        </w:rPr>
        <w:t>IAS</w:t>
      </w:r>
      <w:r w:rsidRPr="00BC203D">
        <w:rPr>
          <w:color w:val="000000"/>
          <w:sz w:val="28"/>
          <w:szCs w:val="28"/>
        </w:rPr>
        <w:t>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Когда в начале 70-х гг. обсуждался вопрос о возможности разработки </w:t>
      </w:r>
      <w:r w:rsidRPr="00BC203D">
        <w:rPr>
          <w:iCs/>
          <w:color w:val="000000"/>
          <w:sz w:val="28"/>
          <w:szCs w:val="28"/>
        </w:rPr>
        <w:t>IAS</w:t>
      </w:r>
      <w:r w:rsidRPr="00BC203D">
        <w:rPr>
          <w:color w:val="000000"/>
          <w:sz w:val="28"/>
          <w:szCs w:val="28"/>
        </w:rPr>
        <w:t>, критики сформулировали несколько тезисов, объяснявших, почему идеи гармонизации и стандартизации могут потерпеть фиаско.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Среди них национальные различия в уровне развития и традициях, в том числе и в области учета, нежелание национальных институтов поступиться своим приоритетом в области регулирования и методологии учета, вполне вероятная перенасыщенность различными регулятивами и др. Безусловно, эти аргументы были не беспочвенны, однако со временем острота их в той или иной степени была снята.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Сравнивая </w:t>
      </w:r>
      <w:r w:rsidRPr="00BC203D">
        <w:rPr>
          <w:iCs/>
          <w:color w:val="000000"/>
          <w:sz w:val="28"/>
          <w:szCs w:val="28"/>
        </w:rPr>
        <w:t>IAS</w:t>
      </w:r>
      <w:r w:rsidRPr="00BC203D">
        <w:rPr>
          <w:color w:val="000000"/>
          <w:sz w:val="28"/>
          <w:szCs w:val="28"/>
        </w:rPr>
        <w:t xml:space="preserve"> и национальные стандарты, многие специалисты отмечали, что одной из слабых характеристик первых является отсутствие подробных интерпретаций, имеющих целью дать примеры приложения стандартов к конкретным ситуациям (считается, что по этому параметру наиболее хороши американские стандарты).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Разработка интерпретаций была признана одним из приоритетных направлений деятельности </w:t>
      </w:r>
      <w:r w:rsidRPr="00BC203D">
        <w:rPr>
          <w:iCs/>
          <w:color w:val="000000"/>
          <w:sz w:val="28"/>
          <w:szCs w:val="28"/>
        </w:rPr>
        <w:t>IASC</w:t>
      </w:r>
      <w:r w:rsidRPr="00BC203D">
        <w:rPr>
          <w:color w:val="000000"/>
          <w:sz w:val="28"/>
          <w:szCs w:val="28"/>
        </w:rPr>
        <w:t xml:space="preserve"> на ближайшие годы; более того, в 1996 г. было принято решение о создании в рамках </w:t>
      </w:r>
      <w:r w:rsidRPr="00BC203D">
        <w:rPr>
          <w:iCs/>
          <w:color w:val="000000"/>
          <w:sz w:val="28"/>
          <w:szCs w:val="28"/>
        </w:rPr>
        <w:t>IASC</w:t>
      </w:r>
      <w:r w:rsidRPr="00BC203D">
        <w:rPr>
          <w:color w:val="000000"/>
          <w:sz w:val="28"/>
          <w:szCs w:val="28"/>
        </w:rPr>
        <w:t xml:space="preserve"> Постоянного комитета по интерпретации стандартов </w:t>
      </w:r>
      <w:r w:rsidRPr="00BC203D">
        <w:rPr>
          <w:iCs/>
          <w:color w:val="000000"/>
          <w:sz w:val="28"/>
          <w:szCs w:val="28"/>
        </w:rPr>
        <w:t>(Standing Interpretations Committee, SIC)</w:t>
      </w:r>
      <w:r w:rsidRPr="00BC203D">
        <w:rPr>
          <w:color w:val="000000"/>
          <w:sz w:val="28"/>
          <w:szCs w:val="28"/>
        </w:rPr>
        <w:t>.</w:t>
      </w:r>
    </w:p>
    <w:p w:rsidR="00D06224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Что касается мнения национальных институтов, то можно упомянуть, например, об известной своей консервативностью Великобритании. В журналах ведущих профессиональных институтов этой страны даже ставится вопрос о том, сохранятся ли национальные стандарты Великобритании или они будут вытеснены международными.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Однозначных ответов, естественно, не дается, однако делается определенный вывод о том, что Великобритании следует играть более активную роль в процессе интернационализации бухгалтерского учета; главный аргумент — активизация деятельности фондовых рынков.</w:t>
      </w:r>
    </w:p>
    <w:p w:rsidR="000C35BB" w:rsidRPr="00BC203D" w:rsidRDefault="000C35B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 последнее время работа по сближению российской и международной систем бухгалтерского учета значительно интенсифицировалась. Так, в 1997 г. был создан Институт профессиональных бухгалтеров России, издан русскоязычный вариант международных учетных стандартов, внедрены первые положения по бухгалтерскому учету (аналог </w:t>
      </w:r>
      <w:r w:rsidRPr="00BC203D">
        <w:rPr>
          <w:iCs/>
          <w:color w:val="000000"/>
          <w:sz w:val="28"/>
          <w:szCs w:val="28"/>
        </w:rPr>
        <w:t>IAS</w:t>
      </w:r>
      <w:r w:rsidRPr="00BC203D">
        <w:rPr>
          <w:color w:val="000000"/>
          <w:sz w:val="28"/>
          <w:szCs w:val="28"/>
        </w:rPr>
        <w:t xml:space="preserve">), отечественная отчетность уже в значительной степени согласуется с требованиями </w:t>
      </w:r>
      <w:r w:rsidRPr="00BC203D">
        <w:rPr>
          <w:iCs/>
          <w:color w:val="000000"/>
          <w:sz w:val="28"/>
          <w:szCs w:val="28"/>
        </w:rPr>
        <w:t>IAS</w:t>
      </w:r>
      <w:r w:rsidRPr="00BC203D">
        <w:rPr>
          <w:color w:val="000000"/>
          <w:sz w:val="28"/>
          <w:szCs w:val="28"/>
        </w:rPr>
        <w:t xml:space="preserve"> и др.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Pr="00BC203D">
        <w:rPr>
          <w:b/>
          <w:color w:val="000000"/>
          <w:sz w:val="28"/>
          <w:szCs w:val="28"/>
        </w:rPr>
        <w:t>ЗАКЛЮЧЕНИЕ</w:t>
      </w:r>
    </w:p>
    <w:p w:rsidR="008774F9" w:rsidRPr="00BC203D" w:rsidRDefault="008774F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A830D9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Международная валютно-кредитная система представляет собой набор законов и правил, регулирующих деятельность центральных эмиссионных банков на внешних валютных рынках.</w:t>
      </w:r>
    </w:p>
    <w:p w:rsidR="00A830D9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Основными способами получения иностранных долгосрочных инвестиций являются: прямое валютное инвестирование, создание совместных предприятий, эмиссия евроакций и еврооблигаций, открытие кредитной линии, процентные и валютные свопы, опционы. </w:t>
      </w:r>
      <w:r w:rsidRPr="00BC203D">
        <w:rPr>
          <w:iCs/>
          <w:color w:val="000000"/>
          <w:sz w:val="28"/>
          <w:szCs w:val="28"/>
        </w:rPr>
        <w:t>Прямое валютное инвестирование (Foreign Direct Investment)</w:t>
      </w:r>
      <w:r w:rsidRPr="00BC203D">
        <w:rPr>
          <w:color w:val="000000"/>
          <w:sz w:val="28"/>
          <w:szCs w:val="28"/>
        </w:rPr>
        <w:t xml:space="preserve"> является одним из инструментов деятельности ТНК и подразумевает полное финансирование иностранной компанией деятельности своего филиала за рубежом. </w:t>
      </w:r>
      <w:r w:rsidRPr="00BC203D">
        <w:rPr>
          <w:iCs/>
          <w:color w:val="000000"/>
          <w:sz w:val="28"/>
          <w:szCs w:val="28"/>
        </w:rPr>
        <w:t>Создание совместных предприятий (International Joint Ventures)</w:t>
      </w:r>
      <w:r w:rsidRPr="00BC203D">
        <w:rPr>
          <w:color w:val="000000"/>
          <w:sz w:val="28"/>
          <w:szCs w:val="28"/>
        </w:rPr>
        <w:t xml:space="preserve"> более реалистический способ получения иностранных инвестиций. </w:t>
      </w:r>
      <w:r w:rsidRPr="00BC203D">
        <w:rPr>
          <w:iCs/>
          <w:color w:val="000000"/>
          <w:sz w:val="28"/>
          <w:szCs w:val="28"/>
        </w:rPr>
        <w:t>Эмиссия евроакций и еврооблигаций (Euro-equity and Eurobond Market)</w:t>
      </w:r>
      <w:r w:rsidRPr="00BC203D">
        <w:rPr>
          <w:color w:val="000000"/>
          <w:sz w:val="28"/>
          <w:szCs w:val="28"/>
        </w:rPr>
        <w:t xml:space="preserve"> предполагает выпуск ценных бумаг с целью размещения их среди иностранных инвесторов. </w:t>
      </w:r>
      <w:r w:rsidRPr="00BC203D">
        <w:rPr>
          <w:iCs/>
          <w:color w:val="000000"/>
          <w:sz w:val="28"/>
          <w:szCs w:val="28"/>
        </w:rPr>
        <w:t>Кредитная линия (Credit Line)</w:t>
      </w:r>
      <w:r w:rsidRPr="00BC203D">
        <w:rPr>
          <w:color w:val="000000"/>
          <w:sz w:val="28"/>
          <w:szCs w:val="28"/>
        </w:rPr>
        <w:t xml:space="preserve"> представляет собой моральное (не контрактное) обязательство иностранного банка кредитовать клиента до определенного максимума. </w:t>
      </w:r>
      <w:r w:rsidRPr="00BC203D">
        <w:rPr>
          <w:iCs/>
          <w:color w:val="000000"/>
          <w:sz w:val="28"/>
          <w:szCs w:val="28"/>
        </w:rPr>
        <w:t>Валютные свопы (currency swaps)</w:t>
      </w:r>
      <w:r w:rsidRPr="00BC203D">
        <w:rPr>
          <w:color w:val="000000"/>
          <w:sz w:val="28"/>
          <w:szCs w:val="28"/>
        </w:rPr>
        <w:t xml:space="preserve"> представляют собой обменные операции национальными валютами, выполняемые компаниями, представляющими разные страны. Источниками краткосрочного валютного финансирования выступают краткосрочные банковские ссуды, векселя, коносаменты и другие документы, обеспечивающие продвижение товара из одной страны в другую.</w:t>
      </w:r>
    </w:p>
    <w:p w:rsidR="00A830D9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любой стране подготовка отчетности в той или иной степени регулируется государством и/или профессиональными общественными организациями. В последние годы бухгалтеры и финансовые менеджеры многих отечественных предприятий столкнулись с необходимостью готовить отчетность в форматах, доступных для понимания на Западе.</w:t>
      </w:r>
    </w:p>
    <w:p w:rsidR="00A830D9" w:rsidRPr="00BC203D" w:rsidRDefault="00A830D9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Проблема подготовки отчетности, доступной для понимания за рубежом, естественно, не является уникальной, свойственной только России, - это международная проблема.</w:t>
      </w:r>
    </w:p>
    <w:p w:rsidR="00AC1256" w:rsidRPr="00BC203D" w:rsidRDefault="00AC1256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Pr="00BC203D">
        <w:rPr>
          <w:b/>
          <w:color w:val="000000"/>
          <w:sz w:val="28"/>
          <w:szCs w:val="28"/>
        </w:rPr>
        <w:t>СПИСОК ИСПОЛЬЗОВАННОЙ ЛИТЕРАТУРЫ</w:t>
      </w:r>
    </w:p>
    <w:p w:rsidR="008774F9" w:rsidRPr="00BC203D" w:rsidRDefault="008774F9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16"/>
        </w:rPr>
      </w:pPr>
    </w:p>
    <w:p w:rsidR="00BE4A5D" w:rsidRPr="00BC203D" w:rsidRDefault="00BE4A5D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Басовский Л.Е. Финансовый менеджмент. – М.: ИНФРА-М, 2005. – 240 с.</w:t>
      </w:r>
    </w:p>
    <w:p w:rsidR="00D06224" w:rsidRPr="00BC203D" w:rsidRDefault="00FD6879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Ермасова Н.Б. Финансовый менеджмент. – М.: Юрайт-Издат, 2006. – </w:t>
      </w:r>
    </w:p>
    <w:p w:rsidR="00FD6879" w:rsidRPr="00BC203D" w:rsidRDefault="00FD6879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192 с.</w:t>
      </w:r>
    </w:p>
    <w:p w:rsidR="00D06224" w:rsidRPr="00BC203D" w:rsidRDefault="00FD6879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Ковалев В.В. Финансовый анализ - М.: Финансы и статистика, 2000. - </w:t>
      </w:r>
    </w:p>
    <w:p w:rsidR="00FD6879" w:rsidRPr="00BC203D" w:rsidRDefault="00FD6879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511 с.</w:t>
      </w:r>
    </w:p>
    <w:p w:rsidR="00BE4A5D" w:rsidRPr="00BC203D" w:rsidRDefault="00BE4A5D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Кузнецов Б.Т. Финансовый менеджмент. – М.: ЮНИТИ-ДАНА, 2005. – 415 с.</w:t>
      </w:r>
    </w:p>
    <w:p w:rsidR="00BE4A5D" w:rsidRPr="00BC203D" w:rsidRDefault="00BE4A5D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Леонтьев В.Е., Бочаров В.В., Радковская Н.П. Финансовый менеджмент. – М.: ЭЛИТ, 2005. – 560 с.</w:t>
      </w:r>
    </w:p>
    <w:p w:rsidR="00FD6879" w:rsidRPr="00BC203D" w:rsidRDefault="00FD6879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Маляревская Ю.Н., Сторчевой М.А. Финансовый менеджмент. – М.: Экономическая школа, 2004. – 496 с.</w:t>
      </w:r>
    </w:p>
    <w:p w:rsidR="00BE4A5D" w:rsidRPr="00BC203D" w:rsidRDefault="00BE4A5D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Поляк Г.Б. Финансовый менеджмент. – М.: ЮНИТИ-ДАНА, 2006. – 527 с.</w:t>
      </w:r>
    </w:p>
    <w:p w:rsidR="00BE4A5D" w:rsidRPr="00BC203D" w:rsidRDefault="00BE4A5D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Самсонов Н.Ф. Финансовый менеджмент. – М.: ЮНИТИ-ДАНА, 2004. – 415 с.</w:t>
      </w:r>
    </w:p>
    <w:p w:rsidR="00FD6879" w:rsidRPr="00BC203D" w:rsidRDefault="00FD6879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Сафонова Л.А., Плотникова Н.Ю. Финансовый менеджмент. – М.: Высш. шк., 2005. – 160 с.</w:t>
      </w:r>
    </w:p>
    <w:p w:rsidR="00FD6879" w:rsidRPr="00BC203D" w:rsidRDefault="00FD6879" w:rsidP="00BC203D">
      <w:pPr>
        <w:numPr>
          <w:ilvl w:val="0"/>
          <w:numId w:val="2"/>
        </w:numPr>
        <w:shd w:val="clear" w:color="000000" w:fill="FFFFFF"/>
        <w:tabs>
          <w:tab w:val="num" w:pos="0"/>
          <w:tab w:val="left" w:pos="426"/>
          <w:tab w:val="left" w:pos="960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Финансовый менеджмент / Под ред. А. М. Ковалевой. – М.: ИНФРА-М, 2002. – 284 с.</w:t>
      </w:r>
    </w:p>
    <w:p w:rsidR="008774F9" w:rsidRPr="00BC203D" w:rsidRDefault="008774F9" w:rsidP="00BC203D">
      <w:pPr>
        <w:shd w:val="clear" w:color="000000" w:fill="FFFFFF"/>
        <w:tabs>
          <w:tab w:val="left" w:pos="426"/>
        </w:tabs>
        <w:suppressAutoHyphens/>
        <w:spacing w:line="360" w:lineRule="auto"/>
        <w:ind w:firstLine="0"/>
        <w:rPr>
          <w:color w:val="000000"/>
          <w:sz w:val="28"/>
          <w:szCs w:val="28"/>
        </w:rPr>
      </w:pPr>
    </w:p>
    <w:p w:rsidR="00512A24" w:rsidRPr="00BC203D" w:rsidRDefault="00AC1256" w:rsidP="00BC203D">
      <w:pPr>
        <w:shd w:val="clear" w:color="000000" w:fill="FFFFFF"/>
        <w:tabs>
          <w:tab w:val="left" w:pos="426"/>
        </w:tabs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="00512A24" w:rsidRPr="00BC203D">
        <w:rPr>
          <w:b/>
          <w:color w:val="000000"/>
          <w:sz w:val="28"/>
          <w:szCs w:val="28"/>
        </w:rPr>
        <w:t>ПРАКТИЧЕСКАЯ ЧАСТЬ</w:t>
      </w:r>
    </w:p>
    <w:p w:rsidR="00512A24" w:rsidRPr="00BC203D" w:rsidRDefault="00512A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Исходные данные: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Планируется создание предприятия по выпуску товара Х. Организационно-правовая форма – акционерное общество. Уставный капитал будет создан за счет эмиссии акций номиналом 100 рублей, объем эмиссии </w:t>
      </w:r>
      <w:r w:rsidR="000D72A7" w:rsidRPr="00BC203D">
        <w:rPr>
          <w:color w:val="000000"/>
          <w:sz w:val="28"/>
          <w:szCs w:val="28"/>
        </w:rPr>
        <w:t>70</w:t>
      </w:r>
      <w:r w:rsidRPr="00BC203D">
        <w:rPr>
          <w:color w:val="000000"/>
          <w:sz w:val="28"/>
          <w:szCs w:val="28"/>
        </w:rPr>
        <w:t xml:space="preserve"> 000 акций. Размещение выпуска планируется завершить к 1.12.2007 г. Планируется распределение средств, полученных в результате эмиссии – к 1.12.2008 г., следующим образом: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1507"/>
      </w:tblGrid>
      <w:tr w:rsidR="0083618A" w:rsidRPr="00BC203D" w:rsidTr="00BC203D">
        <w:trPr>
          <w:jc w:val="center"/>
        </w:trPr>
        <w:tc>
          <w:tcPr>
            <w:tcW w:w="387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Направлен е расходов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В % от уставного капитала</w:t>
            </w:r>
          </w:p>
        </w:tc>
      </w:tr>
      <w:tr w:rsidR="0083618A" w:rsidRPr="00BC203D" w:rsidTr="00BC203D">
        <w:trPr>
          <w:jc w:val="center"/>
        </w:trPr>
        <w:tc>
          <w:tcPr>
            <w:tcW w:w="387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Приобретение патентов, лицензий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8</w:t>
            </w:r>
          </w:p>
        </w:tc>
      </w:tr>
      <w:tr w:rsidR="0083618A" w:rsidRPr="00BC203D" w:rsidTr="00BC203D">
        <w:trPr>
          <w:jc w:val="center"/>
        </w:trPr>
        <w:tc>
          <w:tcPr>
            <w:tcW w:w="387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Приобретение зданий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33</w:t>
            </w:r>
          </w:p>
        </w:tc>
      </w:tr>
      <w:tr w:rsidR="0083618A" w:rsidRPr="00BC203D" w:rsidTr="00BC203D">
        <w:trPr>
          <w:jc w:val="center"/>
        </w:trPr>
        <w:tc>
          <w:tcPr>
            <w:tcW w:w="387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Приобретение оборудования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83618A" w:rsidRPr="00BC203D" w:rsidTr="00BC203D">
        <w:trPr>
          <w:jc w:val="center"/>
        </w:trPr>
        <w:tc>
          <w:tcPr>
            <w:tcW w:w="387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Аванс работникам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3</w:t>
            </w:r>
          </w:p>
        </w:tc>
      </w:tr>
      <w:tr w:rsidR="0083618A" w:rsidRPr="00BC203D" w:rsidTr="00BC203D">
        <w:trPr>
          <w:jc w:val="center"/>
        </w:trPr>
        <w:tc>
          <w:tcPr>
            <w:tcW w:w="387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Приобретение авторских программных продуктов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</w:t>
            </w:r>
          </w:p>
        </w:tc>
      </w:tr>
      <w:tr w:rsidR="0083618A" w:rsidRPr="00BC203D" w:rsidTr="00BC203D">
        <w:trPr>
          <w:jc w:val="center"/>
        </w:trPr>
        <w:tc>
          <w:tcPr>
            <w:tcW w:w="387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Денежные средства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7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Объем продаж в январе </w:t>
      </w:r>
      <w:r w:rsidR="000D72A7" w:rsidRPr="00BC203D">
        <w:rPr>
          <w:color w:val="000000"/>
          <w:sz w:val="28"/>
          <w:szCs w:val="28"/>
        </w:rPr>
        <w:t>270</w:t>
      </w:r>
      <w:r w:rsidRPr="00BC203D">
        <w:rPr>
          <w:color w:val="000000"/>
          <w:sz w:val="28"/>
          <w:szCs w:val="28"/>
        </w:rPr>
        <w:t xml:space="preserve"> шт., по цене </w:t>
      </w:r>
      <w:r w:rsidR="000D72A7" w:rsidRPr="00BC203D">
        <w:rPr>
          <w:color w:val="000000"/>
          <w:sz w:val="28"/>
          <w:szCs w:val="28"/>
        </w:rPr>
        <w:t>25</w:t>
      </w:r>
      <w:r w:rsidRPr="00BC203D">
        <w:rPr>
          <w:color w:val="000000"/>
          <w:sz w:val="28"/>
          <w:szCs w:val="28"/>
        </w:rPr>
        <w:t xml:space="preserve"> руб. Темп роста объема продаж по кварталам: 1 – 100%; 2 – 110%; 3 – 120%; 4 – 90%.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Структура прямых затраты в январе, %: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основные материалы – </w:t>
      </w:r>
      <w:r w:rsidR="000D72A7" w:rsidRPr="00BC203D">
        <w:rPr>
          <w:color w:val="000000"/>
          <w:sz w:val="28"/>
          <w:szCs w:val="28"/>
        </w:rPr>
        <w:t>60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основная зарплата рабочих – сдельщиков – </w:t>
      </w:r>
      <w:r w:rsidR="000D72A7" w:rsidRPr="00BC203D">
        <w:rPr>
          <w:color w:val="000000"/>
          <w:sz w:val="28"/>
          <w:szCs w:val="28"/>
        </w:rPr>
        <w:t>9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основная зарплата рабочих – повременщиков – </w:t>
      </w:r>
      <w:r w:rsidR="000D72A7" w:rsidRPr="00BC203D">
        <w:rPr>
          <w:color w:val="000000"/>
          <w:sz w:val="28"/>
          <w:szCs w:val="28"/>
        </w:rPr>
        <w:t>1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эксплуатация машин и механизмов – </w:t>
      </w:r>
      <w:r w:rsidR="000D72A7" w:rsidRPr="00BC203D">
        <w:rPr>
          <w:color w:val="000000"/>
          <w:sz w:val="28"/>
          <w:szCs w:val="28"/>
        </w:rPr>
        <w:t>3</w:t>
      </w:r>
      <w:r w:rsidRPr="00BC203D">
        <w:rPr>
          <w:color w:val="000000"/>
          <w:sz w:val="28"/>
          <w:szCs w:val="28"/>
        </w:rPr>
        <w:t>0;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том числе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оплата труда – </w:t>
      </w:r>
      <w:r w:rsidR="000D72A7" w:rsidRPr="00BC203D">
        <w:rPr>
          <w:color w:val="000000"/>
          <w:sz w:val="28"/>
          <w:szCs w:val="28"/>
        </w:rPr>
        <w:t>2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амортизация – 28;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Общехозяйственные расходы, в % от прямых затрат – 28;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том числе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административно-хозяйственные расходы – 5</w:t>
      </w:r>
      <w:r w:rsidR="000D72A7" w:rsidRPr="00BC203D">
        <w:rPr>
          <w:color w:val="000000"/>
          <w:sz w:val="28"/>
          <w:szCs w:val="28"/>
        </w:rPr>
        <w:t>5</w:t>
      </w:r>
      <w:r w:rsidRPr="00BC203D">
        <w:rPr>
          <w:color w:val="000000"/>
          <w:sz w:val="28"/>
          <w:szCs w:val="28"/>
        </w:rPr>
        <w:t>;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том числе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заработная плата – 2</w:t>
      </w:r>
      <w:r w:rsidR="000D72A7" w:rsidRPr="00BC203D">
        <w:rPr>
          <w:color w:val="000000"/>
          <w:sz w:val="28"/>
          <w:szCs w:val="28"/>
        </w:rPr>
        <w:t>0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амортизация – 7</w:t>
      </w:r>
      <w:r w:rsidR="000D72A7" w:rsidRPr="00BC203D">
        <w:rPr>
          <w:color w:val="000000"/>
          <w:sz w:val="28"/>
          <w:szCs w:val="28"/>
        </w:rPr>
        <w:t>8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материальные затраты – </w:t>
      </w:r>
      <w:r w:rsidR="000D72A7" w:rsidRPr="00BC203D">
        <w:rPr>
          <w:color w:val="000000"/>
          <w:sz w:val="28"/>
          <w:szCs w:val="28"/>
        </w:rPr>
        <w:t>2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расходы по организации производства – 2</w:t>
      </w:r>
      <w:r w:rsidR="000D72A7" w:rsidRPr="00BC203D">
        <w:rPr>
          <w:color w:val="000000"/>
          <w:sz w:val="28"/>
          <w:szCs w:val="28"/>
        </w:rPr>
        <w:t>5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том числе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амортизация – </w:t>
      </w:r>
      <w:r w:rsidR="000D72A7" w:rsidRPr="00BC203D">
        <w:rPr>
          <w:color w:val="000000"/>
          <w:sz w:val="28"/>
          <w:szCs w:val="28"/>
        </w:rPr>
        <w:t>85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материальные затраты – </w:t>
      </w:r>
      <w:r w:rsidR="000D72A7" w:rsidRPr="00BC203D">
        <w:rPr>
          <w:color w:val="000000"/>
          <w:sz w:val="28"/>
          <w:szCs w:val="28"/>
        </w:rPr>
        <w:t>10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- расходы по обслуживанию рабочих – </w:t>
      </w:r>
      <w:r w:rsidR="000D72A7" w:rsidRPr="00BC203D">
        <w:rPr>
          <w:color w:val="000000"/>
          <w:sz w:val="28"/>
          <w:szCs w:val="28"/>
        </w:rPr>
        <w:t>2</w:t>
      </w:r>
      <w:r w:rsidRPr="00BC203D">
        <w:rPr>
          <w:color w:val="000000"/>
          <w:sz w:val="28"/>
          <w:szCs w:val="28"/>
        </w:rPr>
        <w:t>0;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том числе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материальные затраты – 6;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Рентабельность производства в январе, % - </w:t>
      </w:r>
      <w:r w:rsidR="000D72A7" w:rsidRPr="00BC203D">
        <w:rPr>
          <w:color w:val="000000"/>
          <w:sz w:val="28"/>
          <w:szCs w:val="28"/>
        </w:rPr>
        <w:t>17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Доля дебиторской задолженности, погашаемая через 2 месяца, % - 4</w:t>
      </w:r>
      <w:r w:rsidR="000D72A7" w:rsidRPr="00BC203D">
        <w:rPr>
          <w:color w:val="000000"/>
          <w:sz w:val="28"/>
          <w:szCs w:val="28"/>
        </w:rPr>
        <w:t>0</w:t>
      </w:r>
      <w:r w:rsidRPr="00BC203D">
        <w:rPr>
          <w:color w:val="000000"/>
          <w:sz w:val="28"/>
          <w:szCs w:val="28"/>
        </w:rPr>
        <w:t>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Норма амортизации по активной части основных производственных фондов, % - 12;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Норма амортизации по пассивной части основных производственных фондов, % - 5;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Нематериальные активы (патенты), срок полезного пользования, лет – </w:t>
      </w:r>
      <w:r w:rsidR="000D72A7" w:rsidRPr="00BC203D">
        <w:rPr>
          <w:color w:val="000000"/>
          <w:sz w:val="28"/>
          <w:szCs w:val="28"/>
        </w:rPr>
        <w:t>4</w:t>
      </w:r>
      <w:r w:rsidRPr="00BC203D">
        <w:rPr>
          <w:color w:val="000000"/>
          <w:sz w:val="28"/>
          <w:szCs w:val="28"/>
        </w:rPr>
        <w:t>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1. Управление внеоборотными активами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Целью данного раздела является прогнозирование величины внеоборотного капитала, расчет амортизации по видам внеоборотных активов. В разделе также рассчитываются варианты амортизации по вновь поступившим основным фондам, варианты лизинга. В табл. 1 приводятся исходные условия для определения первоначальной</w:t>
      </w:r>
      <w:r w:rsidR="00D06224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стоимости активов, амортизации. Порядок начисления амортизации различными методами изложен в ПБУ 6/01.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Сумма годовой амортизации (</w:t>
      </w:r>
      <w:r w:rsidR="006278AB">
        <w:rPr>
          <w:color w:val="000000"/>
          <w:sz w:val="28"/>
          <w:szCs w:val="28"/>
        </w:rPr>
        <w:pict>
          <v:shape id="_x0000_i1026" type="#_x0000_t75" style="width:17.25pt;height:18pt">
            <v:imagedata r:id="rId8" o:title=""/>
          </v:shape>
        </w:pict>
      </w:r>
      <w:r w:rsidRPr="00BC203D">
        <w:rPr>
          <w:color w:val="000000"/>
          <w:sz w:val="28"/>
          <w:szCs w:val="28"/>
        </w:rPr>
        <w:t>) определяется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102pt;height:18.75pt">
            <v:imagedata r:id="rId9" o:title=""/>
          </v:shape>
        </w:pict>
      </w:r>
      <w:r w:rsidR="0083618A" w:rsidRPr="00BC203D">
        <w:rPr>
          <w:color w:val="000000"/>
          <w:sz w:val="28"/>
          <w:szCs w:val="28"/>
        </w:rPr>
        <w:t>,</w:t>
      </w:r>
      <w:r w:rsidR="00D06224" w:rsidRPr="00BC203D">
        <w:rPr>
          <w:color w:val="000000"/>
          <w:sz w:val="28"/>
          <w:szCs w:val="28"/>
        </w:rPr>
        <w:t xml:space="preserve"> </w:t>
      </w:r>
      <w:r w:rsidR="000E396A" w:rsidRPr="00BC203D">
        <w:rPr>
          <w:color w:val="000000"/>
          <w:sz w:val="28"/>
          <w:szCs w:val="28"/>
        </w:rPr>
        <w:t>(1)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style="width:17.25pt;height:18pt">
            <v:imagedata r:id="rId8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- сумма годовой амортизации за </w:t>
      </w:r>
      <w:r w:rsidR="0083618A" w:rsidRPr="00BC203D">
        <w:rPr>
          <w:color w:val="000000"/>
          <w:sz w:val="28"/>
          <w:szCs w:val="28"/>
          <w:lang w:val="en-US"/>
        </w:rPr>
        <w:t>i</w:t>
      </w:r>
      <w:r w:rsidR="0083618A" w:rsidRPr="00BC203D">
        <w:rPr>
          <w:color w:val="000000"/>
          <w:sz w:val="28"/>
          <w:szCs w:val="28"/>
        </w:rPr>
        <w:t>-й год, начисленная линейным (пропорциональным) методом;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На – норма годовой амортизации, %;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Фп – первоначальная стоимость фондов.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Норма амортизации определяется по формуле: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На = ((Фп – Фл) / (Фп * Тп)) * 100%,</w:t>
      </w:r>
      <w:r w:rsidR="00D06224" w:rsidRPr="00BC203D">
        <w:rPr>
          <w:color w:val="000000"/>
          <w:sz w:val="28"/>
          <w:szCs w:val="28"/>
        </w:rPr>
        <w:t xml:space="preserve"> </w:t>
      </w:r>
      <w:r w:rsidR="000E396A" w:rsidRPr="00BC203D">
        <w:rPr>
          <w:color w:val="000000"/>
          <w:sz w:val="28"/>
          <w:szCs w:val="28"/>
        </w:rPr>
        <w:t>(2)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Фл – ликвидационная стоимость основных фондов;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Тп – срок полезного использования, в годах.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Результаты данных расчетов сведены в таблицу 1.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608"/>
        <w:gridCol w:w="1713"/>
        <w:gridCol w:w="1713"/>
        <w:gridCol w:w="1529"/>
      </w:tblGrid>
      <w:tr w:rsidR="0083618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Вид внеоборотных активов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Первоначальная стоимость внеоборотных активов, тыс. руб.</w:t>
            </w:r>
            <w:r w:rsidRPr="00BC203D">
              <w:rPr>
                <w:rStyle w:val="ac"/>
                <w:color w:val="000000"/>
                <w:sz w:val="20"/>
                <w:vertAlign w:val="baseline"/>
              </w:rPr>
              <w:footnoteReference w:id="1"/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Годовая сумма амортизации, тыс. руб.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Норма амортизации, %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Срок полезного использования, лет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21,8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3,5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958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37,8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4,3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23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283,5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1545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50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2008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147,4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8,0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12,5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2163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283,7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14,3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1545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283,4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4232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776,6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773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283,6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40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2,5</w:t>
            </w:r>
          </w:p>
        </w:tc>
      </w:tr>
      <w:tr w:rsidR="0012696C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Итого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16993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2146,1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12696C" w:rsidRPr="00BC203D" w:rsidRDefault="0012696C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1 – Административное здание;</w:t>
      </w: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2 – Производственное здание;</w:t>
      </w: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3 – Мебель, в том числе 30% составляет мебель общежития;</w:t>
      </w: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4 – Общежитие;</w:t>
      </w: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5 – Оборудование;</w:t>
      </w: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6 – Вновь поступившее высокотехнологичное оборудование;</w:t>
      </w: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7 – Вычислительная техника;</w:t>
      </w: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8 – Авторские программные продукты;</w:t>
      </w:r>
    </w:p>
    <w:p w:rsidR="0012696C" w:rsidRPr="00BC203D" w:rsidRDefault="0012696C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9 – Лицензия.</w:t>
      </w:r>
    </w:p>
    <w:p w:rsidR="00B20E7D" w:rsidRPr="00BC203D" w:rsidRDefault="00B20E7D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Пассивная часть основных фондов числится на балансе 15 лет; оборудование - 2,5 года; вычислительная техника - 1 год; мебель – 2 года; лицензия и программные продукты – 0,5 года.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Балансовая стоимость активов определяется по формулам: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06224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75.75pt;height:18.75pt">
            <v:imagedata r:id="rId10" o:title=""/>
          </v:shape>
        </w:pict>
      </w:r>
      <w:r w:rsidR="0083618A" w:rsidRPr="00BC203D">
        <w:rPr>
          <w:color w:val="000000"/>
          <w:sz w:val="28"/>
          <w:szCs w:val="28"/>
        </w:rPr>
        <w:t>,</w:t>
      </w:r>
      <w:r w:rsidR="00D06224" w:rsidRPr="00BC203D">
        <w:rPr>
          <w:color w:val="000000"/>
          <w:sz w:val="28"/>
          <w:szCs w:val="28"/>
        </w:rPr>
        <w:t xml:space="preserve"> </w:t>
      </w:r>
      <w:r w:rsidR="000E396A" w:rsidRPr="00BC203D">
        <w:rPr>
          <w:color w:val="000000"/>
          <w:sz w:val="28"/>
          <w:szCs w:val="28"/>
        </w:rPr>
        <w:t>(3)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0" type="#_x0000_t75" style="width:96.75pt;height:33.75pt">
            <v:imagedata r:id="rId11" o:title=""/>
          </v:shape>
        </w:pict>
      </w:r>
      <w:r w:rsidR="0083618A" w:rsidRPr="00BC203D">
        <w:rPr>
          <w:color w:val="000000"/>
          <w:sz w:val="28"/>
          <w:szCs w:val="28"/>
        </w:rPr>
        <w:t>,</w:t>
      </w:r>
      <w:r w:rsidR="00D06224" w:rsidRPr="00BC203D">
        <w:rPr>
          <w:color w:val="000000"/>
          <w:sz w:val="28"/>
          <w:szCs w:val="28"/>
        </w:rPr>
        <w:t xml:space="preserve"> </w:t>
      </w:r>
      <w:r w:rsidR="000E396A" w:rsidRPr="00BC203D">
        <w:rPr>
          <w:color w:val="000000"/>
          <w:sz w:val="28"/>
          <w:szCs w:val="28"/>
        </w:rPr>
        <w:t>(4)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где </w:t>
      </w:r>
      <w:r w:rsidR="006278AB">
        <w:rPr>
          <w:color w:val="000000"/>
          <w:sz w:val="28"/>
          <w:szCs w:val="28"/>
        </w:rPr>
        <w:pict>
          <v:shape id="_x0000_i1031" type="#_x0000_t75" style="width:29.25pt;height:20.25pt">
            <v:imagedata r:id="rId12" o:title=""/>
          </v:shape>
        </w:pict>
      </w:r>
      <w:r w:rsidRPr="00BC203D">
        <w:rPr>
          <w:color w:val="000000"/>
          <w:sz w:val="28"/>
          <w:szCs w:val="28"/>
        </w:rPr>
        <w:t xml:space="preserve"> - балансовая стоимость фондов на начало (конец) года,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n</w:t>
      </w:r>
      <w:r w:rsidRPr="00BC203D">
        <w:rPr>
          <w:color w:val="000000"/>
          <w:sz w:val="28"/>
          <w:szCs w:val="28"/>
        </w:rPr>
        <w:t xml:space="preserve"> – время, прошедшее с момента постановки на учет, в годах.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Результаты расчетов сведены в таблицу 2.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Пример расчета для административного здания: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32.75pt;height:18pt">
            <v:imagedata r:id="rId13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20.75pt;height:18pt">
            <v:imagedata r:id="rId14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тыс. руб.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работе дополнительно ведется расчет амортизации нелинейными методами по вновь вводимым основным фондам: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метод суммы чисел лет срока полезного использования;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метод уменьшаемого остатка (метод регрессии).</w:t>
      </w:r>
    </w:p>
    <w:p w:rsidR="0083618A" w:rsidRPr="00BC203D" w:rsidRDefault="00D06224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="0083618A" w:rsidRPr="00BC203D">
        <w:rPr>
          <w:color w:val="000000"/>
          <w:sz w:val="28"/>
          <w:szCs w:val="28"/>
        </w:rPr>
        <w:t>Таблица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1608"/>
        <w:gridCol w:w="1537"/>
        <w:gridCol w:w="1419"/>
        <w:gridCol w:w="1882"/>
      </w:tblGrid>
      <w:tr w:rsidR="0083618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Вид внеоборотных активов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Первоначальная стоимость активов, тыс. руб.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Годовая сумма амортизации, тыс. руб.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Стоимость активов на начало года, тыс. руб.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Стоимость активов на конец года, тыс. руб.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353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331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958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37,8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391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353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3090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283,5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2523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2240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1545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28,3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1119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1091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2008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147,4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1639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1492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2163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283,7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2163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1879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1545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283,4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1261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978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4232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776,6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3844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3068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773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283,6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631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347</w:t>
            </w:r>
          </w:p>
        </w:tc>
      </w:tr>
      <w:tr w:rsidR="000E396A" w:rsidRPr="00BC203D" w:rsidTr="00BC203D">
        <w:trPr>
          <w:jc w:val="center"/>
        </w:trPr>
        <w:tc>
          <w:tcPr>
            <w:tcW w:w="14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Итого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16993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2146,1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13925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0E396A" w:rsidRPr="00BC203D" w:rsidRDefault="000E396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11778</w:t>
            </w:r>
          </w:p>
        </w:tc>
      </w:tr>
    </w:tbl>
    <w:p w:rsidR="000E396A" w:rsidRPr="00BC203D" w:rsidRDefault="000E396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Амортизация по методу суммы чисел рассчитывается по двум вариантам: повышение сумм амортизации в первые годы и понижение. Сумма амортизации 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>-го года (</w:t>
      </w:r>
      <w:r w:rsidR="006278AB">
        <w:rPr>
          <w:color w:val="000000"/>
          <w:sz w:val="28"/>
          <w:szCs w:val="28"/>
        </w:rPr>
        <w:pict>
          <v:shape id="_x0000_i1034" type="#_x0000_t75" style="width:17.25pt;height:18pt">
            <v:imagedata r:id="rId15" o:title=""/>
          </v:shape>
        </w:pict>
      </w:r>
      <w:r w:rsidRPr="00BC203D">
        <w:rPr>
          <w:color w:val="000000"/>
          <w:sz w:val="28"/>
          <w:szCs w:val="28"/>
        </w:rPr>
        <w:t>) определяется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7.25pt;height:18pt">
            <v:imagedata r:id="rId16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= (</w:t>
      </w:r>
      <w:r w:rsidR="0083618A" w:rsidRPr="00BC203D">
        <w:rPr>
          <w:color w:val="000000"/>
          <w:sz w:val="28"/>
          <w:szCs w:val="28"/>
          <w:lang w:val="en-US"/>
        </w:rPr>
        <w:t>ki</w:t>
      </w:r>
      <w:r w:rsidR="0083618A" w:rsidRPr="00BC203D">
        <w:rPr>
          <w:color w:val="000000"/>
          <w:sz w:val="28"/>
          <w:szCs w:val="28"/>
        </w:rPr>
        <w:t xml:space="preserve"> / К)*100%,</w:t>
      </w:r>
      <w:r w:rsidR="00D06224" w:rsidRPr="00BC203D">
        <w:rPr>
          <w:color w:val="000000"/>
          <w:sz w:val="28"/>
          <w:szCs w:val="28"/>
        </w:rPr>
        <w:t xml:space="preserve"> </w:t>
      </w:r>
      <w:r w:rsidR="000E396A" w:rsidRPr="00BC203D">
        <w:rPr>
          <w:color w:val="000000"/>
          <w:sz w:val="28"/>
          <w:szCs w:val="28"/>
        </w:rPr>
        <w:t>(5)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7.25pt;height:18pt">
            <v:imagedata r:id="rId16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- сумма амортизации </w:t>
      </w:r>
      <w:r w:rsidR="0083618A" w:rsidRPr="00BC203D">
        <w:rPr>
          <w:color w:val="000000"/>
          <w:sz w:val="28"/>
          <w:szCs w:val="28"/>
          <w:lang w:val="en-US"/>
        </w:rPr>
        <w:t>i</w:t>
      </w:r>
      <w:r w:rsidR="0083618A" w:rsidRPr="00BC203D">
        <w:rPr>
          <w:color w:val="000000"/>
          <w:sz w:val="28"/>
          <w:szCs w:val="28"/>
        </w:rPr>
        <w:t>-года, определенная методом суммы чисел;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ki</w:t>
      </w:r>
      <w:r w:rsidRPr="00BC203D">
        <w:rPr>
          <w:color w:val="000000"/>
          <w:sz w:val="28"/>
          <w:szCs w:val="28"/>
        </w:rPr>
        <w:t xml:space="preserve"> – составляющая кумулятивного числа, выбранная последовательно слева направо (справа налево);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 – кумулятивное число.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Кумулятивное число рассчитывается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7" type="#_x0000_t75" style="width:84pt;height:35.25pt">
            <v:imagedata r:id="rId17" o:title=""/>
          </v:shape>
        </w:pict>
      </w:r>
      <w:r w:rsidR="0083618A" w:rsidRPr="00BC203D">
        <w:rPr>
          <w:color w:val="000000"/>
          <w:sz w:val="28"/>
          <w:szCs w:val="28"/>
        </w:rPr>
        <w:t>.</w:t>
      </w:r>
      <w:r w:rsidR="00D06224" w:rsidRPr="00BC203D">
        <w:rPr>
          <w:color w:val="000000"/>
          <w:sz w:val="28"/>
          <w:szCs w:val="28"/>
        </w:rPr>
        <w:t xml:space="preserve"> </w:t>
      </w:r>
      <w:r w:rsidR="000E396A" w:rsidRPr="00BC203D">
        <w:rPr>
          <w:color w:val="000000"/>
          <w:sz w:val="28"/>
          <w:szCs w:val="28"/>
        </w:rPr>
        <w:t>(6)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="0083618A" w:rsidRPr="00BC203D">
        <w:rPr>
          <w:color w:val="000000"/>
          <w:sz w:val="28"/>
          <w:szCs w:val="28"/>
        </w:rPr>
        <w:t xml:space="preserve">Срок полезного использования поступившего высокотехнологичного оборудования составляет 8 лет, следовательно, К = 1 + 2 + 3 + 4 + 5 + 6 + 7 = 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= </w:t>
      </w:r>
      <w:r w:rsidR="000E396A" w:rsidRPr="00BC203D">
        <w:rPr>
          <w:color w:val="000000"/>
          <w:sz w:val="28"/>
          <w:szCs w:val="28"/>
        </w:rPr>
        <w:t>28</w:t>
      </w:r>
      <w:r w:rsidRPr="00BC203D">
        <w:rPr>
          <w:color w:val="000000"/>
          <w:sz w:val="28"/>
          <w:szCs w:val="28"/>
        </w:rPr>
        <w:t xml:space="preserve">, </w:t>
      </w:r>
      <w:r w:rsidRPr="00BC203D">
        <w:rPr>
          <w:color w:val="000000"/>
          <w:sz w:val="28"/>
          <w:szCs w:val="28"/>
          <w:lang w:val="en-US"/>
        </w:rPr>
        <w:t>k</w:t>
      </w:r>
      <w:r w:rsidRPr="00BC203D">
        <w:rPr>
          <w:color w:val="000000"/>
          <w:sz w:val="28"/>
          <w:szCs w:val="28"/>
        </w:rPr>
        <w:t xml:space="preserve">1 = </w:t>
      </w:r>
      <w:r w:rsidR="000E396A" w:rsidRPr="00BC203D">
        <w:rPr>
          <w:color w:val="000000"/>
          <w:sz w:val="28"/>
          <w:szCs w:val="28"/>
        </w:rPr>
        <w:t>7</w:t>
      </w:r>
      <w:r w:rsidRPr="00BC203D">
        <w:rPr>
          <w:color w:val="000000"/>
          <w:sz w:val="28"/>
          <w:szCs w:val="28"/>
        </w:rPr>
        <w:t xml:space="preserve"> (1), </w:t>
      </w:r>
      <w:r w:rsidRPr="00BC203D">
        <w:rPr>
          <w:color w:val="000000"/>
          <w:sz w:val="28"/>
          <w:szCs w:val="28"/>
          <w:lang w:val="en-US"/>
        </w:rPr>
        <w:t>k</w:t>
      </w:r>
      <w:r w:rsidRPr="00BC203D">
        <w:rPr>
          <w:color w:val="000000"/>
          <w:sz w:val="28"/>
          <w:szCs w:val="28"/>
        </w:rPr>
        <w:t xml:space="preserve">2 = </w:t>
      </w:r>
      <w:r w:rsidR="000E396A" w:rsidRPr="00BC203D">
        <w:rPr>
          <w:color w:val="000000"/>
          <w:sz w:val="28"/>
          <w:szCs w:val="28"/>
        </w:rPr>
        <w:t>6</w:t>
      </w:r>
      <w:r w:rsidRPr="00BC203D">
        <w:rPr>
          <w:color w:val="000000"/>
          <w:sz w:val="28"/>
          <w:szCs w:val="28"/>
        </w:rPr>
        <w:t xml:space="preserve"> (2), </w:t>
      </w:r>
      <w:r w:rsidRPr="00BC203D">
        <w:rPr>
          <w:color w:val="000000"/>
          <w:sz w:val="28"/>
          <w:szCs w:val="28"/>
          <w:lang w:val="en-US"/>
        </w:rPr>
        <w:t>k</w:t>
      </w:r>
      <w:r w:rsidRPr="00BC203D">
        <w:rPr>
          <w:color w:val="000000"/>
          <w:sz w:val="28"/>
          <w:szCs w:val="28"/>
        </w:rPr>
        <w:t xml:space="preserve">3 = </w:t>
      </w:r>
      <w:r w:rsidR="000E396A" w:rsidRPr="00BC203D">
        <w:rPr>
          <w:color w:val="000000"/>
          <w:sz w:val="28"/>
          <w:szCs w:val="28"/>
        </w:rPr>
        <w:t>5</w:t>
      </w:r>
      <w:r w:rsidRPr="00BC203D">
        <w:rPr>
          <w:color w:val="000000"/>
          <w:sz w:val="28"/>
          <w:szCs w:val="28"/>
        </w:rPr>
        <w:t xml:space="preserve"> (3), </w:t>
      </w:r>
      <w:r w:rsidRPr="00BC203D">
        <w:rPr>
          <w:color w:val="000000"/>
          <w:sz w:val="28"/>
          <w:szCs w:val="28"/>
          <w:lang w:val="en-US"/>
        </w:rPr>
        <w:t>k</w:t>
      </w:r>
      <w:r w:rsidRPr="00BC203D">
        <w:rPr>
          <w:color w:val="000000"/>
          <w:sz w:val="28"/>
          <w:szCs w:val="28"/>
        </w:rPr>
        <w:t xml:space="preserve">4 = </w:t>
      </w:r>
      <w:r w:rsidR="000E396A" w:rsidRPr="00BC203D">
        <w:rPr>
          <w:color w:val="000000"/>
          <w:sz w:val="28"/>
          <w:szCs w:val="28"/>
        </w:rPr>
        <w:t>4</w:t>
      </w:r>
      <w:r w:rsidRPr="00BC203D">
        <w:rPr>
          <w:color w:val="000000"/>
          <w:sz w:val="28"/>
          <w:szCs w:val="28"/>
        </w:rPr>
        <w:t xml:space="preserve"> (4), </w:t>
      </w:r>
      <w:r w:rsidRPr="00BC203D">
        <w:rPr>
          <w:color w:val="000000"/>
          <w:sz w:val="28"/>
          <w:szCs w:val="28"/>
          <w:lang w:val="en-US"/>
        </w:rPr>
        <w:t>k</w:t>
      </w:r>
      <w:r w:rsidRPr="00BC203D">
        <w:rPr>
          <w:color w:val="000000"/>
          <w:sz w:val="28"/>
          <w:szCs w:val="28"/>
        </w:rPr>
        <w:t xml:space="preserve">5 = </w:t>
      </w:r>
      <w:r w:rsidR="000E396A" w:rsidRPr="00BC203D">
        <w:rPr>
          <w:color w:val="000000"/>
          <w:sz w:val="28"/>
          <w:szCs w:val="28"/>
        </w:rPr>
        <w:t>3</w:t>
      </w:r>
      <w:r w:rsidRPr="00BC203D">
        <w:rPr>
          <w:color w:val="000000"/>
          <w:sz w:val="28"/>
          <w:szCs w:val="28"/>
        </w:rPr>
        <w:t xml:space="preserve"> (5), </w:t>
      </w:r>
      <w:r w:rsidRPr="00BC203D">
        <w:rPr>
          <w:color w:val="000000"/>
          <w:sz w:val="28"/>
          <w:szCs w:val="28"/>
          <w:lang w:val="en-US"/>
        </w:rPr>
        <w:t>k</w:t>
      </w:r>
      <w:r w:rsidRPr="00BC203D">
        <w:rPr>
          <w:color w:val="000000"/>
          <w:sz w:val="28"/>
          <w:szCs w:val="28"/>
        </w:rPr>
        <w:t xml:space="preserve">6 = </w:t>
      </w:r>
      <w:r w:rsidR="000E396A" w:rsidRPr="00BC203D">
        <w:rPr>
          <w:color w:val="000000"/>
          <w:sz w:val="28"/>
          <w:szCs w:val="28"/>
        </w:rPr>
        <w:t>2</w:t>
      </w:r>
      <w:r w:rsidRPr="00BC203D">
        <w:rPr>
          <w:color w:val="000000"/>
          <w:sz w:val="28"/>
          <w:szCs w:val="28"/>
        </w:rPr>
        <w:t xml:space="preserve"> (6), </w:t>
      </w:r>
      <w:r w:rsidRPr="00BC203D">
        <w:rPr>
          <w:color w:val="000000"/>
          <w:sz w:val="28"/>
          <w:szCs w:val="28"/>
          <w:lang w:val="en-US"/>
        </w:rPr>
        <w:t>k</w:t>
      </w:r>
      <w:r w:rsidRPr="00BC203D">
        <w:rPr>
          <w:color w:val="000000"/>
          <w:sz w:val="28"/>
          <w:szCs w:val="28"/>
        </w:rPr>
        <w:t xml:space="preserve">7 = </w:t>
      </w:r>
      <w:r w:rsidR="000E396A" w:rsidRPr="00BC203D">
        <w:rPr>
          <w:color w:val="000000"/>
          <w:sz w:val="28"/>
          <w:szCs w:val="28"/>
        </w:rPr>
        <w:t>1</w:t>
      </w:r>
      <w:r w:rsidRPr="00BC203D">
        <w:rPr>
          <w:color w:val="000000"/>
          <w:sz w:val="28"/>
          <w:szCs w:val="28"/>
        </w:rPr>
        <w:t xml:space="preserve"> (7</w:t>
      </w:r>
      <w:r w:rsidR="000E396A" w:rsidRPr="00BC203D">
        <w:rPr>
          <w:color w:val="000000"/>
          <w:sz w:val="28"/>
          <w:szCs w:val="28"/>
        </w:rPr>
        <w:t>)</w:t>
      </w:r>
      <w:r w:rsidRPr="00BC203D">
        <w:rPr>
          <w:color w:val="000000"/>
          <w:sz w:val="28"/>
          <w:szCs w:val="28"/>
        </w:rPr>
        <w:t>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По первому варианту годовая сумма амортизации за первый год составит 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(</w:t>
      </w:r>
      <w:r w:rsidR="000E396A" w:rsidRPr="00BC203D">
        <w:rPr>
          <w:color w:val="000000"/>
          <w:sz w:val="28"/>
          <w:szCs w:val="28"/>
        </w:rPr>
        <w:t>7</w:t>
      </w:r>
      <w:r w:rsidRPr="00BC203D">
        <w:rPr>
          <w:color w:val="000000"/>
          <w:sz w:val="28"/>
          <w:szCs w:val="28"/>
        </w:rPr>
        <w:t xml:space="preserve"> / </w:t>
      </w:r>
      <w:r w:rsidR="000E396A" w:rsidRPr="00BC203D">
        <w:rPr>
          <w:color w:val="000000"/>
          <w:sz w:val="28"/>
          <w:szCs w:val="28"/>
        </w:rPr>
        <w:t>28</w:t>
      </w:r>
      <w:r w:rsidRPr="00BC203D">
        <w:rPr>
          <w:color w:val="000000"/>
          <w:sz w:val="28"/>
          <w:szCs w:val="28"/>
        </w:rPr>
        <w:t>)</w:t>
      </w:r>
      <w:r w:rsidR="000E396A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*</w:t>
      </w:r>
      <w:r w:rsidR="000E396A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 xml:space="preserve">100 = </w:t>
      </w:r>
      <w:r w:rsidR="000E396A" w:rsidRPr="00BC203D">
        <w:rPr>
          <w:color w:val="000000"/>
          <w:sz w:val="28"/>
          <w:szCs w:val="28"/>
        </w:rPr>
        <w:t>25</w:t>
      </w:r>
      <w:r w:rsidRPr="00BC203D">
        <w:rPr>
          <w:color w:val="000000"/>
          <w:sz w:val="28"/>
          <w:szCs w:val="28"/>
        </w:rPr>
        <w:t xml:space="preserve">% или </w:t>
      </w:r>
      <w:r w:rsidR="000E396A" w:rsidRPr="00BC203D">
        <w:rPr>
          <w:color w:val="000000"/>
          <w:sz w:val="28"/>
          <w:szCs w:val="28"/>
        </w:rPr>
        <w:t>25</w:t>
      </w:r>
      <w:r w:rsidRPr="00BC203D">
        <w:rPr>
          <w:color w:val="000000"/>
          <w:sz w:val="28"/>
          <w:szCs w:val="28"/>
        </w:rPr>
        <w:t xml:space="preserve"> * </w:t>
      </w:r>
      <w:r w:rsidR="000E396A" w:rsidRPr="00BC203D">
        <w:rPr>
          <w:color w:val="000000"/>
          <w:sz w:val="28"/>
          <w:szCs w:val="28"/>
        </w:rPr>
        <w:t>2 163</w:t>
      </w:r>
      <w:r w:rsidRPr="00BC203D">
        <w:rPr>
          <w:color w:val="000000"/>
          <w:sz w:val="28"/>
          <w:szCs w:val="28"/>
        </w:rPr>
        <w:t xml:space="preserve"> / 100 = </w:t>
      </w:r>
      <w:r w:rsidR="00BB2373" w:rsidRPr="00BC203D">
        <w:rPr>
          <w:color w:val="000000"/>
          <w:sz w:val="28"/>
          <w:szCs w:val="28"/>
        </w:rPr>
        <w:t>540,7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По второму варианту годовая сумма амортизации за первый год составит 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(1 / </w:t>
      </w:r>
      <w:r w:rsidR="000E396A" w:rsidRPr="00BC203D">
        <w:rPr>
          <w:color w:val="000000"/>
          <w:sz w:val="28"/>
          <w:szCs w:val="28"/>
        </w:rPr>
        <w:t>28</w:t>
      </w:r>
      <w:r w:rsidRPr="00BC203D">
        <w:rPr>
          <w:color w:val="000000"/>
          <w:sz w:val="28"/>
          <w:szCs w:val="28"/>
        </w:rPr>
        <w:t xml:space="preserve">)*100 = </w:t>
      </w:r>
      <w:r w:rsidR="000E396A" w:rsidRPr="00BC203D">
        <w:rPr>
          <w:color w:val="000000"/>
          <w:sz w:val="28"/>
          <w:szCs w:val="28"/>
        </w:rPr>
        <w:t>3,6</w:t>
      </w:r>
      <w:r w:rsidRPr="00BC203D">
        <w:rPr>
          <w:color w:val="000000"/>
          <w:sz w:val="28"/>
          <w:szCs w:val="28"/>
        </w:rPr>
        <w:t xml:space="preserve">% или </w:t>
      </w:r>
      <w:r w:rsidR="000E396A" w:rsidRPr="00BC203D">
        <w:rPr>
          <w:color w:val="000000"/>
          <w:sz w:val="28"/>
          <w:szCs w:val="28"/>
        </w:rPr>
        <w:t>3,6</w:t>
      </w:r>
      <w:r w:rsidRPr="00BC203D">
        <w:rPr>
          <w:color w:val="000000"/>
          <w:sz w:val="28"/>
          <w:szCs w:val="28"/>
        </w:rPr>
        <w:t xml:space="preserve"> * </w:t>
      </w:r>
      <w:r w:rsidR="000E396A" w:rsidRPr="00BC203D">
        <w:rPr>
          <w:color w:val="000000"/>
          <w:sz w:val="28"/>
          <w:szCs w:val="28"/>
        </w:rPr>
        <w:t>2 163</w:t>
      </w:r>
      <w:r w:rsidRPr="00BC203D">
        <w:rPr>
          <w:color w:val="000000"/>
          <w:sz w:val="28"/>
          <w:szCs w:val="28"/>
        </w:rPr>
        <w:t xml:space="preserve"> / 100 = </w:t>
      </w:r>
      <w:r w:rsidR="00BB2373" w:rsidRPr="00BC203D">
        <w:rPr>
          <w:color w:val="000000"/>
          <w:sz w:val="28"/>
          <w:szCs w:val="28"/>
        </w:rPr>
        <w:t>77,8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Сумма годовой амортизации по методу уменьшаемого остатка определяется по формуле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93.75pt;height:18.75pt">
            <v:imagedata r:id="rId18" o:title=""/>
          </v:shape>
        </w:pict>
      </w:r>
      <w:r w:rsidR="0083618A" w:rsidRPr="00BC203D">
        <w:rPr>
          <w:color w:val="000000"/>
          <w:sz w:val="28"/>
          <w:szCs w:val="28"/>
        </w:rPr>
        <w:t>,</w:t>
      </w:r>
      <w:r w:rsidR="00D06224" w:rsidRPr="00BC203D">
        <w:rPr>
          <w:color w:val="000000"/>
          <w:sz w:val="28"/>
          <w:szCs w:val="28"/>
        </w:rPr>
        <w:t xml:space="preserve"> </w:t>
      </w:r>
      <w:r w:rsidR="000E396A" w:rsidRPr="00BC203D">
        <w:rPr>
          <w:color w:val="000000"/>
          <w:sz w:val="28"/>
          <w:szCs w:val="28"/>
        </w:rPr>
        <w:t>(7)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27pt;height:18pt">
            <v:imagedata r:id="rId19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- сумма амортизации </w:t>
      </w:r>
      <w:r w:rsidR="0083618A" w:rsidRPr="00BC203D">
        <w:rPr>
          <w:color w:val="000000"/>
          <w:sz w:val="28"/>
          <w:szCs w:val="28"/>
          <w:lang w:val="en-US"/>
        </w:rPr>
        <w:t>i</w:t>
      </w:r>
      <w:r w:rsidR="0083618A" w:rsidRPr="00BC203D">
        <w:rPr>
          <w:color w:val="000000"/>
          <w:sz w:val="28"/>
          <w:szCs w:val="28"/>
        </w:rPr>
        <w:t>-го года, определенная методом уменьшаемого остатка;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 – коэффициент регрессии, принимает значение от 1 до 2.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21pt;height:18.75pt">
            <v:imagedata r:id="rId20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- остаточная стоимость активов на начало года.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Результаты расчетов амортизации по вновь поступившему оборудованию нелинейными методами представлены в табл. 3.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3</w:t>
      </w:r>
    </w:p>
    <w:tbl>
      <w:tblPr>
        <w:tblW w:w="8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6"/>
        <w:gridCol w:w="1289"/>
        <w:gridCol w:w="1263"/>
        <w:gridCol w:w="1260"/>
        <w:gridCol w:w="1620"/>
        <w:gridCol w:w="1759"/>
      </w:tblGrid>
      <w:tr w:rsidR="0083618A" w:rsidRPr="00BC203D" w:rsidTr="00BC203D">
        <w:trPr>
          <w:trHeight w:val="240"/>
          <w:jc w:val="center"/>
        </w:trPr>
        <w:tc>
          <w:tcPr>
            <w:tcW w:w="1166" w:type="dxa"/>
            <w:vMerge w:val="restart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Год</w:t>
            </w:r>
          </w:p>
        </w:tc>
        <w:tc>
          <w:tcPr>
            <w:tcW w:w="7191" w:type="dxa"/>
            <w:gridSpan w:val="5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Метод</w:t>
            </w:r>
          </w:p>
        </w:tc>
      </w:tr>
      <w:tr w:rsidR="0083618A" w:rsidRPr="00BC203D" w:rsidTr="00BC203D">
        <w:trPr>
          <w:trHeight w:val="240"/>
          <w:jc w:val="center"/>
        </w:trPr>
        <w:tc>
          <w:tcPr>
            <w:tcW w:w="1166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89" w:type="dxa"/>
            <w:vMerge w:val="restart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Линейный</w:t>
            </w:r>
          </w:p>
        </w:tc>
        <w:tc>
          <w:tcPr>
            <w:tcW w:w="2523" w:type="dxa"/>
            <w:gridSpan w:val="2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суммы чисел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уменьшаемого остатка</w:t>
            </w:r>
          </w:p>
        </w:tc>
      </w:tr>
      <w:tr w:rsidR="0083618A" w:rsidRPr="00BC203D" w:rsidTr="00BC203D">
        <w:trPr>
          <w:trHeight w:val="240"/>
          <w:jc w:val="center"/>
        </w:trPr>
        <w:tc>
          <w:tcPr>
            <w:tcW w:w="1166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89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вариант 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вариант 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вариант 1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вариант 2</w:t>
            </w:r>
          </w:p>
        </w:tc>
      </w:tr>
      <w:tr w:rsidR="002770E2" w:rsidRPr="00BC203D" w:rsidTr="00BC203D">
        <w:trPr>
          <w:trHeight w:val="240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540,7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77,8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618,0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309,0</w:t>
            </w:r>
          </w:p>
        </w:tc>
      </w:tr>
      <w:tr w:rsidR="002770E2" w:rsidRPr="00BC203D" w:rsidTr="00BC203D">
        <w:trPr>
          <w:trHeight w:val="240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463,4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154,4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386,3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231,8</w:t>
            </w:r>
          </w:p>
        </w:tc>
      </w:tr>
      <w:tr w:rsidR="002770E2" w:rsidRPr="00BC203D" w:rsidTr="00BC203D">
        <w:trPr>
          <w:trHeight w:val="240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386,2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231,5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289,7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202,8</w:t>
            </w:r>
          </w:p>
        </w:tc>
      </w:tr>
      <w:tr w:rsidR="002770E2" w:rsidRPr="00BC203D" w:rsidTr="00BC203D">
        <w:trPr>
          <w:trHeight w:val="240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309,0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309,0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217,3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177,4</w:t>
            </w:r>
          </w:p>
        </w:tc>
      </w:tr>
      <w:tr w:rsidR="002770E2" w:rsidRPr="00BC203D" w:rsidTr="00BC203D">
        <w:trPr>
          <w:trHeight w:val="240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231,5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386,2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162,9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155,3</w:t>
            </w:r>
          </w:p>
        </w:tc>
      </w:tr>
      <w:tr w:rsidR="002770E2" w:rsidRPr="00BC203D" w:rsidTr="00BC203D">
        <w:trPr>
          <w:trHeight w:val="240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154,4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463,4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122,2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135,8</w:t>
            </w:r>
          </w:p>
        </w:tc>
      </w:tr>
      <w:tr w:rsidR="002770E2" w:rsidRPr="00BC203D" w:rsidTr="00BC203D">
        <w:trPr>
          <w:trHeight w:val="240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309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77,8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540,8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91,7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118,9</w:t>
            </w:r>
          </w:p>
        </w:tc>
      </w:tr>
      <w:tr w:rsidR="002770E2" w:rsidRPr="00BC203D" w:rsidTr="00BC203D">
        <w:trPr>
          <w:trHeight w:val="240"/>
          <w:jc w:val="center"/>
        </w:trPr>
        <w:tc>
          <w:tcPr>
            <w:tcW w:w="1166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Итого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2 163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2 163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2 163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1888,0</w:t>
            </w:r>
          </w:p>
        </w:tc>
        <w:tc>
          <w:tcPr>
            <w:tcW w:w="1759" w:type="dxa"/>
            <w:shd w:val="clear" w:color="auto" w:fill="auto"/>
            <w:noWrap/>
            <w:vAlign w:val="center"/>
          </w:tcPr>
          <w:p w:rsidR="002770E2" w:rsidRPr="00BC203D" w:rsidRDefault="002770E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1330,9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Сравнение методов амортизации производится графически. На рис. 1 с линейным методом сравниваются нелинейные понижающие амортизацию методы, на рис. 2 – ускоренные.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Линейный способ исчисления амортизации позволяет равномерно переносить стоимость основных средств на продукцию, включая начисленную сумму амортизационных отчислений в себестоимость. при способе списания стоимость по сумме числе лет срока полезного использования годовая сумма амортизационных отчислений уменьшается из года в год, обеспечивая в итоге полное возмещение стоимости основных фондов. При</w:t>
      </w:r>
      <w:r w:rsidR="00D06224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способе</w:t>
      </w:r>
      <w:r w:rsidR="00D06224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уменьшаемого остатка амортизационные отчисления не возмещаю полностью стоимость основных фондов (ликвидационная стоимость не равна 0). В мировой практике этот метод используется с переходом на линейный, что позволяет списать стоимость основных средств до конца.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</w:rPr>
        <w:pict>
          <v:shape id="_x0000_i1041" type="#_x0000_t75" style="width:426.75pt;height:300pt">
            <v:imagedata r:id="rId21" o:title=""/>
          </v:shape>
        </w:pic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t>Рис. 1. Сравнение линейного метода с нелинейными понижающими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pict>
          <v:shape id="_x0000_i1042" type="#_x0000_t75" style="width:456.75pt;height:267.75pt">
            <v:imagedata r:id="rId22" o:title=""/>
          </v:shape>
        </w:pic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t>Рис. 2. Сравнение линейного метода с нелинейными ускоренными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При расчете арендной платы по договору лизинга учитывается возможность перераспределения арендной платы в течение аренды с учетом финансового положения лизингополучателя. Срок договора лизинга составляет 5 лет. Ставка по лизингу – </w:t>
      </w:r>
      <w:r w:rsidR="004633D2" w:rsidRPr="00BC203D">
        <w:rPr>
          <w:color w:val="000000"/>
          <w:sz w:val="28"/>
          <w:szCs w:val="28"/>
        </w:rPr>
        <w:t>2,7</w:t>
      </w:r>
      <w:r w:rsidRPr="00BC203D">
        <w:rPr>
          <w:color w:val="000000"/>
          <w:sz w:val="28"/>
          <w:szCs w:val="28"/>
        </w:rPr>
        <w:t>%. В курсовой работе предусмотрены три варианта:</w:t>
      </w:r>
    </w:p>
    <w:p w:rsidR="0083618A" w:rsidRPr="00BC203D" w:rsidRDefault="0083618A" w:rsidP="00BC203D">
      <w:pPr>
        <w:numPr>
          <w:ilvl w:val="0"/>
          <w:numId w:val="4"/>
        </w:numPr>
        <w:shd w:val="clear" w:color="000000" w:fill="FFFFFF"/>
        <w:tabs>
          <w:tab w:val="num" w:pos="0"/>
          <w:tab w:val="left" w:pos="1080"/>
        </w:tabs>
        <w:suppressAutoHyphens/>
        <w:spacing w:line="360" w:lineRule="auto"/>
        <w:ind w:left="0"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Амортизация в составе арендной платы распределяется равномерно.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2. Первые два года в арендную плату включается более 50% суммы амортизационных отчислений.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3. Последние два года в арендную плату включается</w:t>
      </w:r>
      <w:r w:rsidR="00D06224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более 50% суммы амортизационных отчислений.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Процентная ставка по кредиту равна 11%.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Расчет лизинговых платежей производится в следующей последовательности: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1) рассчитываются размеры лизинговых платежей по годам, охватываемым договором лизинга;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2) определяется общий размер лизинговых платежей за весь срок договора лизинга как сумма платежей по годам;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3) исчисляются размеры лизинговых взносов (годовых) в соответствии с выбранной периодичностью их уплаты. Общая сумма лизинговых платежей (ЛП) определяется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ЛП = АО + ПК + ВЛ + НДС,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АО – величина амортизационных отчислений, причитающаяся лизингодателю в текущем году;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ПК – плата за используемые кредитные ресурсы лизингодателем на приобретение имущества – объекта договора лизинга;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ВЛ – вознаграждение лизингодателю за предоставление имущества по договору;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НДС – налог на добавленную стоимость, уплачиваемый лизингополучателем за услуги лизингодателя в соответствии с действующим законодательством.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Величина амортизационных отчислений определяется методом равномерного начисления амортизации (табл. 4).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389"/>
        <w:gridCol w:w="1864"/>
        <w:gridCol w:w="1800"/>
        <w:gridCol w:w="1517"/>
      </w:tblGrid>
      <w:tr w:rsidR="0083618A" w:rsidRPr="00BC203D" w:rsidTr="00BC203D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Годы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Стоимость имущества на начало года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Сумма амортизационных отчислений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Стоимости имущества на конец года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Среднегодовая стоимость имущества</w:t>
            </w:r>
          </w:p>
        </w:tc>
      </w:tr>
      <w:tr w:rsidR="004633D2" w:rsidRPr="00BC203D" w:rsidTr="00BC203D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1-й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2 163,0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1 730,4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1 946,7</w:t>
            </w:r>
          </w:p>
        </w:tc>
      </w:tr>
      <w:tr w:rsidR="004633D2" w:rsidRPr="00BC203D" w:rsidTr="00BC203D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2-й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1 730,4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1 297,8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1 514,1</w:t>
            </w:r>
          </w:p>
        </w:tc>
      </w:tr>
      <w:tr w:rsidR="004633D2" w:rsidRPr="00BC203D" w:rsidTr="00BC203D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3-й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1 297,8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865,2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1 081,5</w:t>
            </w:r>
          </w:p>
        </w:tc>
      </w:tr>
      <w:tr w:rsidR="004633D2" w:rsidRPr="00BC203D" w:rsidTr="00BC203D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4-й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865,2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648,9</w:t>
            </w:r>
          </w:p>
        </w:tc>
      </w:tr>
      <w:tr w:rsidR="004633D2" w:rsidRPr="00BC203D" w:rsidTr="00BC203D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5-й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216,3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Общая сумма лизинговых платежей определяется в следующем порядке (тыс. руб.):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АО = </w:t>
      </w:r>
      <w:r w:rsidR="004633D2" w:rsidRPr="00BC203D">
        <w:rPr>
          <w:color w:val="000000"/>
          <w:sz w:val="28"/>
          <w:szCs w:val="28"/>
        </w:rPr>
        <w:t>2 163</w:t>
      </w:r>
      <w:r w:rsidRPr="00BC203D">
        <w:rPr>
          <w:color w:val="000000"/>
          <w:sz w:val="28"/>
          <w:szCs w:val="28"/>
        </w:rPr>
        <w:t xml:space="preserve"> * 20 / 100 = </w:t>
      </w:r>
      <w:r w:rsidR="004633D2" w:rsidRPr="00BC203D">
        <w:rPr>
          <w:color w:val="000000"/>
          <w:sz w:val="28"/>
          <w:szCs w:val="28"/>
        </w:rPr>
        <w:t>432,6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ПК = </w:t>
      </w:r>
      <w:r w:rsidR="004633D2" w:rsidRPr="00BC203D">
        <w:rPr>
          <w:color w:val="000000"/>
          <w:sz w:val="28"/>
          <w:szCs w:val="28"/>
        </w:rPr>
        <w:t>1 946,7</w:t>
      </w:r>
      <w:r w:rsidRPr="00BC203D">
        <w:rPr>
          <w:color w:val="000000"/>
          <w:sz w:val="28"/>
          <w:szCs w:val="28"/>
        </w:rPr>
        <w:t xml:space="preserve"> * 11 / 100 = </w:t>
      </w:r>
      <w:r w:rsidR="004633D2" w:rsidRPr="00BC203D">
        <w:rPr>
          <w:color w:val="000000"/>
          <w:sz w:val="28"/>
          <w:szCs w:val="28"/>
        </w:rPr>
        <w:t>214,1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ВЛ = </w:t>
      </w:r>
      <w:r w:rsidR="004633D2" w:rsidRPr="00BC203D">
        <w:rPr>
          <w:color w:val="000000"/>
          <w:sz w:val="28"/>
          <w:szCs w:val="28"/>
        </w:rPr>
        <w:t>1 946,7</w:t>
      </w:r>
      <w:r w:rsidRPr="00BC203D">
        <w:rPr>
          <w:color w:val="000000"/>
          <w:sz w:val="28"/>
          <w:szCs w:val="28"/>
        </w:rPr>
        <w:t xml:space="preserve"> * 2,</w:t>
      </w:r>
      <w:r w:rsidR="004633D2" w:rsidRPr="00BC203D">
        <w:rPr>
          <w:color w:val="000000"/>
          <w:sz w:val="28"/>
          <w:szCs w:val="28"/>
        </w:rPr>
        <w:t>7</w:t>
      </w:r>
      <w:r w:rsidRPr="00BC203D">
        <w:rPr>
          <w:color w:val="000000"/>
          <w:sz w:val="28"/>
          <w:szCs w:val="28"/>
        </w:rPr>
        <w:t xml:space="preserve"> / 100 = </w:t>
      </w:r>
      <w:r w:rsidR="004633D2" w:rsidRPr="00BC203D">
        <w:rPr>
          <w:color w:val="000000"/>
          <w:sz w:val="28"/>
          <w:szCs w:val="28"/>
        </w:rPr>
        <w:t>52,6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 = АО + ПК + ВЛ = </w:t>
      </w:r>
      <w:r w:rsidR="004633D2" w:rsidRPr="00BC203D">
        <w:rPr>
          <w:color w:val="000000"/>
          <w:sz w:val="28"/>
          <w:szCs w:val="28"/>
        </w:rPr>
        <w:t>432,6</w:t>
      </w:r>
      <w:r w:rsidRPr="00BC203D">
        <w:rPr>
          <w:color w:val="000000"/>
          <w:sz w:val="28"/>
          <w:szCs w:val="28"/>
        </w:rPr>
        <w:t xml:space="preserve"> + </w:t>
      </w:r>
      <w:r w:rsidR="004633D2" w:rsidRPr="00BC203D">
        <w:rPr>
          <w:color w:val="000000"/>
          <w:sz w:val="28"/>
          <w:szCs w:val="28"/>
        </w:rPr>
        <w:t>214,1</w:t>
      </w:r>
      <w:r w:rsidRPr="00BC203D">
        <w:rPr>
          <w:color w:val="000000"/>
          <w:sz w:val="28"/>
          <w:szCs w:val="28"/>
        </w:rPr>
        <w:t xml:space="preserve"> + </w:t>
      </w:r>
      <w:r w:rsidR="004633D2" w:rsidRPr="00BC203D">
        <w:rPr>
          <w:color w:val="000000"/>
          <w:sz w:val="28"/>
          <w:szCs w:val="28"/>
        </w:rPr>
        <w:t>52,6</w:t>
      </w:r>
      <w:r w:rsidRPr="00BC203D">
        <w:rPr>
          <w:color w:val="000000"/>
          <w:sz w:val="28"/>
          <w:szCs w:val="28"/>
        </w:rPr>
        <w:t xml:space="preserve"> = </w:t>
      </w:r>
      <w:r w:rsidR="004633D2" w:rsidRPr="00BC203D">
        <w:rPr>
          <w:color w:val="000000"/>
          <w:sz w:val="28"/>
          <w:szCs w:val="28"/>
        </w:rPr>
        <w:t>699,3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НДС = </w:t>
      </w:r>
      <w:r w:rsidR="004633D2" w:rsidRPr="00BC203D">
        <w:rPr>
          <w:color w:val="000000"/>
          <w:sz w:val="28"/>
          <w:szCs w:val="28"/>
        </w:rPr>
        <w:t>699,3</w:t>
      </w:r>
      <w:r w:rsidRPr="00BC203D">
        <w:rPr>
          <w:color w:val="000000"/>
          <w:sz w:val="28"/>
          <w:szCs w:val="28"/>
        </w:rPr>
        <w:t xml:space="preserve"> * 18 / 100 = </w:t>
      </w:r>
      <w:r w:rsidR="004633D2" w:rsidRPr="00BC203D">
        <w:rPr>
          <w:color w:val="000000"/>
          <w:sz w:val="28"/>
          <w:szCs w:val="28"/>
        </w:rPr>
        <w:t>125,9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ЛП = </w:t>
      </w:r>
      <w:r w:rsidR="004633D2" w:rsidRPr="00BC203D">
        <w:rPr>
          <w:color w:val="000000"/>
          <w:sz w:val="28"/>
          <w:szCs w:val="28"/>
        </w:rPr>
        <w:t>432,6</w:t>
      </w:r>
      <w:r w:rsidRPr="00BC203D">
        <w:rPr>
          <w:color w:val="000000"/>
          <w:sz w:val="28"/>
          <w:szCs w:val="28"/>
        </w:rPr>
        <w:t xml:space="preserve"> + </w:t>
      </w:r>
      <w:r w:rsidR="004633D2" w:rsidRPr="00BC203D">
        <w:rPr>
          <w:color w:val="000000"/>
          <w:sz w:val="28"/>
          <w:szCs w:val="28"/>
        </w:rPr>
        <w:t xml:space="preserve">214,1 </w:t>
      </w:r>
      <w:r w:rsidRPr="00BC203D">
        <w:rPr>
          <w:color w:val="000000"/>
          <w:sz w:val="28"/>
          <w:szCs w:val="28"/>
        </w:rPr>
        <w:t xml:space="preserve">+ </w:t>
      </w:r>
      <w:r w:rsidR="004633D2" w:rsidRPr="00BC203D">
        <w:rPr>
          <w:color w:val="000000"/>
          <w:sz w:val="28"/>
          <w:szCs w:val="28"/>
        </w:rPr>
        <w:t>52,6</w:t>
      </w:r>
      <w:r w:rsidRPr="00BC203D">
        <w:rPr>
          <w:color w:val="000000"/>
          <w:sz w:val="28"/>
          <w:szCs w:val="28"/>
        </w:rPr>
        <w:t xml:space="preserve"> + </w:t>
      </w:r>
      <w:r w:rsidR="004633D2" w:rsidRPr="00BC203D">
        <w:rPr>
          <w:color w:val="000000"/>
          <w:sz w:val="28"/>
          <w:szCs w:val="28"/>
        </w:rPr>
        <w:t>125,9</w:t>
      </w:r>
      <w:r w:rsidRPr="00BC203D">
        <w:rPr>
          <w:color w:val="000000"/>
          <w:sz w:val="28"/>
          <w:szCs w:val="28"/>
        </w:rPr>
        <w:t xml:space="preserve"> = </w:t>
      </w:r>
      <w:r w:rsidR="004633D2" w:rsidRPr="00BC203D">
        <w:rPr>
          <w:color w:val="000000"/>
          <w:sz w:val="28"/>
          <w:szCs w:val="28"/>
        </w:rPr>
        <w:t>825,2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такой же последовательности общая сумма лизинговых платежей определяется за остальные годы.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Результаты расчетов представлены в таблице 5.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Размер лизинговых взносов при равномерных начислениях в год составляет: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ЛВг = 685,3 тыс. руб.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Варианты лизинговых взносов в зависимости от распределения лизинговых платежей по годам представлены в табл. 6.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192"/>
        <w:gridCol w:w="1232"/>
        <w:gridCol w:w="1177"/>
        <w:gridCol w:w="1358"/>
        <w:gridCol w:w="784"/>
        <w:gridCol w:w="1476"/>
      </w:tblGrid>
      <w:tr w:rsidR="0083618A" w:rsidRPr="00BC203D" w:rsidTr="00BC203D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Годы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Амортизационные отчисления (АО)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Плата за кредит (ПК)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Вознаграждение лизингодателя (ВЛ)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Выручка от сделки (В)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НДС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Лизинговые платежи (ЛП)</w:t>
            </w:r>
          </w:p>
        </w:tc>
      </w:tr>
      <w:tr w:rsidR="004633D2" w:rsidRPr="00BC203D" w:rsidTr="00BC203D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1-й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214,1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52,6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699,3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125,9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825,2</w:t>
            </w:r>
          </w:p>
        </w:tc>
      </w:tr>
      <w:tr w:rsidR="004633D2" w:rsidRPr="00BC203D" w:rsidTr="00BC203D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2-й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166,6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40,9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640,0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115,2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755,2</w:t>
            </w:r>
          </w:p>
        </w:tc>
      </w:tr>
      <w:tr w:rsidR="004633D2" w:rsidRPr="00BC203D" w:rsidTr="00BC203D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3-й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119,0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29,2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580,8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104,5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685,3</w:t>
            </w:r>
          </w:p>
        </w:tc>
      </w:tr>
      <w:tr w:rsidR="004633D2" w:rsidRPr="00BC203D" w:rsidTr="00BC203D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4-й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71,4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17,5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521,5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93,9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615,4</w:t>
            </w:r>
          </w:p>
        </w:tc>
      </w:tr>
      <w:tr w:rsidR="004633D2" w:rsidRPr="00BC203D" w:rsidTr="00BC203D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5-й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432,6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23,8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5,8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462,2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83,2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545,4</w:t>
            </w:r>
          </w:p>
        </w:tc>
      </w:tr>
      <w:tr w:rsidR="004633D2" w:rsidRPr="00BC203D" w:rsidTr="00BC203D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Всего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2 163,0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594,8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146,0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2 903,8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522,7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3 426,5</w:t>
            </w:r>
          </w:p>
        </w:tc>
      </w:tr>
      <w:tr w:rsidR="004633D2" w:rsidRPr="00BC203D" w:rsidTr="00BC203D">
        <w:trPr>
          <w:jc w:val="center"/>
        </w:trPr>
        <w:tc>
          <w:tcPr>
            <w:tcW w:w="132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 % к ЛП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63,1</w:t>
            </w:r>
          </w:p>
        </w:tc>
        <w:tc>
          <w:tcPr>
            <w:tcW w:w="1232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17,4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4,3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15,3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100,0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1615"/>
        <w:gridCol w:w="1260"/>
        <w:gridCol w:w="1260"/>
        <w:gridCol w:w="1260"/>
        <w:gridCol w:w="1260"/>
      </w:tblGrid>
      <w:tr w:rsidR="0083618A" w:rsidRPr="00BC203D" w:rsidTr="00BC203D">
        <w:trPr>
          <w:jc w:val="center"/>
        </w:trPr>
        <w:tc>
          <w:tcPr>
            <w:tcW w:w="833" w:type="dxa"/>
            <w:vMerge w:val="restart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Годы</w:t>
            </w:r>
          </w:p>
        </w:tc>
        <w:tc>
          <w:tcPr>
            <w:tcW w:w="6655" w:type="dxa"/>
            <w:gridSpan w:val="5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Стратегии выплат</w:t>
            </w:r>
          </w:p>
        </w:tc>
      </w:tr>
      <w:tr w:rsidR="0083618A" w:rsidRPr="00BC203D" w:rsidTr="00BC203D">
        <w:trPr>
          <w:jc w:val="center"/>
        </w:trPr>
        <w:tc>
          <w:tcPr>
            <w:tcW w:w="833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15" w:type="dxa"/>
            <w:vMerge w:val="restart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Равномерная, тыс. руб.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Убывающая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Возрастающая</w:t>
            </w:r>
          </w:p>
        </w:tc>
      </w:tr>
      <w:tr w:rsidR="0083618A" w:rsidRPr="00BC203D" w:rsidTr="00BC203D">
        <w:trPr>
          <w:jc w:val="center"/>
        </w:trPr>
        <w:tc>
          <w:tcPr>
            <w:tcW w:w="833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15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%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тыс. руб.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%</w:t>
            </w:r>
          </w:p>
        </w:tc>
      </w:tr>
      <w:tr w:rsidR="004633D2" w:rsidRPr="00BC203D" w:rsidTr="00BC203D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1-й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925,2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445,4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13</w:t>
            </w:r>
          </w:p>
        </w:tc>
      </w:tr>
      <w:tr w:rsidR="004633D2" w:rsidRPr="00BC203D" w:rsidTr="00BC203D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2-й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822,4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548,2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</w:t>
            </w:r>
          </w:p>
        </w:tc>
      </w:tr>
      <w:tr w:rsidR="004633D2" w:rsidRPr="00BC203D" w:rsidTr="00BC203D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3-й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</w:t>
            </w:r>
          </w:p>
        </w:tc>
      </w:tr>
      <w:tr w:rsidR="004633D2" w:rsidRPr="00BC203D" w:rsidTr="00BC203D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4-й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548,2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822,4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24</w:t>
            </w:r>
          </w:p>
        </w:tc>
      </w:tr>
      <w:tr w:rsidR="004633D2" w:rsidRPr="00BC203D" w:rsidTr="00BC203D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5-й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685,3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445,4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925,2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27</w:t>
            </w:r>
          </w:p>
        </w:tc>
      </w:tr>
      <w:tr w:rsidR="004633D2" w:rsidRPr="00BC203D" w:rsidTr="00BC203D">
        <w:trPr>
          <w:jc w:val="center"/>
        </w:trPr>
        <w:tc>
          <w:tcPr>
            <w:tcW w:w="833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Итого</w:t>
            </w:r>
          </w:p>
        </w:tc>
        <w:tc>
          <w:tcPr>
            <w:tcW w:w="1615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3 426,5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3426,5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3426,5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633D2" w:rsidRPr="00BC203D" w:rsidRDefault="004633D2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100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Структура лизинговых платежей характеризуется значительными изменениями доли ежегодных взносов – от 13 до 27% общей их суммы, что обуславливает их разновыгодность для лизингодателя и лизингополучателя при расчете их текущей (современной) стоимости.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2. Управление оборотным капиталом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этом разделе рассчитывается потребность в оборотном капитале под запасы ТМЦ, моделируется оптимальный режим поставок. Определяется влияние на затраты и оборотный капитал методов списания. Определяется политика управления дебиторской задолженностью. Определяется влияние эластичности спроса на продукцию, на ценовую стратегию предприятия. Рассчитывается движение денежных средств (в кассе и на расчетном счете).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При управлении запасами потребность в оборотных средствах под запасы ТМЦ. Может быть использован метод АВС для группировки материальных затрат. Примерно 80% материальных затрат относятся к группе А. Для материалов группы А применяется точный метод. Для определения потребности в оборотном капитале используется следующая формула:</w:t>
      </w:r>
    </w:p>
    <w:p w:rsidR="00D06224" w:rsidRPr="00BC203D" w:rsidRDefault="00D06224" w:rsidP="00BC203D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tabs>
          <w:tab w:val="left" w:pos="720"/>
        </w:tabs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81pt;height:18pt">
            <v:imagedata r:id="rId23" o:title=""/>
          </v:shape>
        </w:pict>
      </w:r>
      <w:r w:rsidR="0083618A" w:rsidRPr="00BC203D">
        <w:rPr>
          <w:color w:val="000000"/>
          <w:sz w:val="28"/>
          <w:szCs w:val="28"/>
        </w:rPr>
        <w:t>,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(9)</w:t>
      </w:r>
    </w:p>
    <w:p w:rsidR="00D06224" w:rsidRPr="00BC203D" w:rsidRDefault="00D06224" w:rsidP="00BC203D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tabs>
          <w:tab w:val="left" w:pos="720"/>
        </w:tabs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4" type="#_x0000_t75" style="width:15.75pt;height:18pt">
            <v:imagedata r:id="rId24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= 1,2 * 0,83 * 16 = 15,9</w:t>
      </w:r>
    </w:p>
    <w:p w:rsidR="00D06224" w:rsidRPr="00BC203D" w:rsidRDefault="00D06224" w:rsidP="00BC203D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6278AB" w:rsidP="00BC203D">
      <w:pPr>
        <w:shd w:val="clear" w:color="000000" w:fill="FFFFFF"/>
        <w:tabs>
          <w:tab w:val="left" w:pos="720"/>
        </w:tabs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5" type="#_x0000_t75" style="width:15.75pt;height:18pt">
            <v:imagedata r:id="rId24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- потребность в оборотном капитале под запасы </w:t>
      </w:r>
      <w:r w:rsidR="0083618A" w:rsidRPr="00BC203D">
        <w:rPr>
          <w:color w:val="000000"/>
          <w:sz w:val="28"/>
          <w:szCs w:val="28"/>
          <w:lang w:val="en-US"/>
        </w:rPr>
        <w:t>i</w:t>
      </w:r>
      <w:r w:rsidR="0083618A" w:rsidRPr="00BC203D">
        <w:rPr>
          <w:color w:val="000000"/>
          <w:sz w:val="28"/>
          <w:szCs w:val="28"/>
        </w:rPr>
        <w:t>-го материала;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6" type="#_x0000_t75" style="width:15pt;height:17.25pt">
            <v:imagedata r:id="rId25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- цена единицы </w:t>
      </w:r>
      <w:r w:rsidR="0083618A" w:rsidRPr="00BC203D">
        <w:rPr>
          <w:color w:val="000000"/>
          <w:sz w:val="28"/>
          <w:szCs w:val="28"/>
          <w:lang w:val="en-US"/>
        </w:rPr>
        <w:t>i</w:t>
      </w:r>
      <w:r w:rsidR="0083618A" w:rsidRPr="00BC203D">
        <w:rPr>
          <w:color w:val="000000"/>
          <w:sz w:val="28"/>
          <w:szCs w:val="28"/>
        </w:rPr>
        <w:t>-го материала;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7" type="#_x0000_t75" style="width:15pt;height:17.25pt">
            <v:imagedata r:id="rId26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- дневная потребность в </w:t>
      </w:r>
      <w:r w:rsidR="0083618A" w:rsidRPr="00BC203D">
        <w:rPr>
          <w:color w:val="000000"/>
          <w:sz w:val="28"/>
          <w:szCs w:val="28"/>
          <w:lang w:val="en-US"/>
        </w:rPr>
        <w:t>i</w:t>
      </w:r>
      <w:r w:rsidR="0083618A" w:rsidRPr="00BC203D">
        <w:rPr>
          <w:color w:val="000000"/>
          <w:sz w:val="28"/>
          <w:szCs w:val="28"/>
        </w:rPr>
        <w:t>-м материале;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8" type="#_x0000_t75" style="width:12pt;height:17.25pt">
            <v:imagedata r:id="rId27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- производственный запас.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Дневная потребность в 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>-м материале определяется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9" type="#_x0000_t75" style="width:63.75pt;height:17.25pt">
            <v:imagedata r:id="rId28" o:title=""/>
          </v:shape>
        </w:pict>
      </w:r>
      <w:r w:rsidR="0083618A" w:rsidRPr="00BC203D">
        <w:rPr>
          <w:color w:val="000000"/>
          <w:sz w:val="28"/>
          <w:szCs w:val="28"/>
        </w:rPr>
        <w:t>,</w:t>
      </w:r>
      <w:r w:rsidR="00733516" w:rsidRPr="00BC203D">
        <w:rPr>
          <w:color w:val="000000"/>
          <w:sz w:val="28"/>
          <w:szCs w:val="28"/>
        </w:rPr>
        <w:t xml:space="preserve"> (10)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Д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 xml:space="preserve"> = 300 / 360 = 0,83.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 xml:space="preserve"> – годовая потребность в 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>-м материале.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Производственный запас измеряется в днях и рассчитывается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0" type="#_x0000_t75" style="width:12pt;height:17.25pt">
            <v:imagedata r:id="rId27" o:title=""/>
          </v:shape>
        </w:pict>
      </w:r>
      <w:r w:rsidR="0083618A" w:rsidRPr="00BC203D">
        <w:rPr>
          <w:color w:val="000000"/>
          <w:sz w:val="28"/>
          <w:szCs w:val="28"/>
        </w:rPr>
        <w:t xml:space="preserve"> = Т</w:t>
      </w:r>
      <w:r w:rsidR="0083618A" w:rsidRPr="00BC203D">
        <w:rPr>
          <w:color w:val="000000"/>
          <w:sz w:val="28"/>
          <w:szCs w:val="28"/>
          <w:lang w:val="en-US"/>
        </w:rPr>
        <w:t>i</w:t>
      </w:r>
      <w:r w:rsidR="0083618A" w:rsidRPr="00BC203D">
        <w:rPr>
          <w:color w:val="000000"/>
          <w:sz w:val="28"/>
          <w:szCs w:val="28"/>
        </w:rPr>
        <w:t xml:space="preserve"> + С</w:t>
      </w:r>
      <w:r w:rsidR="0083618A" w:rsidRPr="00BC203D">
        <w:rPr>
          <w:color w:val="000000"/>
          <w:sz w:val="28"/>
          <w:szCs w:val="28"/>
          <w:lang w:val="en-US"/>
        </w:rPr>
        <w:t>i</w:t>
      </w:r>
      <w:r w:rsidR="0083618A" w:rsidRPr="00BC203D">
        <w:rPr>
          <w:color w:val="000000"/>
          <w:sz w:val="28"/>
          <w:szCs w:val="28"/>
        </w:rPr>
        <w:t xml:space="preserve"> + </w:t>
      </w:r>
      <w:r w:rsidR="0083618A" w:rsidRPr="00BC203D">
        <w:rPr>
          <w:color w:val="000000"/>
          <w:sz w:val="28"/>
          <w:szCs w:val="28"/>
          <w:lang w:val="en-US"/>
        </w:rPr>
        <w:t>Pi</w:t>
      </w:r>
      <w:r w:rsidR="0083618A" w:rsidRPr="00BC203D">
        <w:rPr>
          <w:color w:val="000000"/>
          <w:sz w:val="28"/>
          <w:szCs w:val="28"/>
        </w:rPr>
        <w:t>,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(11)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З = </w:t>
      </w:r>
      <w:r w:rsidR="00A604BF" w:rsidRPr="00BC203D">
        <w:rPr>
          <w:color w:val="000000"/>
          <w:sz w:val="28"/>
          <w:szCs w:val="28"/>
        </w:rPr>
        <w:t>9,5</w:t>
      </w:r>
      <w:r w:rsidRPr="00BC203D">
        <w:rPr>
          <w:color w:val="000000"/>
          <w:sz w:val="28"/>
          <w:szCs w:val="28"/>
        </w:rPr>
        <w:t xml:space="preserve"> + </w:t>
      </w:r>
      <w:r w:rsidR="00A604BF" w:rsidRPr="00BC203D">
        <w:rPr>
          <w:color w:val="000000"/>
          <w:sz w:val="28"/>
          <w:szCs w:val="28"/>
        </w:rPr>
        <w:t>4,8</w:t>
      </w:r>
      <w:r w:rsidRPr="00BC203D">
        <w:rPr>
          <w:color w:val="000000"/>
          <w:sz w:val="28"/>
          <w:szCs w:val="28"/>
        </w:rPr>
        <w:t xml:space="preserve"> + </w:t>
      </w:r>
      <w:r w:rsidR="00A604BF" w:rsidRPr="00BC203D">
        <w:rPr>
          <w:color w:val="000000"/>
          <w:sz w:val="28"/>
          <w:szCs w:val="28"/>
        </w:rPr>
        <w:t>3,7</w:t>
      </w:r>
      <w:r w:rsidRPr="00BC203D">
        <w:rPr>
          <w:color w:val="000000"/>
          <w:sz w:val="28"/>
          <w:szCs w:val="28"/>
        </w:rPr>
        <w:t xml:space="preserve"> = </w:t>
      </w:r>
      <w:r w:rsidR="00A604BF" w:rsidRPr="00BC203D">
        <w:rPr>
          <w:color w:val="000000"/>
          <w:sz w:val="28"/>
          <w:szCs w:val="28"/>
        </w:rPr>
        <w:t>18</w:t>
      </w:r>
      <w:r w:rsidRPr="00BC203D">
        <w:rPr>
          <w:color w:val="000000"/>
          <w:sz w:val="28"/>
          <w:szCs w:val="28"/>
        </w:rPr>
        <w:t xml:space="preserve"> дн.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 xml:space="preserve"> – текущий запас 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>-го материала;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 xml:space="preserve"> – страховой (гарантийный) запас 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>-го материала;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Pi</w:t>
      </w:r>
      <w:r w:rsidRPr="00BC203D">
        <w:rPr>
          <w:color w:val="000000"/>
          <w:sz w:val="28"/>
          <w:szCs w:val="28"/>
        </w:rPr>
        <w:t xml:space="preserve"> – подготовительный запас 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>-го материала.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Текущий запас определяется по формуле: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Т = 50% * </w:t>
      </w: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>ср,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(12)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Т = 0,5 * </w:t>
      </w:r>
      <w:r w:rsidR="00A604BF" w:rsidRPr="00BC203D">
        <w:rPr>
          <w:color w:val="000000"/>
          <w:sz w:val="28"/>
          <w:szCs w:val="28"/>
        </w:rPr>
        <w:t>19</w:t>
      </w:r>
      <w:r w:rsidRPr="00BC203D">
        <w:rPr>
          <w:color w:val="000000"/>
          <w:sz w:val="28"/>
          <w:szCs w:val="28"/>
        </w:rPr>
        <w:t xml:space="preserve"> = </w:t>
      </w:r>
      <w:r w:rsidR="00A604BF" w:rsidRPr="00BC203D">
        <w:rPr>
          <w:color w:val="000000"/>
          <w:sz w:val="28"/>
          <w:szCs w:val="28"/>
        </w:rPr>
        <w:t>9,5</w:t>
      </w:r>
      <w:r w:rsidRPr="00BC203D">
        <w:rPr>
          <w:color w:val="000000"/>
          <w:sz w:val="28"/>
          <w:szCs w:val="28"/>
        </w:rPr>
        <w:t xml:space="preserve"> дн.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I</w:t>
      </w:r>
      <w:r w:rsidRPr="00BC203D">
        <w:rPr>
          <w:color w:val="000000"/>
          <w:sz w:val="28"/>
          <w:szCs w:val="28"/>
        </w:rPr>
        <w:t>ср – средневзвешенный интервал между поставками материала.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Страховой запас, как правило, равен: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 = 50% * Т.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(13)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С = </w:t>
      </w:r>
      <w:r w:rsidR="00A604BF" w:rsidRPr="00BC203D">
        <w:rPr>
          <w:color w:val="000000"/>
          <w:sz w:val="28"/>
          <w:szCs w:val="28"/>
        </w:rPr>
        <w:t>9,5</w:t>
      </w:r>
      <w:r w:rsidRPr="00BC203D">
        <w:rPr>
          <w:color w:val="000000"/>
          <w:sz w:val="28"/>
          <w:szCs w:val="28"/>
        </w:rPr>
        <w:t xml:space="preserve"> * 0,5 = </w:t>
      </w:r>
      <w:r w:rsidR="00A604BF" w:rsidRPr="00BC203D">
        <w:rPr>
          <w:color w:val="000000"/>
          <w:sz w:val="28"/>
          <w:szCs w:val="28"/>
        </w:rPr>
        <w:t>4,8</w:t>
      </w:r>
      <w:r w:rsidRPr="00BC203D">
        <w:rPr>
          <w:color w:val="000000"/>
          <w:sz w:val="28"/>
          <w:szCs w:val="28"/>
        </w:rPr>
        <w:t xml:space="preserve"> дн.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Подготовительный запас состоит из двух: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Р = ПР + ТЗ,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(14)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Р = </w:t>
      </w:r>
      <w:r w:rsidR="00A604BF" w:rsidRPr="00BC203D">
        <w:rPr>
          <w:color w:val="000000"/>
          <w:sz w:val="28"/>
          <w:szCs w:val="28"/>
        </w:rPr>
        <w:t>0,8</w:t>
      </w:r>
      <w:r w:rsidRPr="00BC203D">
        <w:rPr>
          <w:color w:val="000000"/>
          <w:sz w:val="28"/>
          <w:szCs w:val="28"/>
        </w:rPr>
        <w:t xml:space="preserve"> + </w:t>
      </w:r>
      <w:r w:rsidR="00A604BF" w:rsidRPr="00BC203D">
        <w:rPr>
          <w:color w:val="000000"/>
          <w:sz w:val="28"/>
          <w:szCs w:val="28"/>
        </w:rPr>
        <w:t>2,9</w:t>
      </w:r>
      <w:r w:rsidRPr="00BC203D">
        <w:rPr>
          <w:color w:val="000000"/>
          <w:sz w:val="28"/>
          <w:szCs w:val="28"/>
        </w:rPr>
        <w:t xml:space="preserve"> = </w:t>
      </w:r>
      <w:r w:rsidR="00A604BF" w:rsidRPr="00BC203D">
        <w:rPr>
          <w:color w:val="000000"/>
          <w:sz w:val="28"/>
          <w:szCs w:val="28"/>
        </w:rPr>
        <w:t>3,7</w:t>
      </w:r>
      <w:r w:rsidRPr="00BC203D">
        <w:rPr>
          <w:color w:val="000000"/>
          <w:sz w:val="28"/>
          <w:szCs w:val="28"/>
        </w:rPr>
        <w:t xml:space="preserve"> дня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 – время на погрузочно-разгрузочные работы (0,</w:t>
      </w:r>
      <w:r w:rsidR="00A604BF" w:rsidRPr="00BC203D">
        <w:rPr>
          <w:color w:val="000000"/>
          <w:sz w:val="28"/>
          <w:szCs w:val="28"/>
        </w:rPr>
        <w:t>8</w:t>
      </w:r>
      <w:r w:rsidRPr="00BC203D">
        <w:rPr>
          <w:color w:val="000000"/>
          <w:sz w:val="28"/>
          <w:szCs w:val="28"/>
        </w:rPr>
        <w:t xml:space="preserve"> дня);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ТЗ – время технологической подготовки материала (</w:t>
      </w:r>
      <w:r w:rsidR="00A604BF" w:rsidRPr="00BC203D">
        <w:rPr>
          <w:color w:val="000000"/>
          <w:sz w:val="28"/>
          <w:szCs w:val="28"/>
        </w:rPr>
        <w:t>2,9</w:t>
      </w:r>
      <w:r w:rsidRPr="00BC203D">
        <w:rPr>
          <w:color w:val="000000"/>
          <w:sz w:val="28"/>
          <w:szCs w:val="28"/>
        </w:rPr>
        <w:t xml:space="preserve"> дня).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1" type="#_x0000_t75" style="width:114.75pt;height:33.75pt">
            <v:imagedata r:id="rId29" o:title=""/>
          </v:shape>
        </w:pict>
      </w:r>
      <w:r w:rsidR="0083618A" w:rsidRPr="00BC203D">
        <w:rPr>
          <w:color w:val="000000"/>
          <w:sz w:val="28"/>
          <w:szCs w:val="28"/>
        </w:rPr>
        <w:t>,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(15)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Ii</w:t>
      </w:r>
      <w:r w:rsidRPr="00BC203D">
        <w:rPr>
          <w:color w:val="000000"/>
          <w:sz w:val="28"/>
          <w:szCs w:val="28"/>
        </w:rPr>
        <w:t xml:space="preserve"> – интервал между очередными поставками;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 xml:space="preserve">Vi </w:t>
      </w:r>
      <w:r w:rsidRPr="00BC203D">
        <w:rPr>
          <w:color w:val="000000"/>
          <w:sz w:val="28"/>
          <w:szCs w:val="28"/>
        </w:rPr>
        <w:t>– объем очередной поставки.</w:t>
      </w: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52" type="#_x0000_t75" style="width:278.25pt;height:30.75pt">
            <v:imagedata r:id="rId30" o:title=""/>
          </v:shape>
        </w:pic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Если организация может вносить изменения в графики поставок, она должна оптимизировать их. Критерием оптимальности является минимум суммарных издержек по заказу и хранению материалов. Оптимальная величина поставки определяется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EOQ</w:t>
      </w:r>
      <w:r w:rsidRPr="00BC203D">
        <w:rPr>
          <w:color w:val="000000"/>
          <w:sz w:val="28"/>
          <w:szCs w:val="28"/>
        </w:rPr>
        <w:t xml:space="preserve"> = ((2*</w:t>
      </w:r>
      <w:r w:rsidRPr="00BC203D">
        <w:rPr>
          <w:color w:val="000000"/>
          <w:sz w:val="28"/>
          <w:szCs w:val="28"/>
          <w:lang w:val="en-US"/>
        </w:rPr>
        <w:t>F</w:t>
      </w:r>
      <w:r w:rsidRPr="00BC203D">
        <w:rPr>
          <w:color w:val="000000"/>
          <w:sz w:val="28"/>
          <w:szCs w:val="28"/>
        </w:rPr>
        <w:t>*</w:t>
      </w:r>
      <w:r w:rsidRPr="00BC203D">
        <w:rPr>
          <w:color w:val="000000"/>
          <w:sz w:val="28"/>
          <w:szCs w:val="28"/>
          <w:lang w:val="en-US"/>
        </w:rPr>
        <w:t>M</w:t>
      </w:r>
      <w:r w:rsidRPr="00BC203D">
        <w:rPr>
          <w:color w:val="000000"/>
          <w:sz w:val="28"/>
          <w:szCs w:val="28"/>
        </w:rPr>
        <w:t>)/</w:t>
      </w:r>
      <w:r w:rsidRPr="00BC203D">
        <w:rPr>
          <w:color w:val="000000"/>
          <w:sz w:val="28"/>
          <w:szCs w:val="28"/>
          <w:lang w:val="en-US"/>
        </w:rPr>
        <w:t>H</w:t>
      </w:r>
      <w:r w:rsidRPr="00BC203D">
        <w:rPr>
          <w:color w:val="000000"/>
          <w:sz w:val="28"/>
          <w:szCs w:val="28"/>
        </w:rPr>
        <w:t>)</w:t>
      </w:r>
      <w:r w:rsidR="006278AB">
        <w:rPr>
          <w:color w:val="000000"/>
          <w:sz w:val="28"/>
          <w:szCs w:val="28"/>
        </w:rPr>
        <w:pict>
          <v:shape id="_x0000_i1053" type="#_x0000_t75" style="width:9pt;height:24pt">
            <v:imagedata r:id="rId31" o:title=""/>
          </v:shape>
        </w:pict>
      </w:r>
      <w:r w:rsidRPr="00BC203D">
        <w:rPr>
          <w:color w:val="000000"/>
          <w:sz w:val="28"/>
          <w:szCs w:val="28"/>
        </w:rPr>
        <w:t>,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(16)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EOQ</w:t>
      </w:r>
      <w:r w:rsidR="00D06224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- оптимальная величина поставки;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F</w:t>
      </w:r>
      <w:r w:rsidRPr="00BC203D">
        <w:rPr>
          <w:color w:val="000000"/>
          <w:sz w:val="28"/>
          <w:szCs w:val="28"/>
        </w:rPr>
        <w:t xml:space="preserve"> – расходы на выполнение одного заказа (</w:t>
      </w:r>
      <w:r w:rsidR="00A604BF" w:rsidRPr="00BC203D">
        <w:rPr>
          <w:color w:val="000000"/>
          <w:sz w:val="28"/>
          <w:szCs w:val="28"/>
        </w:rPr>
        <w:t>15</w:t>
      </w:r>
      <w:r w:rsidRPr="00BC203D">
        <w:rPr>
          <w:color w:val="000000"/>
          <w:sz w:val="28"/>
          <w:szCs w:val="28"/>
        </w:rPr>
        <w:t xml:space="preserve"> руб. заказ);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M</w:t>
      </w:r>
      <w:r w:rsidRPr="00BC203D">
        <w:rPr>
          <w:color w:val="000000"/>
          <w:sz w:val="28"/>
          <w:szCs w:val="28"/>
        </w:rPr>
        <w:t xml:space="preserve"> – годовая потребность в материале;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H</w:t>
      </w:r>
      <w:r w:rsidRPr="00BC203D">
        <w:rPr>
          <w:color w:val="000000"/>
          <w:sz w:val="28"/>
          <w:szCs w:val="28"/>
        </w:rPr>
        <w:t xml:space="preserve"> – расходы по содержанию единицы запаса (2</w:t>
      </w:r>
      <w:r w:rsidR="00A604BF" w:rsidRPr="00BC203D">
        <w:rPr>
          <w:color w:val="000000"/>
          <w:sz w:val="28"/>
          <w:szCs w:val="28"/>
        </w:rPr>
        <w:t>0</w:t>
      </w:r>
      <w:r w:rsidRPr="00BC203D">
        <w:rPr>
          <w:color w:val="000000"/>
          <w:sz w:val="28"/>
          <w:szCs w:val="28"/>
        </w:rPr>
        <w:t xml:space="preserve"> руб./шт.)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EOQ</w:t>
      </w:r>
      <w:r w:rsidRPr="00BC203D">
        <w:rPr>
          <w:color w:val="000000"/>
          <w:sz w:val="28"/>
          <w:szCs w:val="28"/>
        </w:rPr>
        <w:t xml:space="preserve"> = ((2 * </w:t>
      </w:r>
      <w:r w:rsidR="00A604BF" w:rsidRPr="00BC203D">
        <w:rPr>
          <w:color w:val="000000"/>
          <w:sz w:val="28"/>
          <w:szCs w:val="28"/>
        </w:rPr>
        <w:t>15</w:t>
      </w:r>
      <w:r w:rsidRPr="00BC203D">
        <w:rPr>
          <w:color w:val="000000"/>
          <w:sz w:val="28"/>
          <w:szCs w:val="28"/>
        </w:rPr>
        <w:t xml:space="preserve"> * </w:t>
      </w:r>
      <w:r w:rsidR="00A604BF" w:rsidRPr="00BC203D">
        <w:rPr>
          <w:color w:val="000000"/>
          <w:sz w:val="28"/>
          <w:szCs w:val="28"/>
        </w:rPr>
        <w:t>270</w:t>
      </w:r>
      <w:r w:rsidRPr="00BC203D">
        <w:rPr>
          <w:color w:val="000000"/>
          <w:sz w:val="28"/>
          <w:szCs w:val="28"/>
        </w:rPr>
        <w:t xml:space="preserve">) / </w:t>
      </w:r>
      <w:r w:rsidR="00A604BF" w:rsidRPr="00BC203D">
        <w:rPr>
          <w:color w:val="000000"/>
          <w:sz w:val="28"/>
          <w:szCs w:val="28"/>
        </w:rPr>
        <w:t>20</w:t>
      </w:r>
      <w:r w:rsidRPr="00BC203D">
        <w:rPr>
          <w:color w:val="000000"/>
          <w:sz w:val="28"/>
          <w:szCs w:val="28"/>
        </w:rPr>
        <w:t>)</w:t>
      </w:r>
      <w:r w:rsidR="006278AB">
        <w:rPr>
          <w:color w:val="000000"/>
          <w:sz w:val="28"/>
          <w:szCs w:val="28"/>
        </w:rPr>
        <w:pict>
          <v:shape id="_x0000_i1054" type="#_x0000_t75" style="width:9pt;height:24pt">
            <v:imagedata r:id="rId31" o:title=""/>
          </v:shape>
        </w:pict>
      </w:r>
      <w:r w:rsidRPr="00BC203D">
        <w:rPr>
          <w:color w:val="000000"/>
          <w:sz w:val="28"/>
          <w:szCs w:val="28"/>
        </w:rPr>
        <w:t xml:space="preserve"> = </w:t>
      </w:r>
      <w:r w:rsidR="00A604BF" w:rsidRPr="00BC203D">
        <w:rPr>
          <w:color w:val="000000"/>
          <w:sz w:val="28"/>
          <w:szCs w:val="28"/>
        </w:rPr>
        <w:t>20,1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Влияние оптимальной величины поставки на потребность в оборотных средствах определяется через пересчет среднего интервала между поставками. Средний интервал определяется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Icp</w:t>
      </w:r>
      <w:r w:rsidRPr="00BC203D">
        <w:rPr>
          <w:color w:val="000000"/>
          <w:sz w:val="28"/>
          <w:szCs w:val="28"/>
        </w:rPr>
        <w:t xml:space="preserve"> = 360 / </w:t>
      </w:r>
      <w:r w:rsidRPr="00BC203D">
        <w:rPr>
          <w:color w:val="000000"/>
          <w:sz w:val="28"/>
          <w:szCs w:val="28"/>
          <w:lang w:val="en-US"/>
        </w:rPr>
        <w:t>N</w:t>
      </w:r>
      <w:r w:rsidRPr="00BC203D">
        <w:rPr>
          <w:color w:val="000000"/>
          <w:sz w:val="28"/>
          <w:szCs w:val="28"/>
        </w:rPr>
        <w:t xml:space="preserve"> = 360 / </w:t>
      </w:r>
      <w:r w:rsidR="00A604BF" w:rsidRPr="00BC203D">
        <w:rPr>
          <w:color w:val="000000"/>
          <w:sz w:val="28"/>
          <w:szCs w:val="28"/>
        </w:rPr>
        <w:t>13,4</w:t>
      </w:r>
      <w:r w:rsidRPr="00BC203D">
        <w:rPr>
          <w:color w:val="000000"/>
          <w:sz w:val="28"/>
          <w:szCs w:val="28"/>
        </w:rPr>
        <w:t xml:space="preserve"> = </w:t>
      </w:r>
      <w:r w:rsidR="00A604BF" w:rsidRPr="00BC203D">
        <w:rPr>
          <w:color w:val="000000"/>
          <w:sz w:val="28"/>
          <w:szCs w:val="28"/>
        </w:rPr>
        <w:t>26,9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(17)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Icp</w:t>
      </w:r>
      <w:r w:rsidR="00D06224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- оптимальный (средний) интервал между очередными поставками;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N</w:t>
      </w:r>
      <w:r w:rsidRPr="00BC203D">
        <w:rPr>
          <w:color w:val="000000"/>
          <w:sz w:val="28"/>
          <w:szCs w:val="28"/>
        </w:rPr>
        <w:t xml:space="preserve"> – количество поставок оптимальной величины.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Количество поставок оптимальной величины определяется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N</w:t>
      </w:r>
      <w:r w:rsidRPr="00BC203D">
        <w:rPr>
          <w:color w:val="000000"/>
          <w:sz w:val="28"/>
          <w:szCs w:val="28"/>
        </w:rPr>
        <w:t xml:space="preserve"> = ГП / </w:t>
      </w:r>
      <w:r w:rsidRPr="00BC203D">
        <w:rPr>
          <w:color w:val="000000"/>
          <w:sz w:val="28"/>
          <w:szCs w:val="28"/>
          <w:lang w:val="en-US"/>
        </w:rPr>
        <w:t>EOQ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(18)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N</w:t>
      </w:r>
      <w:r w:rsidRPr="00BC203D">
        <w:rPr>
          <w:color w:val="000000"/>
          <w:sz w:val="28"/>
          <w:szCs w:val="28"/>
        </w:rPr>
        <w:t xml:space="preserve"> = </w:t>
      </w:r>
      <w:r w:rsidR="00A604BF" w:rsidRPr="00BC203D">
        <w:rPr>
          <w:color w:val="000000"/>
          <w:sz w:val="28"/>
          <w:szCs w:val="28"/>
        </w:rPr>
        <w:t>270</w:t>
      </w:r>
      <w:r w:rsidRPr="00BC203D">
        <w:rPr>
          <w:color w:val="000000"/>
          <w:sz w:val="28"/>
          <w:szCs w:val="28"/>
        </w:rPr>
        <w:t xml:space="preserve"> / </w:t>
      </w:r>
      <w:r w:rsidR="00A604BF" w:rsidRPr="00BC203D">
        <w:rPr>
          <w:color w:val="000000"/>
          <w:sz w:val="28"/>
          <w:szCs w:val="28"/>
        </w:rPr>
        <w:t>20,1</w:t>
      </w:r>
      <w:r w:rsidRPr="00BC203D">
        <w:rPr>
          <w:color w:val="000000"/>
          <w:sz w:val="28"/>
          <w:szCs w:val="28"/>
        </w:rPr>
        <w:t xml:space="preserve"> = </w:t>
      </w:r>
      <w:r w:rsidR="00A604BF" w:rsidRPr="00BC203D">
        <w:rPr>
          <w:color w:val="000000"/>
          <w:sz w:val="28"/>
          <w:szCs w:val="28"/>
        </w:rPr>
        <w:t>13,4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Совокупные затраты определяются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 = (</w:t>
      </w:r>
      <w:r w:rsidRPr="00BC203D">
        <w:rPr>
          <w:color w:val="000000"/>
          <w:sz w:val="28"/>
          <w:szCs w:val="28"/>
          <w:lang w:val="en-US"/>
        </w:rPr>
        <w:t>H</w:t>
      </w:r>
      <w:r w:rsidRPr="00BC203D">
        <w:rPr>
          <w:color w:val="000000"/>
          <w:sz w:val="28"/>
          <w:szCs w:val="28"/>
        </w:rPr>
        <w:t xml:space="preserve"> * </w:t>
      </w:r>
      <w:r w:rsidRPr="00BC203D">
        <w:rPr>
          <w:color w:val="000000"/>
          <w:sz w:val="28"/>
          <w:szCs w:val="28"/>
          <w:lang w:val="en-US"/>
        </w:rPr>
        <w:t>V</w:t>
      </w:r>
      <w:r w:rsidRPr="00BC203D">
        <w:rPr>
          <w:color w:val="000000"/>
          <w:sz w:val="28"/>
          <w:szCs w:val="28"/>
        </w:rPr>
        <w:t>) / 2 + (</w:t>
      </w:r>
      <w:r w:rsidRPr="00BC203D">
        <w:rPr>
          <w:color w:val="000000"/>
          <w:sz w:val="28"/>
          <w:szCs w:val="28"/>
          <w:lang w:val="en-US"/>
        </w:rPr>
        <w:t>F</w:t>
      </w:r>
      <w:r w:rsidRPr="00BC203D">
        <w:rPr>
          <w:color w:val="000000"/>
          <w:sz w:val="28"/>
          <w:szCs w:val="28"/>
        </w:rPr>
        <w:t>*</w:t>
      </w:r>
      <w:r w:rsidRPr="00BC203D">
        <w:rPr>
          <w:color w:val="000000"/>
          <w:sz w:val="28"/>
          <w:szCs w:val="28"/>
          <w:lang w:val="en-US"/>
        </w:rPr>
        <w:t>M</w:t>
      </w:r>
      <w:r w:rsidRPr="00BC203D">
        <w:rPr>
          <w:color w:val="000000"/>
          <w:sz w:val="28"/>
          <w:szCs w:val="28"/>
        </w:rPr>
        <w:t xml:space="preserve"> / </w:t>
      </w:r>
      <w:r w:rsidRPr="00BC203D">
        <w:rPr>
          <w:color w:val="000000"/>
          <w:sz w:val="28"/>
          <w:szCs w:val="28"/>
          <w:lang w:val="en-US"/>
        </w:rPr>
        <w:t>N</w:t>
      </w:r>
      <w:r w:rsidRPr="00BC203D">
        <w:rPr>
          <w:color w:val="000000"/>
          <w:sz w:val="28"/>
          <w:szCs w:val="28"/>
        </w:rPr>
        <w:t>),</w:t>
      </w:r>
      <w:r w:rsidR="00D06224" w:rsidRPr="00BC203D">
        <w:rPr>
          <w:color w:val="000000"/>
          <w:sz w:val="28"/>
          <w:szCs w:val="28"/>
        </w:rPr>
        <w:t xml:space="preserve"> </w:t>
      </w:r>
      <w:r w:rsidR="00733516" w:rsidRPr="00BC203D">
        <w:rPr>
          <w:color w:val="000000"/>
          <w:sz w:val="28"/>
          <w:szCs w:val="28"/>
        </w:rPr>
        <w:t>(19)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 – совокупные затраты за период.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С = </w:t>
      </w:r>
      <w:r w:rsidR="00A604BF" w:rsidRPr="00BC203D">
        <w:rPr>
          <w:color w:val="000000"/>
          <w:sz w:val="28"/>
          <w:szCs w:val="28"/>
        </w:rPr>
        <w:t>15</w:t>
      </w:r>
      <w:r w:rsidRPr="00BC203D">
        <w:rPr>
          <w:color w:val="000000"/>
          <w:sz w:val="28"/>
          <w:szCs w:val="28"/>
        </w:rPr>
        <w:t xml:space="preserve"> * </w:t>
      </w:r>
      <w:r w:rsidR="00A604BF" w:rsidRPr="00BC203D">
        <w:rPr>
          <w:color w:val="000000"/>
          <w:sz w:val="28"/>
          <w:szCs w:val="28"/>
        </w:rPr>
        <w:t>270</w:t>
      </w:r>
      <w:r w:rsidRPr="00BC203D">
        <w:rPr>
          <w:color w:val="000000"/>
          <w:sz w:val="28"/>
          <w:szCs w:val="28"/>
        </w:rPr>
        <w:t xml:space="preserve"> / 2 + </w:t>
      </w:r>
      <w:r w:rsidR="00A604BF" w:rsidRPr="00BC203D">
        <w:rPr>
          <w:color w:val="000000"/>
          <w:sz w:val="28"/>
          <w:szCs w:val="28"/>
        </w:rPr>
        <w:t>20</w:t>
      </w:r>
      <w:r w:rsidRPr="00BC203D">
        <w:rPr>
          <w:color w:val="000000"/>
          <w:sz w:val="28"/>
          <w:szCs w:val="28"/>
        </w:rPr>
        <w:t xml:space="preserve"> * </w:t>
      </w:r>
      <w:r w:rsidR="00A604BF" w:rsidRPr="00BC203D">
        <w:rPr>
          <w:color w:val="000000"/>
          <w:sz w:val="28"/>
          <w:szCs w:val="28"/>
        </w:rPr>
        <w:t>270</w:t>
      </w:r>
      <w:r w:rsidRPr="00BC203D">
        <w:rPr>
          <w:color w:val="000000"/>
          <w:sz w:val="28"/>
          <w:szCs w:val="28"/>
        </w:rPr>
        <w:t xml:space="preserve"> / </w:t>
      </w:r>
      <w:r w:rsidR="00A604BF" w:rsidRPr="00BC203D">
        <w:rPr>
          <w:color w:val="000000"/>
          <w:sz w:val="28"/>
          <w:szCs w:val="28"/>
        </w:rPr>
        <w:t>13,4</w:t>
      </w:r>
      <w:r w:rsidRPr="00BC203D">
        <w:rPr>
          <w:color w:val="000000"/>
          <w:sz w:val="28"/>
          <w:szCs w:val="28"/>
        </w:rPr>
        <w:t xml:space="preserve"> = </w:t>
      </w:r>
      <w:r w:rsidR="00A604BF" w:rsidRPr="00BC203D">
        <w:rPr>
          <w:color w:val="000000"/>
          <w:sz w:val="28"/>
          <w:szCs w:val="28"/>
        </w:rPr>
        <w:t>2 428.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Графически оптимальный объем рассчитывается при помощи следующей модели: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6278AB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pt;margin-top:94.35pt;width:1in;height:54pt;z-index:251657216" filled="f" stroked="f">
            <v:textbox>
              <w:txbxContent>
                <w:p w:rsidR="00D06224" w:rsidRDefault="00D06224" w:rsidP="0083618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</w:t>
                  </w:r>
                  <w:r w:rsidRPr="006D4565">
                    <w:rPr>
                      <w:sz w:val="20"/>
                      <w:szCs w:val="20"/>
                    </w:rPr>
                    <w:t>аименьшие суммарные издержки</w:t>
                  </w:r>
                </w:p>
                <w:p w:rsidR="00D06224" w:rsidRPr="006D4565" w:rsidRDefault="00D06224" w:rsidP="0083618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(2 428 руб.)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17.65pt;margin-top:174.55pt;width:171pt;height:18pt;z-index:251658240" stroked="f">
            <v:textbox>
              <w:txbxContent>
                <w:p w:rsidR="00D06224" w:rsidRPr="006D4565" w:rsidRDefault="00D06224" w:rsidP="0083618A">
                  <w:pPr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6D4565">
                    <w:rPr>
                      <w:sz w:val="20"/>
                      <w:szCs w:val="20"/>
                    </w:rPr>
                    <w:t xml:space="preserve">Оптимальный размер заказа, </w:t>
                  </w:r>
                  <w:r>
                    <w:rPr>
                      <w:sz w:val="20"/>
                      <w:szCs w:val="20"/>
                    </w:rPr>
                    <w:t>20,1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28" style="position:absolute;left:0;text-align:left;z-index:251659264" from="117pt,195.4pt" to="207pt,195.4pt" strokeweight="1pt"/>
        </w:pict>
      </w:r>
      <w:r>
        <w:rPr>
          <w:noProof/>
        </w:rPr>
        <w:pict>
          <v:line id="_x0000_s1029" style="position:absolute;left:0;text-align:left;flip:x;z-index:251656192" from="67.2pt,77.95pt" to="157.2pt,77.95pt" strokeweight="1.5pt"/>
        </w:pict>
      </w:r>
      <w:r>
        <w:rPr>
          <w:iCs/>
          <w:color w:val="000000"/>
          <w:sz w:val="28"/>
          <w:szCs w:val="15"/>
        </w:rPr>
        <w:pict>
          <v:shape id="_x0000_i1055" type="#_x0000_t75" style="width:398.25pt;height:196.5pt">
            <v:imagedata r:id="rId32" o:title="" blacklevel="3932f"/>
          </v:shape>
        </w:pic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соответствии с ПБУ 5/01 разрешено списывать затраты одним из следующих методов: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по себестоимости каждой единицы;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по средней себестоимости;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по себестоимости первых по времени приобретения материально-производственных запасов (способ ФИФО);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- по себестоимости последних по времени приобретения материально-производственных запасов (способ ЛИФО).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курсовой работе сравниваются три последних способа. Годовая потребность в материале группы А на 5% меньше годового объема поставок. Запас на начало года не превышает 30% квартальной потребности производства и определена в размере 18,4. Базисные темпы роста цены на материалы группы А увеличиваются ежемесячно на 1%.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7</w:t>
      </w:r>
    </w:p>
    <w:tbl>
      <w:tblPr>
        <w:tblW w:w="5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532"/>
        <w:gridCol w:w="1641"/>
        <w:gridCol w:w="976"/>
      </w:tblGrid>
      <w:tr w:rsidR="0083618A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Месяц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Цена за ед.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Количество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Итого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Январь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1,30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80,8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Февраль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1,31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45,8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Март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1,33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37,6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Апрель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1,34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27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36,5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Май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1,35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35,4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Июнь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1,37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43,2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Июль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1,38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48,1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Август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1,39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26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36,5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Сентябрь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1,41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41,4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Октябрь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1,42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43,4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Ноябрь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1,44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38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54,8</w:t>
            </w:r>
          </w:p>
        </w:tc>
      </w:tr>
      <w:tr w:rsidR="00A604BF" w:rsidRPr="00BC203D" w:rsidTr="00BC203D">
        <w:trPr>
          <w:trHeight w:val="240"/>
          <w:jc w:val="center"/>
        </w:trPr>
        <w:tc>
          <w:tcPr>
            <w:tcW w:w="133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Декабрь</w:t>
            </w:r>
          </w:p>
        </w:tc>
        <w:tc>
          <w:tcPr>
            <w:tcW w:w="1532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1,45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32</w:t>
            </w:r>
          </w:p>
        </w:tc>
        <w:tc>
          <w:tcPr>
            <w:tcW w:w="976" w:type="dxa"/>
            <w:shd w:val="clear" w:color="auto" w:fill="auto"/>
            <w:noWrap/>
            <w:vAlign w:val="center"/>
          </w:tcPr>
          <w:p w:rsidR="00A604BF" w:rsidRPr="00BC203D" w:rsidRDefault="00A604B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45,8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Определим среднюю себестоимость единицы материала: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Сср = </w:t>
      </w:r>
      <w:r w:rsidR="00A604BF" w:rsidRPr="00BC203D">
        <w:rPr>
          <w:color w:val="000000"/>
          <w:sz w:val="28"/>
          <w:szCs w:val="28"/>
        </w:rPr>
        <w:t>549,3</w:t>
      </w:r>
      <w:r w:rsidRPr="00BC203D">
        <w:rPr>
          <w:color w:val="000000"/>
          <w:sz w:val="28"/>
          <w:szCs w:val="28"/>
        </w:rPr>
        <w:t xml:space="preserve"> / </w:t>
      </w:r>
      <w:r w:rsidR="00A604BF" w:rsidRPr="00BC203D">
        <w:rPr>
          <w:color w:val="000000"/>
          <w:sz w:val="28"/>
          <w:szCs w:val="28"/>
        </w:rPr>
        <w:t xml:space="preserve">401 </w:t>
      </w:r>
      <w:r w:rsidRPr="00BC203D">
        <w:rPr>
          <w:color w:val="000000"/>
          <w:sz w:val="28"/>
          <w:szCs w:val="28"/>
        </w:rPr>
        <w:t xml:space="preserve">= </w:t>
      </w:r>
      <w:r w:rsidR="00A604BF" w:rsidRPr="00BC203D">
        <w:rPr>
          <w:color w:val="000000"/>
          <w:sz w:val="28"/>
          <w:szCs w:val="28"/>
        </w:rPr>
        <w:t>1,4</w:t>
      </w:r>
      <w:r w:rsidRPr="00BC203D">
        <w:rPr>
          <w:color w:val="000000"/>
          <w:sz w:val="28"/>
          <w:szCs w:val="28"/>
        </w:rPr>
        <w:t>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Метод оценки запасов по средней себестоимости состоит в том, что запасы материалов на конец периода оцениваются по усредненной цене, которая определяется как средневзвешенная цена всех осуществленных поставок.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Оценка запасов материалов по методу ФИФО основана на том, что списание материалов на себестоимость готовой продукции осуществляется по цене первых по времени закупок.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Оценка запасов материалов по методу ЛИФО предусматривает списание на себестоимость готовой продукции, в первую очередь материалов по цене последнего приобретения. При этом стоимость ранее приобретенных материалов (по более низким ценам) распределяется по товарно-материальным запасам, незавершенному производству и готовой продукции.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Объем производства совпадает с объемом реализации и меняется поквартально. Внутри квартала объемы распределяются равномерно. Результаты списания затрат материала заносятся в табл. 8.</w:t>
      </w:r>
    </w:p>
    <w:p w:rsidR="0083618A" w:rsidRPr="00BC203D" w:rsidRDefault="00D06224" w:rsidP="00BC203D">
      <w:pPr>
        <w:shd w:val="clear" w:color="000000" w:fill="FFFFFF"/>
        <w:suppressAutoHyphens/>
        <w:spacing w:line="360" w:lineRule="auto"/>
        <w:ind w:firstLine="0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="0083618A" w:rsidRPr="00BC203D">
        <w:rPr>
          <w:color w:val="000000"/>
          <w:sz w:val="28"/>
          <w:szCs w:val="28"/>
        </w:rPr>
        <w:t>Таблица 8</w:t>
      </w:r>
    </w:p>
    <w:tbl>
      <w:tblPr>
        <w:tblW w:w="7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095"/>
        <w:gridCol w:w="1049"/>
        <w:gridCol w:w="1095"/>
        <w:gridCol w:w="1049"/>
        <w:gridCol w:w="1095"/>
        <w:gridCol w:w="1049"/>
      </w:tblGrid>
      <w:tr w:rsidR="0083618A" w:rsidRPr="00BC203D" w:rsidTr="00BC203D">
        <w:trPr>
          <w:trHeight w:val="270"/>
          <w:jc w:val="center"/>
        </w:trPr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Месяц</w:t>
            </w:r>
          </w:p>
        </w:tc>
        <w:tc>
          <w:tcPr>
            <w:tcW w:w="6432" w:type="dxa"/>
            <w:gridSpan w:val="6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Метод</w:t>
            </w:r>
          </w:p>
        </w:tc>
      </w:tr>
      <w:tr w:rsidR="0083618A" w:rsidRPr="00BC203D" w:rsidTr="00BC203D">
        <w:trPr>
          <w:trHeight w:val="240"/>
          <w:jc w:val="center"/>
        </w:trPr>
        <w:tc>
          <w:tcPr>
            <w:tcW w:w="1178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2144" w:type="dxa"/>
            <w:gridSpan w:val="2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По средней</w:t>
            </w:r>
          </w:p>
        </w:tc>
        <w:tc>
          <w:tcPr>
            <w:tcW w:w="2144" w:type="dxa"/>
            <w:gridSpan w:val="2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ФИФО</w:t>
            </w:r>
          </w:p>
        </w:tc>
        <w:tc>
          <w:tcPr>
            <w:tcW w:w="2144" w:type="dxa"/>
            <w:gridSpan w:val="2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ЛИФО</w:t>
            </w:r>
          </w:p>
        </w:tc>
      </w:tr>
      <w:tr w:rsidR="0083618A" w:rsidRPr="00BC203D" w:rsidTr="00BC203D">
        <w:trPr>
          <w:trHeight w:val="240"/>
          <w:jc w:val="center"/>
        </w:trPr>
        <w:tc>
          <w:tcPr>
            <w:tcW w:w="1178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Списано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Остаток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Списано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Остаток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Списано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Остаток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Январь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52,8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26,0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31,0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28,0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Февраль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17,8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26,0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6,0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3,0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Март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9,6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26,0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0,0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-3,0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Апрель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30,8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5,7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-3,6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-6,9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Май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30,8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4,6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-4,6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-7,9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Июнь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30,8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12,4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0,4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-2,9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Июль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35,4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12,7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32,9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-0,9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36,7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-4,7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Август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35,4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1,0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32,9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-8,9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36,7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-12,7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Сентябрь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35,4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6,0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32,9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-5,9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36,7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-9,7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Октябрь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11,5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29,6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-1,6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33,0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-5,0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Ноябрь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22,9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29,6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5,4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33,0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2,0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Декабрь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31,9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14,0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29,6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-0,6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33,0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-4,0</w:t>
            </w:r>
          </w:p>
        </w:tc>
      </w:tr>
      <w:tr w:rsidR="00747DD7" w:rsidRPr="00BC203D" w:rsidTr="00BC203D">
        <w:trPr>
          <w:trHeight w:val="420"/>
          <w:jc w:val="center"/>
        </w:trPr>
        <w:tc>
          <w:tcPr>
            <w:tcW w:w="1178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Итого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378,3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171,0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351,3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16,7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391,8</w:t>
            </w:r>
          </w:p>
        </w:tc>
        <w:tc>
          <w:tcPr>
            <w:tcW w:w="1049" w:type="dxa"/>
            <w:shd w:val="clear" w:color="auto" w:fill="auto"/>
            <w:noWrap/>
            <w:vAlign w:val="center"/>
          </w:tcPr>
          <w:p w:rsidR="00747DD7" w:rsidRPr="00BC203D" w:rsidRDefault="00747DD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-23,8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Метод средней себестоимости нивелирует инфляционные влияния на себестоимость выпущенной продукции и стоимость остатков материалов, что можно отнести к его достоинствам.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то же время он совершенно не учитывает объемов закупок, сделанных по разным ценам.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При использовании метода ФИФО достигается минимальная стоимость использованных материалов.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Если предприятие стремится к снижению затрат по производству и реализации продукции по низким ценам для завоевания рынка и его удержания, то указанный метод является оптимальным для оценки материальных запасов.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Преимущество метода ЛИФО состоит в том, что он приспосабливает финансовые отчеты к инфляции и позволяет избавиться от так называемой инфляционной прибыли.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Управление дебиторской задолженностью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Величина дебиторской задолженности в выручке от реализации составляет стабильный процент. Результат расчета величины дебиторской задолженности приведен в табл. 9.</w:t>
      </w:r>
    </w:p>
    <w:p w:rsidR="00747DD7" w:rsidRPr="00BC203D" w:rsidRDefault="00747DD7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1905"/>
        <w:gridCol w:w="1806"/>
      </w:tblGrid>
      <w:tr w:rsidR="0083618A" w:rsidRPr="00BC203D" w:rsidTr="00BC203D"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Доля дебиторской задолженности в выручке, %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Сумма дебиторской задолженности, тыс. руб.</w:t>
            </w:r>
          </w:p>
        </w:tc>
      </w:tr>
      <w:tr w:rsidR="0083618A" w:rsidRPr="00BC203D" w:rsidTr="00BC203D"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Всего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3618A" w:rsidRPr="00BC203D" w:rsidRDefault="00C005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3618A" w:rsidRPr="00BC203D" w:rsidRDefault="00C005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4 050</w:t>
            </w:r>
          </w:p>
        </w:tc>
      </w:tr>
      <w:tr w:rsidR="0083618A" w:rsidRPr="00BC203D" w:rsidTr="00BC203D"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 xml:space="preserve">В т.ч. 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погашаемая через 1 месяц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3618A" w:rsidRPr="00BC203D" w:rsidRDefault="00C005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3618A" w:rsidRPr="00BC203D" w:rsidRDefault="00C005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675</w:t>
            </w:r>
          </w:p>
        </w:tc>
      </w:tr>
      <w:tr w:rsidR="0083618A" w:rsidRPr="00BC203D" w:rsidTr="00BC203D"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погашаемая через 2 месяца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3618A" w:rsidRPr="00BC203D" w:rsidRDefault="00C005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3618A" w:rsidRPr="00BC203D" w:rsidRDefault="00C005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1 350</w:t>
            </w:r>
          </w:p>
        </w:tc>
      </w:tr>
      <w:tr w:rsidR="0083618A" w:rsidRPr="00BC203D" w:rsidTr="00BC203D">
        <w:trPr>
          <w:jc w:val="center"/>
        </w:trPr>
        <w:tc>
          <w:tcPr>
            <w:tcW w:w="26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погашаемая через 3 месяца</w:t>
            </w:r>
          </w:p>
        </w:tc>
        <w:tc>
          <w:tcPr>
            <w:tcW w:w="190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30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83618A" w:rsidRPr="00BC203D" w:rsidRDefault="00C005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2 025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Средства в дебиторской задолженности свидетельствуют о временном отвлечении средств из оборота предприятия, что вызывает дополнительную потребность в ресурсах и может привести к напряженному финансовому состоянию.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Калькуляция затрат: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1. Определение выручки (без НДС): цена * объем = </w:t>
      </w:r>
      <w:r w:rsidR="00C005F0" w:rsidRPr="00BC203D">
        <w:rPr>
          <w:color w:val="000000"/>
          <w:sz w:val="28"/>
          <w:szCs w:val="28"/>
        </w:rPr>
        <w:t>270</w:t>
      </w:r>
      <w:r w:rsidRPr="00BC203D">
        <w:rPr>
          <w:color w:val="000000"/>
          <w:sz w:val="28"/>
          <w:szCs w:val="28"/>
        </w:rPr>
        <w:t xml:space="preserve"> * 2</w:t>
      </w:r>
      <w:r w:rsidR="00C005F0" w:rsidRPr="00BC203D">
        <w:rPr>
          <w:color w:val="000000"/>
          <w:sz w:val="28"/>
          <w:szCs w:val="28"/>
        </w:rPr>
        <w:t>5</w:t>
      </w:r>
      <w:r w:rsidRPr="00BC203D">
        <w:rPr>
          <w:color w:val="000000"/>
          <w:sz w:val="28"/>
          <w:szCs w:val="28"/>
        </w:rPr>
        <w:t xml:space="preserve"> = </w:t>
      </w:r>
      <w:r w:rsidR="00C005F0" w:rsidRPr="00BC203D">
        <w:rPr>
          <w:color w:val="000000"/>
          <w:sz w:val="28"/>
          <w:szCs w:val="28"/>
        </w:rPr>
        <w:t>6 750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2. Определение себестоимости: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Выручка * 100 / (100 + Рентабельность производства) = </w:t>
      </w:r>
      <w:r w:rsidR="00C005F0" w:rsidRPr="00BC203D">
        <w:rPr>
          <w:color w:val="000000"/>
          <w:sz w:val="28"/>
          <w:szCs w:val="28"/>
        </w:rPr>
        <w:t>6 750</w:t>
      </w:r>
      <w:r w:rsidRPr="00BC203D">
        <w:rPr>
          <w:color w:val="000000"/>
          <w:sz w:val="28"/>
          <w:szCs w:val="28"/>
        </w:rPr>
        <w:t xml:space="preserve"> * 100 / (100 + 27) = </w:t>
      </w:r>
      <w:r w:rsidR="00C005F0" w:rsidRPr="00BC203D">
        <w:rPr>
          <w:color w:val="000000"/>
          <w:sz w:val="28"/>
          <w:szCs w:val="28"/>
        </w:rPr>
        <w:t>5 315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 xml:space="preserve">3. Распределение себестоимости на прямые и накладные расходы: Прямые расходы = Себестоимость * 100 / (100 + % Прямых расходов) = </w:t>
      </w:r>
      <w:r w:rsidR="00D978FE" w:rsidRPr="00BC203D">
        <w:rPr>
          <w:color w:val="000000"/>
          <w:sz w:val="28"/>
          <w:szCs w:val="28"/>
        </w:rPr>
        <w:t>3 455</w:t>
      </w:r>
      <w:r w:rsidRPr="00BC203D">
        <w:rPr>
          <w:color w:val="000000"/>
          <w:sz w:val="28"/>
          <w:szCs w:val="28"/>
        </w:rPr>
        <w:t xml:space="preserve"> тыс. руб.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Калькуляция себестоимости представлена в табл. 10 (подчеркиванием выделены переменные затраты).</w:t>
      </w:r>
    </w:p>
    <w:p w:rsidR="0083618A" w:rsidRPr="00BC203D" w:rsidRDefault="00D06224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="0083618A" w:rsidRPr="00BC203D">
        <w:rPr>
          <w:color w:val="000000"/>
          <w:sz w:val="28"/>
          <w:szCs w:val="28"/>
        </w:rPr>
        <w:t>Таблица 10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16"/>
        </w:rPr>
      </w:pPr>
      <w:r w:rsidRPr="00BC203D">
        <w:rPr>
          <w:b/>
          <w:color w:val="000000"/>
          <w:sz w:val="28"/>
          <w:szCs w:val="28"/>
        </w:rPr>
        <w:t>Калькуляция затрат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1"/>
        <w:gridCol w:w="849"/>
        <w:gridCol w:w="1080"/>
        <w:gridCol w:w="1627"/>
        <w:gridCol w:w="1274"/>
        <w:gridCol w:w="951"/>
        <w:gridCol w:w="720"/>
      </w:tblGrid>
      <w:tr w:rsidR="0083618A" w:rsidRPr="00BC203D" w:rsidTr="00BC203D">
        <w:trPr>
          <w:trHeight w:val="309"/>
          <w:jc w:val="center"/>
        </w:trPr>
        <w:tc>
          <w:tcPr>
            <w:tcW w:w="2101" w:type="dxa"/>
            <w:vMerge w:val="restart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6501" w:type="dxa"/>
            <w:gridSpan w:val="6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Статьи затрат</w:t>
            </w:r>
          </w:p>
        </w:tc>
      </w:tr>
      <w:tr w:rsidR="0083618A" w:rsidRPr="00BC203D" w:rsidTr="00BC203D">
        <w:trPr>
          <w:trHeight w:val="347"/>
          <w:jc w:val="center"/>
        </w:trPr>
        <w:tc>
          <w:tcPr>
            <w:tcW w:w="2101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Материалы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Зарплата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Соц.страх.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Амортизац.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Прочие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Всего</w:t>
            </w:r>
          </w:p>
        </w:tc>
      </w:tr>
      <w:tr w:rsidR="0083618A" w:rsidRPr="00BC203D" w:rsidTr="00BC203D">
        <w:trPr>
          <w:trHeight w:val="412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Прямые затраты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 т.ч.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 основные материалы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 основная зарплата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 экспл. машин и мех.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2 073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345,5</w:t>
            </w: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20,7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89,9</w:t>
            </w:r>
            <w:r w:rsidR="0083618A" w:rsidRPr="00BC203D">
              <w:rPr>
                <w:color w:val="000000"/>
                <w:sz w:val="20"/>
              </w:rPr>
              <w:t xml:space="preserve"> (26% от з/п)</w:t>
            </w: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5,4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290,2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725,6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3 455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2 073</w:t>
            </w: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345,5</w:t>
            </w:r>
          </w:p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1036,5</w:t>
            </w:r>
          </w:p>
        </w:tc>
      </w:tr>
      <w:tr w:rsidR="0083618A" w:rsidRPr="00BC203D" w:rsidTr="00BC203D">
        <w:trPr>
          <w:trHeight w:val="270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Накладные расходы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 т.ч.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 адм.-хоз. расходы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 обсл. рабочих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- орг. производства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647D11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12,5</w:t>
            </w:r>
          </w:p>
          <w:p w:rsidR="0083618A" w:rsidRPr="00BC203D" w:rsidRDefault="00647D11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13,7</w:t>
            </w:r>
          </w:p>
          <w:p w:rsidR="0083618A" w:rsidRPr="00BC203D" w:rsidRDefault="00647D11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28,5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647D11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125,4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647D11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32,6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C5214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488,9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647D11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242,3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647D11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214,9</w:t>
            </w:r>
          </w:p>
          <w:p w:rsidR="0083618A" w:rsidRPr="00BC203D" w:rsidRDefault="00647D11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1 139,7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C5214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626,8</w:t>
            </w:r>
          </w:p>
          <w:p w:rsidR="0083618A" w:rsidRPr="00BC203D" w:rsidRDefault="00C5214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227,9</w:t>
            </w:r>
          </w:p>
          <w:p w:rsidR="0083618A" w:rsidRPr="00BC203D" w:rsidRDefault="00C5214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285,0</w:t>
            </w:r>
          </w:p>
        </w:tc>
      </w:tr>
      <w:tr w:rsidR="0083618A" w:rsidRPr="00BC203D" w:rsidTr="00BC203D">
        <w:trPr>
          <w:trHeight w:val="142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 xml:space="preserve">Прочие 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180,1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540,2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720,3</w:t>
            </w:r>
          </w:p>
        </w:tc>
      </w:tr>
      <w:tr w:rsidR="0083618A" w:rsidRPr="00BC203D" w:rsidTr="00BC203D">
        <w:trPr>
          <w:trHeight w:val="193"/>
          <w:jc w:val="center"/>
        </w:trPr>
        <w:tc>
          <w:tcPr>
            <w:tcW w:w="210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Всего</w:t>
            </w:r>
          </w:p>
        </w:tc>
        <w:tc>
          <w:tcPr>
            <w:tcW w:w="849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2127,7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671,7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127,9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1021,4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1494,2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83618A" w:rsidRPr="00BC203D" w:rsidRDefault="00D978FE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5 315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Зная поквартальный график продаж в % к первому кварталу и коэффициент эластичности спроса рассчитаем объем продаж и цену продукции за год. Результаты расчета представлены в табл. 11.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96"/>
        <w:gridCol w:w="1196"/>
        <w:gridCol w:w="1204"/>
        <w:gridCol w:w="1149"/>
      </w:tblGrid>
      <w:tr w:rsidR="0083618A" w:rsidRPr="00BC203D" w:rsidTr="00BC203D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83618A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                                       </w:t>
            </w:r>
            <w:r w:rsidR="0083618A" w:rsidRPr="00BC203D">
              <w:rPr>
                <w:color w:val="000000"/>
                <w:sz w:val="20"/>
                <w:szCs w:val="20"/>
              </w:rPr>
              <w:t>Квартал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IV</w:t>
            </w:r>
          </w:p>
        </w:tc>
      </w:tr>
      <w:tr w:rsidR="0083618A" w:rsidRPr="00BC203D" w:rsidTr="00BC203D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Объем производства, тыс. шт.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891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1025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922</w:t>
            </w:r>
          </w:p>
        </w:tc>
      </w:tr>
      <w:tr w:rsidR="0083618A" w:rsidRPr="00BC203D" w:rsidTr="00BC203D">
        <w:trPr>
          <w:jc w:val="center"/>
        </w:trPr>
        <w:tc>
          <w:tcPr>
            <w:tcW w:w="308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</w:t>
            </w:r>
            <w:r w:rsidR="00F90844" w:rsidRPr="00BC20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</w:t>
            </w:r>
            <w:r w:rsidR="00F90844" w:rsidRPr="00BC20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4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</w:t>
            </w:r>
            <w:r w:rsidR="00F90844" w:rsidRPr="00BC20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dxa"/>
            <w:shd w:val="clear" w:color="auto" w:fill="auto"/>
            <w:vAlign w:val="center"/>
          </w:tcPr>
          <w:p w:rsidR="0083618A" w:rsidRPr="00BC203D" w:rsidRDefault="00F9084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27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Управление источниками средств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Составляется прогнозный годовой баланс организации по форме 1. Общая величина прибыли и ее распределение отражается по форме 2. Рассчитываются средневзвешенная стоимость капитала и эффект финансового рычага.</w:t>
      </w:r>
    </w:p>
    <w:p w:rsidR="0083618A" w:rsidRPr="00BC203D" w:rsidRDefault="00D06224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="0083618A" w:rsidRPr="00BC203D">
        <w:rPr>
          <w:color w:val="000000"/>
          <w:sz w:val="28"/>
          <w:szCs w:val="28"/>
        </w:rPr>
        <w:t>Таблица 12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t>Баланс на 1 января 200_ г. (тыс. руб</w:t>
      </w:r>
      <w:r w:rsidR="00F90844" w:rsidRPr="00BC203D">
        <w:rPr>
          <w:b/>
          <w:color w:val="000000"/>
          <w:sz w:val="28"/>
          <w:szCs w:val="28"/>
        </w:rPr>
        <w:t>.</w:t>
      </w:r>
      <w:r w:rsidRPr="00BC203D">
        <w:rPr>
          <w:b/>
          <w:color w:val="000000"/>
          <w:sz w:val="28"/>
          <w:szCs w:val="28"/>
        </w:rPr>
        <w:t>)</w:t>
      </w:r>
    </w:p>
    <w:tbl>
      <w:tblPr>
        <w:tblW w:w="8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97"/>
        <w:gridCol w:w="1140"/>
        <w:gridCol w:w="1100"/>
      </w:tblGrid>
      <w:tr w:rsidR="0083618A" w:rsidRPr="00BC203D" w:rsidTr="00BC203D">
        <w:trPr>
          <w:trHeight w:val="46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2"/>
              </w:rPr>
            </w:pPr>
            <w:r w:rsidRPr="00BC203D">
              <w:rPr>
                <w:bCs/>
                <w:color w:val="000000"/>
                <w:sz w:val="20"/>
                <w:szCs w:val="22"/>
              </w:rPr>
              <w:t>АКТИВ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Код</w:t>
            </w:r>
            <w:r w:rsidR="00D06224" w:rsidRPr="00BC203D">
              <w:rPr>
                <w:color w:val="000000"/>
                <w:sz w:val="20"/>
                <w:szCs w:val="16"/>
              </w:rPr>
              <w:t xml:space="preserve"> </w:t>
            </w:r>
            <w:r w:rsidRPr="00BC203D">
              <w:rPr>
                <w:color w:val="000000"/>
                <w:sz w:val="20"/>
                <w:szCs w:val="16"/>
              </w:rPr>
              <w:t>строки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На начало отч. периода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На конец отч. периода</w:t>
            </w:r>
          </w:p>
        </w:tc>
      </w:tr>
      <w:tr w:rsidR="0083618A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</w:t>
            </w:r>
          </w:p>
        </w:tc>
      </w:tr>
      <w:tr w:rsidR="0083618A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I.ВНЕОБОРОТНЫЕ АКТИВЫ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Нематериальные активы (04, 05)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4475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3415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в том числе: патенты, лицензии, товарные знаки (знаки обслуживания),</w:t>
            </w:r>
          </w:p>
        </w:tc>
        <w:tc>
          <w:tcPr>
            <w:tcW w:w="797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111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4475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3415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иные аналогичные с перечисленными права и активы</w:t>
            </w: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организационные расходы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деловая репутация организации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113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Основные средства (01, 02)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9450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8363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в том числе: земельные участки и объекты природопользования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здания, машины и оборудование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9450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8363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Незавершённое строительство (07, 08, 16, 60)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Доходные вложения в материальные ценности (03, 02)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135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Долгосрочные финансовые вложения (58, 59)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Прочие внеоборотные активы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33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ИТОГО ПО РАЗДЕЛУ I.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8"/>
              </w:rPr>
            </w:pPr>
            <w:r w:rsidRPr="00BC203D">
              <w:rPr>
                <w:bCs/>
                <w:color w:val="000000"/>
                <w:sz w:val="20"/>
                <w:szCs w:val="18"/>
              </w:rPr>
              <w:t>190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13925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11778</w:t>
            </w:r>
          </w:p>
        </w:tc>
      </w:tr>
      <w:tr w:rsidR="0020127F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II.ОБОРОТНЫЕ АКТИВЫ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Запасы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18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171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в том числе: сырьё, материалы и другие аналогичные ценности (10, 15, 16)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211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171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животные на выращивании и откорме (11)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212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затраты в незавершенном производстве</w:t>
            </w:r>
          </w:p>
        </w:tc>
        <w:tc>
          <w:tcPr>
            <w:tcW w:w="797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213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(издержках обращения) (20, 21, 23, 29, 44, 46)</w:t>
            </w: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готовая продукция и товары для перепродажи (16, 41, 43)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214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товары отгруженные (45)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215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расходы будущих периодов (97)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216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прочие запасы и затраты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217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Налог на добавленную стоимость по приобретённым ценностям (19)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2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Дебиторская задолженность (платежи по которой ожидаются более чем</w:t>
            </w:r>
          </w:p>
        </w:tc>
        <w:tc>
          <w:tcPr>
            <w:tcW w:w="797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230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1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через 12 месяцев после отчетной даты)</w:t>
            </w: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Дебиторская задолженность (платежи по которой ожидаются в течение 12</w:t>
            </w:r>
          </w:p>
        </w:tc>
        <w:tc>
          <w:tcPr>
            <w:tcW w:w="797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240</w:t>
            </w:r>
          </w:p>
        </w:tc>
        <w:tc>
          <w:tcPr>
            <w:tcW w:w="1140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1350</w:t>
            </w:r>
          </w:p>
        </w:tc>
        <w:tc>
          <w:tcPr>
            <w:tcW w:w="1100" w:type="dxa"/>
            <w:vMerge w:val="restart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1660</w:t>
            </w:r>
          </w:p>
        </w:tc>
      </w:tr>
      <w:tr w:rsidR="0020127F" w:rsidRPr="00BC203D" w:rsidTr="00BC203D">
        <w:trPr>
          <w:trHeight w:val="21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месяцев после отчетной даты)</w:t>
            </w: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Краткосрочные финансовые вложения (58, 59, 81)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в том числе: займы, предоставленные организациям на срок менее 12 мес.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251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 xml:space="preserve">собственные акции, выкупленные у акционеров 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252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прочие краткосрочные финансовые вложения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253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Денежные средства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1013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1245</w:t>
            </w:r>
          </w:p>
        </w:tc>
      </w:tr>
      <w:tr w:rsidR="0020127F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Прочие оборотные активы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270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 </w:t>
            </w:r>
          </w:p>
        </w:tc>
      </w:tr>
      <w:tr w:rsidR="0020127F" w:rsidRPr="00BC203D" w:rsidTr="00BC203D">
        <w:trPr>
          <w:trHeight w:val="28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ИТОГО ПО РАЗДЕЛУ II.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8"/>
              </w:rPr>
            </w:pPr>
            <w:r w:rsidRPr="00BC203D">
              <w:rPr>
                <w:bCs/>
                <w:color w:val="000000"/>
                <w:sz w:val="20"/>
                <w:szCs w:val="18"/>
              </w:rPr>
              <w:t>290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2381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3076</w:t>
            </w:r>
          </w:p>
        </w:tc>
      </w:tr>
      <w:tr w:rsidR="0020127F" w:rsidRPr="00BC203D" w:rsidTr="00BC203D">
        <w:trPr>
          <w:trHeight w:val="30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БАЛАНС (сумма строк 190+290)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300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6"/>
              </w:rPr>
            </w:pPr>
            <w:r w:rsidRPr="00BC203D">
              <w:rPr>
                <w:bCs/>
                <w:color w:val="000000"/>
                <w:sz w:val="20"/>
                <w:szCs w:val="16"/>
              </w:rPr>
              <w:t>16306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6"/>
              </w:rPr>
            </w:pPr>
            <w:r w:rsidRPr="00BC203D">
              <w:rPr>
                <w:bCs/>
                <w:color w:val="000000"/>
                <w:sz w:val="20"/>
                <w:szCs w:val="16"/>
              </w:rPr>
              <w:t>14854</w:t>
            </w:r>
          </w:p>
        </w:tc>
      </w:tr>
      <w:tr w:rsidR="0020127F" w:rsidRPr="00BC203D" w:rsidTr="00BC203D">
        <w:trPr>
          <w:trHeight w:val="46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ПАССИВ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Код</w:t>
            </w:r>
            <w:r w:rsidR="00D06224" w:rsidRPr="00BC203D">
              <w:rPr>
                <w:color w:val="000000"/>
                <w:sz w:val="20"/>
                <w:szCs w:val="16"/>
              </w:rPr>
              <w:t xml:space="preserve"> </w:t>
            </w:r>
            <w:r w:rsidRPr="00BC203D">
              <w:rPr>
                <w:color w:val="000000"/>
                <w:sz w:val="20"/>
                <w:szCs w:val="16"/>
              </w:rPr>
              <w:t>строки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На начало отч. периода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6"/>
              </w:rPr>
            </w:pPr>
            <w:r w:rsidRPr="00BC203D">
              <w:rPr>
                <w:color w:val="000000"/>
                <w:sz w:val="20"/>
                <w:szCs w:val="16"/>
              </w:rPr>
              <w:t>На конец отч. периода</w:t>
            </w:r>
          </w:p>
        </w:tc>
      </w:tr>
      <w:tr w:rsidR="0020127F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3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</w:t>
            </w:r>
          </w:p>
        </w:tc>
      </w:tr>
      <w:tr w:rsidR="0020127F" w:rsidRPr="00BC203D" w:rsidTr="00BC203D">
        <w:trPr>
          <w:trHeight w:val="33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III.КАПИТАЛ И РЕЗЕРВЫ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Уставный капитал (80)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7000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7000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Добавочный капитал (83)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Резервный капитал (82)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1400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1400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Фонды социальной сферы (84)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Целевые финансирование и поступления (86)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Нераспределенная прибыль прошлых лет (84)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Непокрытый убыток прошлых лет (84)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465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Нераспределенная прибыль отчетного года (99)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470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Х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Непокрытый убыток отчетного года (99)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475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Х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43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ИТОГО ПО РАЗДЕЛУ III.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8"/>
              </w:rPr>
            </w:pPr>
            <w:r w:rsidRPr="00BC203D">
              <w:rPr>
                <w:bCs/>
                <w:color w:val="000000"/>
                <w:sz w:val="20"/>
                <w:szCs w:val="18"/>
              </w:rPr>
              <w:t>490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8"/>
              </w:rPr>
            </w:pPr>
            <w:r w:rsidRPr="00BC203D">
              <w:rPr>
                <w:bCs/>
                <w:color w:val="000000"/>
                <w:sz w:val="20"/>
                <w:szCs w:val="18"/>
              </w:rPr>
              <w:t>8400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8"/>
              </w:rPr>
            </w:pPr>
            <w:r w:rsidRPr="00BC203D">
              <w:rPr>
                <w:bCs/>
                <w:color w:val="000000"/>
                <w:sz w:val="20"/>
                <w:szCs w:val="18"/>
              </w:rPr>
              <w:t>8400</w:t>
            </w:r>
          </w:p>
        </w:tc>
      </w:tr>
      <w:tr w:rsidR="0020127F" w:rsidRPr="00BC203D" w:rsidTr="00BC203D">
        <w:trPr>
          <w:trHeight w:val="34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8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Займы и кредиты (67)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510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1434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1306</w:t>
            </w:r>
          </w:p>
        </w:tc>
      </w:tr>
      <w:tr w:rsidR="0020127F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Прочие долгосрочные обязательства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520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46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ИТОГО ПО РАЗДЕЛУ IV.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8"/>
              </w:rPr>
            </w:pPr>
            <w:r w:rsidRPr="00BC203D">
              <w:rPr>
                <w:bCs/>
                <w:color w:val="000000"/>
                <w:sz w:val="20"/>
                <w:szCs w:val="18"/>
              </w:rPr>
              <w:t>590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1434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1306</w:t>
            </w:r>
          </w:p>
        </w:tc>
      </w:tr>
      <w:tr w:rsidR="0020127F" w:rsidRPr="00BC203D" w:rsidTr="00BC203D">
        <w:trPr>
          <w:trHeight w:val="30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30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Займы и кредиты (66)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610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B81A8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5092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B81A8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4071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Кредиторская задолженность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620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728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762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в том числе: поставщики и подрядчики (60, 76)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621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728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762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векселя к уплате (60)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622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задолженность перед дочерними и зависимыми обществами(60, 76)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623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задолженность перед персоналом организации (70)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624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задолженность перед государственными внебюджетными фондами (69)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625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задолженность перед бюджетом (68)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626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D06224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 xml:space="preserve"> </w:t>
            </w:r>
            <w:r w:rsidR="0020127F" w:rsidRPr="00BC203D">
              <w:rPr>
                <w:color w:val="000000"/>
                <w:sz w:val="20"/>
                <w:szCs w:val="18"/>
              </w:rPr>
              <w:t>авансы полученные (62)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627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Задолженность участникам (учредителям) по выплате доходов (75)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630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652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315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Доходы будущих периодов (98)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640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4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Резервы предстоящих расходов (96)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650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25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Прочие краткосрочные обязательства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660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 </w:t>
            </w:r>
          </w:p>
        </w:tc>
      </w:tr>
      <w:tr w:rsidR="0020127F" w:rsidRPr="00BC203D" w:rsidTr="00BC203D">
        <w:trPr>
          <w:trHeight w:val="375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ИТОГО ПО РАЗДЕЛУ V.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8"/>
              </w:rPr>
            </w:pPr>
            <w:r w:rsidRPr="00BC203D">
              <w:rPr>
                <w:bCs/>
                <w:color w:val="000000"/>
                <w:sz w:val="20"/>
                <w:szCs w:val="18"/>
              </w:rPr>
              <w:t>690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B81A8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6472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B81A87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5148</w:t>
            </w:r>
          </w:p>
        </w:tc>
      </w:tr>
      <w:tr w:rsidR="0020127F" w:rsidRPr="00BC203D" w:rsidTr="00BC203D">
        <w:trPr>
          <w:trHeight w:val="360"/>
          <w:jc w:val="center"/>
        </w:trPr>
        <w:tc>
          <w:tcPr>
            <w:tcW w:w="5353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  <w:r w:rsidRPr="00BC203D">
              <w:rPr>
                <w:bCs/>
                <w:color w:val="000000"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797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18"/>
              </w:rPr>
            </w:pPr>
            <w:r w:rsidRPr="00BC203D">
              <w:rPr>
                <w:color w:val="000000"/>
                <w:sz w:val="20"/>
                <w:szCs w:val="18"/>
              </w:rPr>
              <w:t>700</w:t>
            </w:r>
          </w:p>
        </w:tc>
        <w:tc>
          <w:tcPr>
            <w:tcW w:w="114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6"/>
              </w:rPr>
            </w:pPr>
            <w:r w:rsidRPr="00BC203D">
              <w:rPr>
                <w:bCs/>
                <w:color w:val="000000"/>
                <w:sz w:val="20"/>
                <w:szCs w:val="16"/>
              </w:rPr>
              <w:t>16306</w:t>
            </w:r>
          </w:p>
        </w:tc>
        <w:tc>
          <w:tcPr>
            <w:tcW w:w="1100" w:type="dxa"/>
            <w:shd w:val="clear" w:color="auto" w:fill="auto"/>
            <w:noWrap/>
            <w:vAlign w:val="center"/>
          </w:tcPr>
          <w:p w:rsidR="0020127F" w:rsidRPr="00BC203D" w:rsidRDefault="0020127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bCs/>
                <w:color w:val="000000"/>
                <w:sz w:val="20"/>
                <w:szCs w:val="16"/>
              </w:rPr>
            </w:pPr>
            <w:r w:rsidRPr="00BC203D">
              <w:rPr>
                <w:bCs/>
                <w:color w:val="000000"/>
                <w:sz w:val="20"/>
                <w:szCs w:val="16"/>
              </w:rPr>
              <w:t>14854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13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t>Отчет о прибылях и убытках 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1055"/>
        <w:gridCol w:w="1521"/>
      </w:tblGrid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Код строки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За отчетный период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Доходы и расходы по обычным видам деятельности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выручка (нетто) от продажи товаров, продукции, работ, услуг (за минусом налога на добавленную стоимость, акцизов и аналогичных обязательных платежей)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3618A" w:rsidRPr="00BC203D" w:rsidRDefault="006C31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93</w:t>
            </w:r>
            <w:r w:rsidR="000A3FF8" w:rsidRPr="00BC203D">
              <w:rPr>
                <w:color w:val="000000"/>
                <w:sz w:val="20"/>
                <w:szCs w:val="20"/>
              </w:rPr>
              <w:t xml:space="preserve"> </w:t>
            </w:r>
            <w:r w:rsidRPr="00BC203D">
              <w:rPr>
                <w:color w:val="000000"/>
                <w:sz w:val="20"/>
                <w:szCs w:val="20"/>
              </w:rPr>
              <w:t>044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в том числе от продажи готовой продукции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011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6C31F0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93</w:t>
            </w:r>
            <w:r w:rsidR="000A3FF8" w:rsidRPr="00BC203D">
              <w:rPr>
                <w:color w:val="000000"/>
                <w:sz w:val="20"/>
                <w:szCs w:val="20"/>
              </w:rPr>
              <w:t xml:space="preserve"> </w:t>
            </w:r>
            <w:r w:rsidRPr="00BC203D">
              <w:rPr>
                <w:color w:val="000000"/>
                <w:sz w:val="20"/>
                <w:szCs w:val="20"/>
              </w:rPr>
              <w:t>044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Себестоимость проданных товаров, продукции, работ, услуг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0A3FF8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67 922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в том числе проданных: готовой продукции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021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0A3FF8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67 922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Валовая прибыль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029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0A3FF8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25 122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040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Прибыль (убыток) от продаж (строки 010 – 020 – 130 – 140)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0A3FF8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25 122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II</w:t>
            </w:r>
            <w:r w:rsidRPr="00BC203D">
              <w:rPr>
                <w:color w:val="000000"/>
                <w:sz w:val="20"/>
                <w:szCs w:val="20"/>
              </w:rPr>
              <w:t>. Операционные доходы и расходы. Проценты к получению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060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070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090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BC203D">
              <w:rPr>
                <w:color w:val="000000"/>
                <w:sz w:val="20"/>
                <w:szCs w:val="20"/>
              </w:rPr>
              <w:t>. Внереализационные доходы и расходы. Внереализационные доходы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Внереализационные расходы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Прибыль (убыток) до налогообложения (строки 050 + 060 + 070 + 080 + 090 – 100 + 120 – 130)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0A3FF8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25 122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Налог на прибыль и иные аналогичные обязательные платежи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0A3FF8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6 030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Прибыль (убыток) от обычной деятельности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19 </w:t>
            </w:r>
            <w:r w:rsidR="000A3FF8" w:rsidRPr="00BC203D">
              <w:rPr>
                <w:color w:val="000000"/>
                <w:sz w:val="20"/>
                <w:szCs w:val="20"/>
              </w:rPr>
              <w:t>092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IV</w:t>
            </w:r>
            <w:r w:rsidRPr="00BC203D">
              <w:rPr>
                <w:color w:val="000000"/>
                <w:sz w:val="20"/>
                <w:szCs w:val="20"/>
              </w:rPr>
              <w:t>. Чрезвычайные доходы и расходы. Чрезвычайные доходы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170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Чрезвычайные расходы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Чистая прибыль (нераспределенная прибыль (убыток) отчетного периода (строки 160 + 170 – 180)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190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19</w:t>
            </w:r>
            <w:r w:rsidR="000A3FF8" w:rsidRPr="00BC203D">
              <w:rPr>
                <w:color w:val="000000"/>
                <w:sz w:val="20"/>
                <w:szCs w:val="20"/>
              </w:rPr>
              <w:t xml:space="preserve"> 092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СПРАВОЧНО Дивиденды, приходящиеся на одну акцию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по привилегированным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по обычным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201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3618A" w:rsidRPr="00BC203D" w:rsidRDefault="00E841E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490</w:t>
            </w:r>
          </w:p>
          <w:p w:rsidR="0083618A" w:rsidRPr="00BC203D" w:rsidRDefault="00E841E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152</w:t>
            </w:r>
          </w:p>
        </w:tc>
      </w:tr>
      <w:tr w:rsidR="0083618A" w:rsidRPr="00BC203D" w:rsidTr="00BC203D">
        <w:trPr>
          <w:jc w:val="center"/>
        </w:trPr>
        <w:tc>
          <w:tcPr>
            <w:tcW w:w="549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Предполагаемые в следующем году суммы дивидендов, приходящиеся на одну акцию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по привилегированным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по обычным</w:t>
            </w:r>
          </w:p>
        </w:tc>
        <w:tc>
          <w:tcPr>
            <w:tcW w:w="105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203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204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  <w:p w:rsidR="0083618A" w:rsidRPr="00BC203D" w:rsidRDefault="00E841E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500</w:t>
            </w:r>
          </w:p>
          <w:p w:rsidR="0083618A" w:rsidRPr="00BC203D" w:rsidRDefault="00E841EF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160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Взвешенная стоимость капитала определяется по формуле: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WACC</w:t>
      </w:r>
      <w:r w:rsidRPr="00BC203D">
        <w:rPr>
          <w:color w:val="000000"/>
          <w:sz w:val="28"/>
          <w:szCs w:val="28"/>
        </w:rPr>
        <w:t xml:space="preserve"> = (</w:t>
      </w:r>
      <w:r w:rsidRPr="00BC203D">
        <w:rPr>
          <w:color w:val="000000"/>
          <w:sz w:val="28"/>
          <w:szCs w:val="28"/>
          <w:lang w:val="en-US"/>
        </w:rPr>
        <w:t>D</w:t>
      </w:r>
      <w:r w:rsidRPr="00BC203D">
        <w:rPr>
          <w:color w:val="000000"/>
          <w:sz w:val="28"/>
          <w:szCs w:val="28"/>
        </w:rPr>
        <w:t>*</w:t>
      </w:r>
      <w:r w:rsidRPr="00BC203D">
        <w:rPr>
          <w:color w:val="000000"/>
          <w:sz w:val="28"/>
          <w:szCs w:val="28"/>
          <w:lang w:val="en-US"/>
        </w:rPr>
        <w:t>CK</w:t>
      </w:r>
      <w:r w:rsidR="00D06224" w:rsidRPr="00BC203D">
        <w:rPr>
          <w:color w:val="000000"/>
          <w:sz w:val="28"/>
          <w:szCs w:val="28"/>
        </w:rPr>
        <w:t xml:space="preserve"> + ЭСП * ЗК) / (СК + ЗК) </w:t>
      </w:r>
    </w:p>
    <w:p w:rsidR="00D06224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D06224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WACC</w:t>
      </w:r>
      <w:r w:rsidRPr="00BC203D">
        <w:rPr>
          <w:color w:val="000000"/>
          <w:sz w:val="28"/>
          <w:szCs w:val="28"/>
        </w:rPr>
        <w:t xml:space="preserve"> = </w:t>
      </w:r>
      <w:r w:rsidR="0083618A" w:rsidRPr="00BC203D">
        <w:rPr>
          <w:color w:val="000000"/>
          <w:sz w:val="28"/>
          <w:szCs w:val="28"/>
        </w:rPr>
        <w:t xml:space="preserve">(0,68 * </w:t>
      </w:r>
      <w:r w:rsidR="00CE67E5" w:rsidRPr="00BC203D">
        <w:rPr>
          <w:color w:val="000000"/>
          <w:sz w:val="28"/>
          <w:szCs w:val="28"/>
        </w:rPr>
        <w:t>8 400</w:t>
      </w:r>
      <w:r w:rsidR="0083618A" w:rsidRPr="00BC203D">
        <w:rPr>
          <w:color w:val="000000"/>
          <w:sz w:val="28"/>
          <w:szCs w:val="28"/>
        </w:rPr>
        <w:t xml:space="preserve"> + 0,110 * </w:t>
      </w:r>
      <w:r w:rsidR="00CE67E5" w:rsidRPr="00BC203D">
        <w:rPr>
          <w:color w:val="000000"/>
          <w:sz w:val="28"/>
          <w:szCs w:val="28"/>
        </w:rPr>
        <w:t>5 377</w:t>
      </w:r>
      <w:r w:rsidR="0083618A" w:rsidRPr="00BC203D">
        <w:rPr>
          <w:color w:val="000000"/>
          <w:sz w:val="28"/>
          <w:szCs w:val="28"/>
        </w:rPr>
        <w:t>) / (</w:t>
      </w:r>
      <w:r w:rsidR="00CE67E5" w:rsidRPr="00BC203D">
        <w:rPr>
          <w:color w:val="000000"/>
          <w:sz w:val="28"/>
          <w:szCs w:val="28"/>
        </w:rPr>
        <w:t>8 400</w:t>
      </w:r>
      <w:r w:rsidR="0083618A" w:rsidRPr="00BC203D">
        <w:rPr>
          <w:color w:val="000000"/>
          <w:sz w:val="28"/>
          <w:szCs w:val="28"/>
        </w:rPr>
        <w:t xml:space="preserve"> + + </w:t>
      </w:r>
      <w:r w:rsidR="00CE67E5" w:rsidRPr="00BC203D">
        <w:rPr>
          <w:color w:val="000000"/>
          <w:sz w:val="28"/>
          <w:szCs w:val="28"/>
        </w:rPr>
        <w:t>5 377</w:t>
      </w:r>
      <w:r w:rsidR="0083618A" w:rsidRPr="00BC203D">
        <w:rPr>
          <w:color w:val="000000"/>
          <w:sz w:val="28"/>
          <w:szCs w:val="28"/>
        </w:rPr>
        <w:t xml:space="preserve">) = </w:t>
      </w:r>
      <w:r w:rsidR="00CE67E5" w:rsidRPr="00BC203D">
        <w:rPr>
          <w:color w:val="000000"/>
          <w:sz w:val="28"/>
          <w:szCs w:val="28"/>
        </w:rPr>
        <w:t>0,46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WACC</w:t>
      </w:r>
      <w:r w:rsidRPr="00BC203D">
        <w:rPr>
          <w:color w:val="000000"/>
          <w:sz w:val="28"/>
          <w:szCs w:val="28"/>
        </w:rPr>
        <w:t xml:space="preserve"> – взвешенная стоимость капитала;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D</w:t>
      </w:r>
      <w:r w:rsidRPr="00BC203D">
        <w:rPr>
          <w:color w:val="000000"/>
          <w:sz w:val="28"/>
          <w:szCs w:val="28"/>
        </w:rPr>
        <w:t xml:space="preserve"> – уровень дивидендных выплат;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</w:t>
      </w:r>
      <w:r w:rsidRPr="00BC203D">
        <w:rPr>
          <w:color w:val="000000"/>
          <w:sz w:val="28"/>
          <w:szCs w:val="28"/>
          <w:lang w:val="en-US"/>
        </w:rPr>
        <w:t>K</w:t>
      </w:r>
      <w:r w:rsidRPr="00BC203D">
        <w:rPr>
          <w:color w:val="000000"/>
          <w:sz w:val="28"/>
          <w:szCs w:val="28"/>
        </w:rPr>
        <w:t xml:space="preserve"> – величина собственного капитала;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ЭСП – эффективная ставка процента;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ЗК – величина заемного капитала.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Эффект финансового рычага характеризует приращение рентабельности собственного капитала при использовании заемного капитала, несмотря на платность последнего.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Эффект финансового рычага можно рассчитать по формуле: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ЭФР = (1 – Но) * (</w:t>
      </w:r>
      <w:r w:rsidRPr="00BC203D">
        <w:rPr>
          <w:color w:val="000000"/>
          <w:sz w:val="28"/>
          <w:szCs w:val="28"/>
          <w:lang w:val="en-US"/>
        </w:rPr>
        <w:t>ROA</w:t>
      </w:r>
      <w:r w:rsidRPr="00BC203D">
        <w:rPr>
          <w:color w:val="000000"/>
          <w:sz w:val="28"/>
          <w:szCs w:val="28"/>
        </w:rPr>
        <w:t xml:space="preserve"> – СПРС) * (ЗК / СК) = (1 – 0,24) * (</w:t>
      </w:r>
      <w:r w:rsidR="00C162EF" w:rsidRPr="00BC203D">
        <w:rPr>
          <w:color w:val="000000"/>
          <w:sz w:val="28"/>
          <w:szCs w:val="28"/>
        </w:rPr>
        <w:t>2,27</w:t>
      </w:r>
      <w:r w:rsidRPr="00BC203D">
        <w:rPr>
          <w:color w:val="000000"/>
          <w:sz w:val="28"/>
          <w:szCs w:val="28"/>
        </w:rPr>
        <w:t xml:space="preserve"> – 0,26) * (</w:t>
      </w:r>
      <w:r w:rsidR="00CE67E5" w:rsidRPr="00BC203D">
        <w:rPr>
          <w:color w:val="000000"/>
          <w:sz w:val="28"/>
          <w:szCs w:val="28"/>
        </w:rPr>
        <w:t>5 377</w:t>
      </w:r>
      <w:r w:rsidRPr="00BC203D">
        <w:rPr>
          <w:color w:val="000000"/>
          <w:sz w:val="28"/>
          <w:szCs w:val="28"/>
        </w:rPr>
        <w:t xml:space="preserve"> /</w:t>
      </w:r>
      <w:r w:rsidR="00CE67E5" w:rsidRPr="00BC203D">
        <w:rPr>
          <w:color w:val="000000"/>
          <w:sz w:val="28"/>
          <w:szCs w:val="28"/>
        </w:rPr>
        <w:t>8 400</w:t>
      </w:r>
      <w:r w:rsidRPr="00BC203D">
        <w:rPr>
          <w:color w:val="000000"/>
          <w:sz w:val="28"/>
          <w:szCs w:val="28"/>
        </w:rPr>
        <w:t xml:space="preserve">) = </w:t>
      </w:r>
      <w:r w:rsidR="00C162EF" w:rsidRPr="00BC203D">
        <w:rPr>
          <w:color w:val="000000"/>
          <w:sz w:val="28"/>
          <w:szCs w:val="28"/>
        </w:rPr>
        <w:t>0,98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ЭФР – эффект финансового рычага;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Но – уровень налогообложения прибыли;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ROA</w:t>
      </w:r>
      <w:r w:rsidRPr="00BC203D">
        <w:rPr>
          <w:color w:val="000000"/>
          <w:sz w:val="28"/>
          <w:szCs w:val="28"/>
        </w:rPr>
        <w:t xml:space="preserve"> – рентабельность активов;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СПРС – средняя расчетная ставка процента (представляет отношение затрат, связанных с получением и использованием кредита к величине кредита).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Если показатель финансового рычага способствует максимизации рентабельности собственного капитала, действие его будет</w:t>
      </w:r>
      <w:r w:rsidR="00D06224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эффективно.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Показатель эффекта финансового рычага считается оптимальным, если он лежит в пределах 1,3 – 1,2 уровня рентабельности собственного капитала.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Однако слишком высокое значение показателя сопряжено с финансовым риском, так как в случае непоступления выручки от реализации продукции, резко сократится прибыль, а следовательно, упадет рентабельность собственного капитала и ухудшатся все взаимосвязанные показатели.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данном случае значение показателя эффект ф</w:t>
      </w:r>
      <w:r w:rsidR="00C162EF" w:rsidRPr="00BC203D">
        <w:rPr>
          <w:color w:val="000000"/>
          <w:sz w:val="28"/>
          <w:szCs w:val="28"/>
        </w:rPr>
        <w:t>инансового рычага составляет 0,98</w:t>
      </w:r>
      <w:r w:rsidRPr="00BC203D">
        <w:rPr>
          <w:color w:val="000000"/>
          <w:sz w:val="28"/>
          <w:szCs w:val="28"/>
        </w:rPr>
        <w:t>, что свидетельствует о неэффективности использования заемного капитала.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Движение денежных средств за год отражается по форме 4.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900"/>
        <w:gridCol w:w="1059"/>
        <w:gridCol w:w="719"/>
        <w:gridCol w:w="703"/>
        <w:gridCol w:w="820"/>
      </w:tblGrid>
      <w:tr w:rsidR="0083618A" w:rsidRPr="00BC203D" w:rsidTr="00BC203D">
        <w:trPr>
          <w:jc w:val="center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Код строки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Сумма</w:t>
            </w:r>
          </w:p>
        </w:tc>
        <w:tc>
          <w:tcPr>
            <w:tcW w:w="2242" w:type="dxa"/>
            <w:gridSpan w:val="3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из нее</w:t>
            </w:r>
          </w:p>
        </w:tc>
      </w:tr>
      <w:tr w:rsidR="0083618A" w:rsidRPr="00BC203D" w:rsidTr="00BC203D">
        <w:trPr>
          <w:trHeight w:val="2128"/>
          <w:jc w:val="center"/>
        </w:trPr>
        <w:tc>
          <w:tcPr>
            <w:tcW w:w="4219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textDirection w:val="btLr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BC203D">
              <w:rPr>
                <w:color w:val="000000"/>
                <w:sz w:val="20"/>
                <w:szCs w:val="22"/>
              </w:rPr>
              <w:t>По текущей деятельности</w:t>
            </w:r>
          </w:p>
        </w:tc>
        <w:tc>
          <w:tcPr>
            <w:tcW w:w="703" w:type="dxa"/>
            <w:shd w:val="clear" w:color="auto" w:fill="auto"/>
            <w:textDirection w:val="btLr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BC203D">
              <w:rPr>
                <w:color w:val="000000"/>
                <w:sz w:val="20"/>
                <w:szCs w:val="22"/>
              </w:rPr>
              <w:t>По инвестиционной деятельности</w:t>
            </w:r>
          </w:p>
        </w:tc>
        <w:tc>
          <w:tcPr>
            <w:tcW w:w="820" w:type="dxa"/>
            <w:shd w:val="clear" w:color="auto" w:fill="auto"/>
            <w:textDirection w:val="btLr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2"/>
              </w:rPr>
            </w:pPr>
            <w:r w:rsidRPr="00BC203D">
              <w:rPr>
                <w:color w:val="000000"/>
                <w:sz w:val="20"/>
                <w:szCs w:val="22"/>
              </w:rPr>
              <w:t>По финансовой деятельности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1. Остаток денежных средств на начало года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010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CE67E5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1013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2. Поступило денежных средств, всего: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020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CE67E5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98421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CE67E5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93044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CE67E5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5377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 том числе: выручка от продажи товаров, продукции, работ, услуг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030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93044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93044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выручка от продажи основных средств и иного имущества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040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авансы полученные от покупателей (заказчиков)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050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бюджетные ассигнования и иное целевое финансирование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060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безвозмездно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070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кредиты полученные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080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  <w:szCs w:val="20"/>
              </w:rPr>
              <w:t>5377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  <w:szCs w:val="20"/>
              </w:rPr>
              <w:t>5377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займы полученные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085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дивиденды, проценты по финансовым вложениям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090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прочие поступления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110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3. Направлено денежных средств, всего: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120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67922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67922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 том числе: на оплату приобретенных товаров, работ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130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33961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оплату труда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140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20376,6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отчисления в государственные внебюджетные фонды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150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13584,4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выдачу подотчетных сумм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160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выдачу авансов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170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оплату долевого участия в строительстве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180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оплату машин, оборудования и транспортных средств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190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финансовые вложения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200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выплату дивидендов, процентов по ценным бумагам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210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3431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3431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расчеты с бюджетом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220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6030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 оплату процентов и основной суммы по полученным кредитам (займам)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230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Прочие выплаты, перечисления и т.п.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250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4. Остаток денежных средств на конец отчетного периода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260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315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Х</w:t>
            </w: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D06224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СПРАВОЧНО: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Из строки 020 поступило по наличному расчету (кроме данных по строке 100) – всего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270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93044</w:t>
            </w: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D06224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в том числе по расчетам: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 юридическими лицами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280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 физическими лицами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290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из них с применениями: контрольно-кассовых аппаратов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291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бланков строгой отчетности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292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Наличные денежные средства: поступило из банка в кассу организации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295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  <w:tr w:rsidR="0083618A" w:rsidRPr="00BC203D" w:rsidTr="00BC203D">
        <w:trPr>
          <w:jc w:val="center"/>
        </w:trPr>
        <w:tc>
          <w:tcPr>
            <w:tcW w:w="42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Сдано в банк из кассы организации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  <w:r w:rsidRPr="00BC203D">
              <w:rPr>
                <w:color w:val="000000"/>
                <w:sz w:val="20"/>
              </w:rPr>
              <w:t>296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1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</w:rPr>
            </w:pPr>
          </w:p>
        </w:tc>
      </w:tr>
    </w:tbl>
    <w:p w:rsidR="0083618A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</w:rPr>
        <w:br w:type="page"/>
      </w:r>
      <w:r w:rsidR="0083618A" w:rsidRPr="00BC203D">
        <w:rPr>
          <w:color w:val="000000"/>
          <w:sz w:val="28"/>
          <w:szCs w:val="28"/>
        </w:rPr>
        <w:t>Согласно отчету о движении денежных средств предприятие на конец года имеет в наличии денежные средства, что свидетельствует об эффективности развития предприятия. Финансовый результат оказывает влияние на величину собственного капитала:</w:t>
      </w:r>
      <w:r w:rsidR="00D06224" w:rsidRPr="00BC203D">
        <w:rPr>
          <w:color w:val="000000"/>
          <w:sz w:val="28"/>
          <w:szCs w:val="28"/>
        </w:rPr>
        <w:t xml:space="preserve"> </w:t>
      </w:r>
      <w:r w:rsidR="0083618A" w:rsidRPr="00BC203D">
        <w:rPr>
          <w:color w:val="000000"/>
          <w:sz w:val="28"/>
          <w:szCs w:val="28"/>
        </w:rPr>
        <w:t>за счет прибыли величина собственного капитала увеличивается, а значит увеличивается и рентабельность предприятия.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Операционный менеджмент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 рамках операционного финансового менеджмента рассчитываются пороговый объем, запас финансовой прочности и сила воздействия операционного рычага. Пофакторно рассчитывается влияние на эти показатели метода амортизации, способа списания затрат, цены на продукцию (табл. 15).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Зная точку безубыточности и плановый (фактический) объем продаж можно определить запас финансовой прочности по формуле: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ЗФП = ((В – Вп) / В) * 100%.</w:t>
      </w:r>
      <w:r w:rsidR="00D06224" w:rsidRPr="00BC203D">
        <w:rPr>
          <w:color w:val="000000"/>
          <w:sz w:val="28"/>
          <w:szCs w:val="28"/>
        </w:rPr>
        <w:t xml:space="preserve"> </w:t>
      </w:r>
      <w:r w:rsidR="00F85926" w:rsidRPr="00BC203D">
        <w:rPr>
          <w:color w:val="000000"/>
          <w:sz w:val="28"/>
          <w:szCs w:val="28"/>
        </w:rPr>
        <w:t>(20)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Пороговая выручка рассчитывается по формуле: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Вп = Ис / (1 – И</w:t>
      </w:r>
      <w:r w:rsidRPr="00BC203D">
        <w:rPr>
          <w:color w:val="000000"/>
          <w:sz w:val="28"/>
          <w:szCs w:val="28"/>
          <w:lang w:val="en-US"/>
        </w:rPr>
        <w:t>v</w:t>
      </w:r>
      <w:r w:rsidRPr="00BC203D">
        <w:rPr>
          <w:color w:val="000000"/>
          <w:sz w:val="28"/>
          <w:szCs w:val="28"/>
        </w:rPr>
        <w:t xml:space="preserve"> / В),</w:t>
      </w:r>
      <w:r w:rsidR="00D06224" w:rsidRPr="00BC203D">
        <w:rPr>
          <w:color w:val="000000"/>
          <w:sz w:val="28"/>
          <w:szCs w:val="28"/>
        </w:rPr>
        <w:t xml:space="preserve"> </w:t>
      </w:r>
      <w:r w:rsidR="00F85926" w:rsidRPr="00BC203D">
        <w:rPr>
          <w:color w:val="000000"/>
          <w:sz w:val="28"/>
          <w:szCs w:val="28"/>
        </w:rPr>
        <w:t>(21)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 Ис – постоянные издержки; И</w:t>
      </w:r>
      <w:r w:rsidRPr="00BC203D">
        <w:rPr>
          <w:color w:val="000000"/>
          <w:sz w:val="28"/>
          <w:szCs w:val="28"/>
          <w:lang w:val="en-US"/>
        </w:rPr>
        <w:t>v</w:t>
      </w:r>
      <w:r w:rsidRPr="00BC203D">
        <w:rPr>
          <w:color w:val="000000"/>
          <w:sz w:val="28"/>
          <w:szCs w:val="28"/>
        </w:rPr>
        <w:t xml:space="preserve"> – переменные издержки; В – выручка.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Сила воздействия операционного рычага (СВОР) показывает, насколько процентов изменяется прибыль с изменением объема реализации на один процент.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СВОР = (В – И</w:t>
      </w:r>
      <w:r w:rsidRPr="00BC203D">
        <w:rPr>
          <w:color w:val="000000"/>
          <w:sz w:val="28"/>
          <w:szCs w:val="28"/>
          <w:lang w:val="en-US"/>
        </w:rPr>
        <w:t>v</w:t>
      </w:r>
      <w:r w:rsidRPr="00BC203D">
        <w:rPr>
          <w:color w:val="000000"/>
          <w:sz w:val="28"/>
          <w:szCs w:val="28"/>
        </w:rPr>
        <w:t>) / П,</w:t>
      </w:r>
      <w:r w:rsidR="00D06224" w:rsidRPr="00BC203D">
        <w:rPr>
          <w:color w:val="000000"/>
          <w:sz w:val="28"/>
          <w:szCs w:val="28"/>
        </w:rPr>
        <w:t xml:space="preserve"> </w:t>
      </w:r>
      <w:r w:rsidR="00F85926" w:rsidRPr="00BC203D">
        <w:rPr>
          <w:color w:val="000000"/>
          <w:sz w:val="28"/>
          <w:szCs w:val="28"/>
        </w:rPr>
        <w:t>(22)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0"/>
        <w:jc w:val="center"/>
        <w:rPr>
          <w:color w:val="000000"/>
          <w:sz w:val="28"/>
          <w:szCs w:val="28"/>
        </w:rPr>
      </w:pPr>
    </w:p>
    <w:p w:rsidR="0083618A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br w:type="page"/>
      </w:r>
      <w:r w:rsidR="0083618A" w:rsidRPr="00BC203D">
        <w:rPr>
          <w:color w:val="000000"/>
          <w:sz w:val="28"/>
          <w:szCs w:val="28"/>
        </w:rPr>
        <w:t>где СВОР – сила воздействия операционного рычага; П – прибыль; И</w:t>
      </w:r>
      <w:r w:rsidR="0083618A" w:rsidRPr="00BC203D">
        <w:rPr>
          <w:color w:val="000000"/>
          <w:sz w:val="28"/>
          <w:szCs w:val="28"/>
          <w:lang w:val="en-US"/>
        </w:rPr>
        <w:t>v</w:t>
      </w:r>
      <w:r w:rsidR="0083618A" w:rsidRPr="00BC203D">
        <w:rPr>
          <w:color w:val="000000"/>
          <w:sz w:val="28"/>
          <w:szCs w:val="28"/>
        </w:rPr>
        <w:t xml:space="preserve"> – переменные затраты.</w:t>
      </w:r>
    </w:p>
    <w:p w:rsidR="00457B31" w:rsidRPr="00BC203D" w:rsidRDefault="00457B31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Таблица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692"/>
        <w:gridCol w:w="878"/>
        <w:gridCol w:w="879"/>
        <w:gridCol w:w="948"/>
      </w:tblGrid>
      <w:tr w:rsidR="0083618A" w:rsidRPr="00BC203D" w:rsidTr="00BC203D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Фактор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Вариант изменения фактора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Вп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ЗФП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СВОР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Метод амортизации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Линейный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4799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61,5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4,40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Суммы чисел (вариант 1)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4 623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64,4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4,82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Суммы чисел (вариант 2)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4 365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4,84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Регрессии (вариант 1)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4 564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64,4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4,81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Регрессии (вариант 2)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4 246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64,5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4,83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Списания затрат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По средней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4521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4,52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ФИФО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4456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62,3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4,51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vMerge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ЛИФО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4125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61,3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4,37</w:t>
            </w:r>
          </w:p>
        </w:tc>
      </w:tr>
      <w:tr w:rsidR="00F85926" w:rsidRPr="00BC203D" w:rsidTr="00BC203D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Снижение цены на продукцию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 На 12%</w:t>
            </w:r>
          </w:p>
        </w:tc>
        <w:tc>
          <w:tcPr>
            <w:tcW w:w="87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4 123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63,6</w:t>
            </w:r>
          </w:p>
        </w:tc>
        <w:tc>
          <w:tcPr>
            <w:tcW w:w="948" w:type="dxa"/>
            <w:shd w:val="clear" w:color="auto" w:fill="auto"/>
            <w:vAlign w:val="center"/>
          </w:tcPr>
          <w:p w:rsidR="00F85926" w:rsidRPr="00BC203D" w:rsidRDefault="00F85926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3,14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Согласно данным, приведенным в табл. 15, показатели Вп, ЗФП и СВОР зависят от применяемого метода амортизации, метода списания затрат, а также от изменения цены на продукцию. По показателю пороговой выручки наиболее оптимальным является использование линейного метода амортизации и метода списания затрат ЛИФО.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Оценка и выявление резервов роста бизнеса</w:t>
      </w:r>
    </w:p>
    <w:p w:rsidR="00D06224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Оценка бизнеса производится на основе двух методов: активов и будущих доходов. Рассчитывается рост выручки за счет внутренних финансовых ресурсов, без привлечения заемного капитала по формуле: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SGR</w:t>
      </w:r>
      <w:r w:rsidRPr="00BC203D">
        <w:rPr>
          <w:color w:val="000000"/>
          <w:sz w:val="28"/>
          <w:szCs w:val="28"/>
        </w:rPr>
        <w:t xml:space="preserve"> = (</w:t>
      </w:r>
      <w:r w:rsidRPr="00BC203D">
        <w:rPr>
          <w:color w:val="000000"/>
          <w:sz w:val="28"/>
          <w:szCs w:val="28"/>
          <w:lang w:val="en-US"/>
        </w:rPr>
        <w:t>b</w:t>
      </w:r>
      <w:r w:rsidRPr="00BC203D">
        <w:rPr>
          <w:color w:val="000000"/>
          <w:sz w:val="28"/>
          <w:szCs w:val="28"/>
        </w:rPr>
        <w:t xml:space="preserve"> (Пч / В)(1 + ЗК/СК)) / (А/В - (</w:t>
      </w:r>
      <w:r w:rsidRPr="00BC203D">
        <w:rPr>
          <w:color w:val="000000"/>
          <w:sz w:val="28"/>
          <w:szCs w:val="28"/>
          <w:lang w:val="en-US"/>
        </w:rPr>
        <w:t>b</w:t>
      </w:r>
      <w:r w:rsidRPr="00BC203D">
        <w:rPr>
          <w:color w:val="000000"/>
          <w:sz w:val="28"/>
          <w:szCs w:val="28"/>
        </w:rPr>
        <w:t xml:space="preserve"> (Пч / В)(1+ЗК/СК)),</w:t>
      </w:r>
      <w:r w:rsidR="00D06224" w:rsidRPr="00BC203D">
        <w:rPr>
          <w:color w:val="000000"/>
          <w:sz w:val="28"/>
          <w:szCs w:val="28"/>
        </w:rPr>
        <w:t xml:space="preserve"> </w:t>
      </w:r>
      <w:r w:rsidR="00D661D7" w:rsidRPr="00BC203D">
        <w:rPr>
          <w:color w:val="000000"/>
          <w:sz w:val="28"/>
          <w:szCs w:val="28"/>
        </w:rPr>
        <w:t>(23)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где</w:t>
      </w:r>
      <w:r w:rsidR="00D661D7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  <w:lang w:val="en-US"/>
        </w:rPr>
        <w:t>b</w:t>
      </w:r>
      <w:r w:rsidRPr="00BC203D">
        <w:rPr>
          <w:color w:val="000000"/>
          <w:sz w:val="28"/>
          <w:szCs w:val="28"/>
        </w:rPr>
        <w:t xml:space="preserve"> – коэффициент реинвестирования (5</w:t>
      </w:r>
      <w:r w:rsidR="00D661D7" w:rsidRPr="00BC203D">
        <w:rPr>
          <w:color w:val="000000"/>
          <w:sz w:val="28"/>
          <w:szCs w:val="28"/>
        </w:rPr>
        <w:t>4</w:t>
      </w:r>
      <w:r w:rsidRPr="00BC203D">
        <w:rPr>
          <w:color w:val="000000"/>
          <w:sz w:val="28"/>
          <w:szCs w:val="28"/>
        </w:rPr>
        <w:t>%); Пч – прибыль чистая, после выплаты обязательных платежей; ЗК – заемный капитал; СК – собственный капитал; А – активы; В – выручка.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  <w:lang w:val="en-US"/>
        </w:rPr>
        <w:t>SGR</w:t>
      </w:r>
      <w:r w:rsidRPr="00BC203D">
        <w:rPr>
          <w:color w:val="000000"/>
          <w:sz w:val="28"/>
          <w:szCs w:val="28"/>
        </w:rPr>
        <w:t xml:space="preserve"> = (0,5</w:t>
      </w:r>
      <w:r w:rsidR="00D661D7" w:rsidRPr="00BC203D">
        <w:rPr>
          <w:color w:val="000000"/>
          <w:sz w:val="28"/>
          <w:szCs w:val="28"/>
        </w:rPr>
        <w:t>4</w:t>
      </w:r>
      <w:r w:rsidRPr="00BC203D">
        <w:rPr>
          <w:color w:val="000000"/>
          <w:sz w:val="28"/>
          <w:szCs w:val="28"/>
        </w:rPr>
        <w:t xml:space="preserve"> (</w:t>
      </w:r>
      <w:r w:rsidR="00D661D7" w:rsidRPr="00BC203D">
        <w:rPr>
          <w:color w:val="000000"/>
          <w:sz w:val="28"/>
          <w:szCs w:val="28"/>
        </w:rPr>
        <w:t>19092</w:t>
      </w:r>
      <w:r w:rsidRPr="00BC203D">
        <w:rPr>
          <w:color w:val="000000"/>
          <w:sz w:val="28"/>
          <w:szCs w:val="28"/>
        </w:rPr>
        <w:t xml:space="preserve">/ </w:t>
      </w:r>
      <w:r w:rsidR="00D661D7" w:rsidRPr="00BC203D">
        <w:rPr>
          <w:color w:val="000000"/>
          <w:sz w:val="28"/>
          <w:szCs w:val="28"/>
        </w:rPr>
        <w:t>93044</w:t>
      </w:r>
      <w:r w:rsidRPr="00BC203D">
        <w:rPr>
          <w:color w:val="000000"/>
          <w:sz w:val="28"/>
          <w:szCs w:val="28"/>
        </w:rPr>
        <w:t xml:space="preserve">)(1 + </w:t>
      </w:r>
      <w:r w:rsidR="00D661D7" w:rsidRPr="00BC203D">
        <w:rPr>
          <w:color w:val="000000"/>
          <w:sz w:val="28"/>
          <w:szCs w:val="28"/>
        </w:rPr>
        <w:t>5377</w:t>
      </w:r>
      <w:r w:rsidRPr="00BC203D">
        <w:rPr>
          <w:color w:val="000000"/>
          <w:sz w:val="28"/>
          <w:szCs w:val="28"/>
        </w:rPr>
        <w:t xml:space="preserve">/8 </w:t>
      </w:r>
      <w:r w:rsidR="00D661D7" w:rsidRPr="00BC203D">
        <w:rPr>
          <w:color w:val="000000"/>
          <w:sz w:val="28"/>
          <w:szCs w:val="28"/>
        </w:rPr>
        <w:t>40</w:t>
      </w:r>
      <w:r w:rsidRPr="00BC203D">
        <w:rPr>
          <w:color w:val="000000"/>
          <w:sz w:val="28"/>
          <w:szCs w:val="28"/>
        </w:rPr>
        <w:t>0)) / (</w:t>
      </w:r>
      <w:r w:rsidR="00D661D7" w:rsidRPr="00BC203D">
        <w:rPr>
          <w:color w:val="000000"/>
          <w:sz w:val="28"/>
          <w:szCs w:val="28"/>
        </w:rPr>
        <w:t>14854</w:t>
      </w:r>
      <w:r w:rsidRPr="00BC203D">
        <w:rPr>
          <w:color w:val="000000"/>
          <w:sz w:val="28"/>
          <w:szCs w:val="28"/>
        </w:rPr>
        <w:t>/</w:t>
      </w:r>
      <w:r w:rsidR="00D661D7" w:rsidRPr="00BC203D">
        <w:rPr>
          <w:color w:val="000000"/>
          <w:sz w:val="28"/>
          <w:szCs w:val="28"/>
        </w:rPr>
        <w:t>93044</w:t>
      </w:r>
      <w:r w:rsidRPr="00BC203D">
        <w:rPr>
          <w:color w:val="000000"/>
          <w:sz w:val="28"/>
          <w:szCs w:val="28"/>
        </w:rPr>
        <w:t xml:space="preserve"> - (0,5</w:t>
      </w:r>
      <w:r w:rsidR="00D661D7" w:rsidRPr="00BC203D">
        <w:rPr>
          <w:color w:val="000000"/>
          <w:sz w:val="28"/>
          <w:szCs w:val="28"/>
        </w:rPr>
        <w:t>4</w:t>
      </w:r>
      <w:r w:rsidRPr="00BC203D">
        <w:rPr>
          <w:color w:val="000000"/>
          <w:sz w:val="28"/>
          <w:szCs w:val="28"/>
        </w:rPr>
        <w:t xml:space="preserve"> (</w:t>
      </w:r>
      <w:r w:rsidR="00D661D7" w:rsidRPr="00BC203D">
        <w:rPr>
          <w:color w:val="000000"/>
          <w:sz w:val="28"/>
          <w:szCs w:val="28"/>
        </w:rPr>
        <w:t>19092</w:t>
      </w:r>
      <w:r w:rsidRPr="00BC203D">
        <w:rPr>
          <w:color w:val="000000"/>
          <w:sz w:val="28"/>
          <w:szCs w:val="28"/>
        </w:rPr>
        <w:t xml:space="preserve"> / </w:t>
      </w:r>
      <w:r w:rsidR="00D661D7" w:rsidRPr="00BC203D">
        <w:rPr>
          <w:color w:val="000000"/>
          <w:sz w:val="28"/>
          <w:szCs w:val="28"/>
        </w:rPr>
        <w:t>93044</w:t>
      </w:r>
      <w:r w:rsidRPr="00BC203D">
        <w:rPr>
          <w:color w:val="000000"/>
          <w:sz w:val="28"/>
          <w:szCs w:val="28"/>
        </w:rPr>
        <w:t xml:space="preserve">)(1 + </w:t>
      </w:r>
      <w:r w:rsidR="00D661D7" w:rsidRPr="00BC203D">
        <w:rPr>
          <w:color w:val="000000"/>
          <w:sz w:val="28"/>
          <w:szCs w:val="28"/>
        </w:rPr>
        <w:t>5377</w:t>
      </w:r>
      <w:r w:rsidRPr="00BC203D">
        <w:rPr>
          <w:color w:val="000000"/>
          <w:sz w:val="28"/>
          <w:szCs w:val="28"/>
        </w:rPr>
        <w:t xml:space="preserve"> / </w:t>
      </w:r>
      <w:r w:rsidR="00D661D7" w:rsidRPr="00BC203D">
        <w:rPr>
          <w:color w:val="000000"/>
          <w:sz w:val="28"/>
          <w:szCs w:val="28"/>
        </w:rPr>
        <w:t>8400</w:t>
      </w:r>
      <w:r w:rsidRPr="00BC203D">
        <w:rPr>
          <w:color w:val="000000"/>
          <w:sz w:val="28"/>
          <w:szCs w:val="28"/>
        </w:rPr>
        <w:t xml:space="preserve">)) = </w:t>
      </w:r>
      <w:r w:rsidR="00D661D7" w:rsidRPr="00BC203D">
        <w:rPr>
          <w:color w:val="000000"/>
          <w:sz w:val="28"/>
          <w:szCs w:val="28"/>
        </w:rPr>
        <w:t>-8,84</w:t>
      </w:r>
      <w:r w:rsidRPr="00BC203D">
        <w:rPr>
          <w:color w:val="000000"/>
          <w:sz w:val="28"/>
          <w:szCs w:val="28"/>
        </w:rPr>
        <w:t>.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Стратегия развития бизнеса определяется на основе матрицы финансовой стратегии. Структура матрицы представлена на рис. 3, 4.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376"/>
        <w:gridCol w:w="1408"/>
        <w:gridCol w:w="1440"/>
      </w:tblGrid>
      <w:tr w:rsidR="0083618A" w:rsidRPr="00BC203D" w:rsidTr="00BC203D">
        <w:trPr>
          <w:trHeight w:val="454"/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РФД</w:t>
            </w:r>
          </w:p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РХД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&lt;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= 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&gt; 0</w:t>
            </w:r>
          </w:p>
        </w:tc>
      </w:tr>
      <w:tr w:rsidR="0083618A" w:rsidRPr="00BC203D" w:rsidTr="00BC203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&gt; 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РФХД =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РФХД </w:t>
            </w:r>
            <w:r w:rsidRPr="00BC203D">
              <w:rPr>
                <w:color w:val="000000"/>
                <w:sz w:val="20"/>
                <w:szCs w:val="20"/>
                <w:lang w:val="en-US"/>
              </w:rPr>
              <w:t>&gt; 0</w:t>
            </w:r>
            <w:r w:rsidRPr="00BC203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РФХД </w:t>
            </w:r>
            <w:r w:rsidRPr="00BC203D">
              <w:rPr>
                <w:color w:val="000000"/>
                <w:sz w:val="20"/>
                <w:szCs w:val="20"/>
                <w:lang w:val="en-US"/>
              </w:rPr>
              <w:t>&gt;&gt; 0</w:t>
            </w:r>
          </w:p>
        </w:tc>
      </w:tr>
      <w:tr w:rsidR="0083618A" w:rsidRPr="00BC203D" w:rsidTr="00BC203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= 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РФХД </w:t>
            </w:r>
            <w:r w:rsidRPr="00BC203D">
              <w:rPr>
                <w:color w:val="000000"/>
                <w:sz w:val="20"/>
                <w:szCs w:val="20"/>
                <w:lang w:val="en-US"/>
              </w:rPr>
              <w:t>&lt; 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РФХД = 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РФХД </w:t>
            </w:r>
            <w:r w:rsidRPr="00BC203D">
              <w:rPr>
                <w:color w:val="000000"/>
                <w:sz w:val="20"/>
                <w:szCs w:val="20"/>
                <w:lang w:val="en-US"/>
              </w:rPr>
              <w:t>&gt; 0</w:t>
            </w:r>
          </w:p>
        </w:tc>
      </w:tr>
      <w:tr w:rsidR="0083618A" w:rsidRPr="00BC203D" w:rsidTr="00BC203D"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C203D">
              <w:rPr>
                <w:color w:val="000000"/>
                <w:sz w:val="20"/>
                <w:szCs w:val="20"/>
                <w:lang w:val="en-US"/>
              </w:rPr>
              <w:t>&lt; 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РФХД </w:t>
            </w:r>
            <w:r w:rsidRPr="00BC203D">
              <w:rPr>
                <w:color w:val="000000"/>
                <w:sz w:val="20"/>
                <w:szCs w:val="20"/>
                <w:lang w:val="en-US"/>
              </w:rPr>
              <w:t>&lt;&lt;0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 xml:space="preserve">РФХД </w:t>
            </w:r>
            <w:r w:rsidRPr="00BC203D">
              <w:rPr>
                <w:color w:val="000000"/>
                <w:sz w:val="20"/>
                <w:szCs w:val="20"/>
                <w:lang w:val="en-US"/>
              </w:rPr>
              <w:t>&lt; 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3618A" w:rsidRPr="00BC203D" w:rsidRDefault="0083618A" w:rsidP="00BC203D">
            <w:pPr>
              <w:shd w:val="clear" w:color="000000" w:fill="FFFFFF"/>
              <w:suppressAutoHyphens/>
              <w:spacing w:line="36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C203D">
              <w:rPr>
                <w:color w:val="000000"/>
                <w:sz w:val="20"/>
                <w:szCs w:val="20"/>
              </w:rPr>
              <w:t>РФХД = 0</w:t>
            </w:r>
          </w:p>
        </w:tc>
      </w:tr>
    </w:tbl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0"/>
        <w:jc w:val="center"/>
        <w:rPr>
          <w:b/>
          <w:color w:val="000000"/>
          <w:sz w:val="28"/>
          <w:szCs w:val="28"/>
        </w:rPr>
      </w:pPr>
      <w:r w:rsidRPr="00BC203D">
        <w:rPr>
          <w:b/>
          <w:color w:val="000000"/>
          <w:sz w:val="28"/>
          <w:szCs w:val="28"/>
        </w:rPr>
        <w:t>Рис. 3. Матрица финансовой стратегии</w:t>
      </w: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16"/>
        </w:rPr>
      </w:pPr>
    </w:p>
    <w:p w:rsidR="0083618A" w:rsidRPr="00BC203D" w:rsidRDefault="0083618A" w:rsidP="00BC203D">
      <w:pPr>
        <w:shd w:val="clear" w:color="000000" w:fill="FFFFFF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BC203D">
        <w:rPr>
          <w:color w:val="000000"/>
          <w:sz w:val="28"/>
          <w:szCs w:val="28"/>
        </w:rPr>
        <w:t>Организация</w:t>
      </w:r>
      <w:r w:rsidR="00D06224" w:rsidRPr="00BC203D">
        <w:rPr>
          <w:color w:val="000000"/>
          <w:sz w:val="28"/>
          <w:szCs w:val="28"/>
        </w:rPr>
        <w:t xml:space="preserve"> </w:t>
      </w:r>
      <w:r w:rsidRPr="00BC203D">
        <w:rPr>
          <w:color w:val="000000"/>
          <w:sz w:val="28"/>
          <w:szCs w:val="28"/>
        </w:rPr>
        <w:t>находится в позиции успеха, т.е. относительно успешна, но есть опасность игнорирования возможных неблагоприятных изменений, недостаточной готовности к ним.</w:t>
      </w:r>
      <w:bookmarkStart w:id="0" w:name="_GoBack"/>
      <w:bookmarkEnd w:id="0"/>
    </w:p>
    <w:sectPr w:rsidR="0083618A" w:rsidRPr="00BC203D" w:rsidSect="00D06224">
      <w:footerReference w:type="even" r:id="rId33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03D" w:rsidRDefault="00BC203D">
      <w:r>
        <w:separator/>
      </w:r>
    </w:p>
  </w:endnote>
  <w:endnote w:type="continuationSeparator" w:id="0">
    <w:p w:rsidR="00BC203D" w:rsidRDefault="00BC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224" w:rsidRDefault="00D06224" w:rsidP="008774F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18</w:t>
    </w:r>
  </w:p>
  <w:p w:rsidR="00D06224" w:rsidRDefault="00D062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03D" w:rsidRDefault="00BC203D">
      <w:r>
        <w:separator/>
      </w:r>
    </w:p>
  </w:footnote>
  <w:footnote w:type="continuationSeparator" w:id="0">
    <w:p w:rsidR="00BC203D" w:rsidRDefault="00BC203D">
      <w:r>
        <w:continuationSeparator/>
      </w:r>
    </w:p>
  </w:footnote>
  <w:footnote w:id="1">
    <w:p w:rsidR="00BC203D" w:rsidRDefault="00D06224" w:rsidP="0083618A">
      <w:pPr>
        <w:pStyle w:val="aa"/>
        <w:spacing w:line="360" w:lineRule="auto"/>
        <w:ind w:firstLine="0"/>
      </w:pPr>
      <w:r>
        <w:rPr>
          <w:rStyle w:val="ac"/>
        </w:rPr>
        <w:footnoteRef/>
      </w:r>
      <w:r>
        <w:t xml:space="preserve"> Определено на основе данных расчета стоимости оборудования и условий постановки на учет внеоборотных активов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C8A"/>
    <w:multiLevelType w:val="multilevel"/>
    <w:tmpl w:val="52D0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93B19"/>
    <w:multiLevelType w:val="hybridMultilevel"/>
    <w:tmpl w:val="E7AEB14C"/>
    <w:lvl w:ilvl="0" w:tplc="5CDCFDA2">
      <w:start w:val="1"/>
      <w:numFmt w:val="decimal"/>
      <w:lvlText w:val="%1."/>
      <w:lvlJc w:val="left"/>
      <w:pPr>
        <w:tabs>
          <w:tab w:val="num" w:pos="846"/>
        </w:tabs>
        <w:ind w:left="84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>
    <w:nsid w:val="181A64DE"/>
    <w:multiLevelType w:val="hybridMultilevel"/>
    <w:tmpl w:val="DC4AAEEE"/>
    <w:lvl w:ilvl="0" w:tplc="654465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81807FA"/>
    <w:multiLevelType w:val="hybridMultilevel"/>
    <w:tmpl w:val="0E66DE58"/>
    <w:lvl w:ilvl="0" w:tplc="7AA20820">
      <w:start w:val="1"/>
      <w:numFmt w:val="bullet"/>
      <w:lvlText w:val=""/>
      <w:lvlJc w:val="left"/>
      <w:pPr>
        <w:tabs>
          <w:tab w:val="num" w:pos="1125"/>
        </w:tabs>
        <w:ind w:left="1125" w:hanging="405"/>
      </w:pPr>
      <w:rPr>
        <w:rFonts w:ascii="Wingdings" w:eastAsia="Times New Roman" w:hAnsi="Wingdings" w:hint="default"/>
        <w:color w:val="000000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17604C7"/>
    <w:multiLevelType w:val="hybridMultilevel"/>
    <w:tmpl w:val="AB12407A"/>
    <w:lvl w:ilvl="0" w:tplc="9EEC471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9F8605C"/>
    <w:multiLevelType w:val="multilevel"/>
    <w:tmpl w:val="0CE89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9165F"/>
    <w:rsid w:val="000A3FF8"/>
    <w:rsid w:val="000C35BB"/>
    <w:rsid w:val="000D72A7"/>
    <w:rsid w:val="000E396A"/>
    <w:rsid w:val="00123A2F"/>
    <w:rsid w:val="0012696C"/>
    <w:rsid w:val="00126CE8"/>
    <w:rsid w:val="0018358E"/>
    <w:rsid w:val="001B2687"/>
    <w:rsid w:val="001B72AE"/>
    <w:rsid w:val="001D3BAB"/>
    <w:rsid w:val="0020127F"/>
    <w:rsid w:val="00230542"/>
    <w:rsid w:val="00254822"/>
    <w:rsid w:val="002770E2"/>
    <w:rsid w:val="00316518"/>
    <w:rsid w:val="00316612"/>
    <w:rsid w:val="00324FC8"/>
    <w:rsid w:val="003936A7"/>
    <w:rsid w:val="003E4081"/>
    <w:rsid w:val="00457B31"/>
    <w:rsid w:val="004633D2"/>
    <w:rsid w:val="004C55EE"/>
    <w:rsid w:val="004F0C45"/>
    <w:rsid w:val="00512A19"/>
    <w:rsid w:val="00512A24"/>
    <w:rsid w:val="00516359"/>
    <w:rsid w:val="00531059"/>
    <w:rsid w:val="00532B78"/>
    <w:rsid w:val="00553FC9"/>
    <w:rsid w:val="005732E5"/>
    <w:rsid w:val="00594F55"/>
    <w:rsid w:val="005C700E"/>
    <w:rsid w:val="005F5119"/>
    <w:rsid w:val="005F7104"/>
    <w:rsid w:val="006278AB"/>
    <w:rsid w:val="00647D11"/>
    <w:rsid w:val="0065361A"/>
    <w:rsid w:val="006C31F0"/>
    <w:rsid w:val="006C541B"/>
    <w:rsid w:val="006D4565"/>
    <w:rsid w:val="006D5AB9"/>
    <w:rsid w:val="006D773D"/>
    <w:rsid w:val="00726255"/>
    <w:rsid w:val="00733516"/>
    <w:rsid w:val="00747DD7"/>
    <w:rsid w:val="0081253B"/>
    <w:rsid w:val="008279AD"/>
    <w:rsid w:val="0083618A"/>
    <w:rsid w:val="008774F9"/>
    <w:rsid w:val="00954A16"/>
    <w:rsid w:val="00954BD4"/>
    <w:rsid w:val="009771F1"/>
    <w:rsid w:val="009A0F42"/>
    <w:rsid w:val="009F7593"/>
    <w:rsid w:val="00A5167A"/>
    <w:rsid w:val="00A604BF"/>
    <w:rsid w:val="00A830D9"/>
    <w:rsid w:val="00AC1256"/>
    <w:rsid w:val="00B20E7D"/>
    <w:rsid w:val="00B81A87"/>
    <w:rsid w:val="00BB2373"/>
    <w:rsid w:val="00BC203D"/>
    <w:rsid w:val="00BE4A5D"/>
    <w:rsid w:val="00C005F0"/>
    <w:rsid w:val="00C162EF"/>
    <w:rsid w:val="00C52140"/>
    <w:rsid w:val="00C71C9B"/>
    <w:rsid w:val="00CB1227"/>
    <w:rsid w:val="00CE67E5"/>
    <w:rsid w:val="00CF0FAD"/>
    <w:rsid w:val="00D02C16"/>
    <w:rsid w:val="00D06224"/>
    <w:rsid w:val="00D661D7"/>
    <w:rsid w:val="00D83AD2"/>
    <w:rsid w:val="00D95666"/>
    <w:rsid w:val="00D978FE"/>
    <w:rsid w:val="00DF156B"/>
    <w:rsid w:val="00DF588A"/>
    <w:rsid w:val="00DF6BB9"/>
    <w:rsid w:val="00E4550A"/>
    <w:rsid w:val="00E841EF"/>
    <w:rsid w:val="00F21F05"/>
    <w:rsid w:val="00F85926"/>
    <w:rsid w:val="00F90844"/>
    <w:rsid w:val="00FA09BB"/>
    <w:rsid w:val="00FB2F97"/>
    <w:rsid w:val="00FD6879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6268FB17-4C70-4F74-A6A6-35FA9FE8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Чертежный"/>
    <w:rsid w:val="00531059"/>
    <w:pPr>
      <w:jc w:val="center"/>
    </w:pPr>
    <w:rPr>
      <w:rFonts w:ascii="ISOCPEUR" w:hAnsi="ISOCPEUR"/>
      <w:i/>
      <w:sz w:val="18"/>
      <w:lang w:val="uk-UA"/>
    </w:rPr>
  </w:style>
  <w:style w:type="paragraph" w:customStyle="1" w:styleId="a4">
    <w:name w:val="Нумерация"/>
    <w:basedOn w:val="a3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footer"/>
    <w:basedOn w:val="a"/>
    <w:link w:val="a6"/>
    <w:uiPriority w:val="99"/>
    <w:rsid w:val="00AC12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AC1256"/>
    <w:rPr>
      <w:rFonts w:cs="Times New Roman"/>
    </w:rPr>
  </w:style>
  <w:style w:type="paragraph" w:styleId="a8">
    <w:name w:val="Normal (Web)"/>
    <w:basedOn w:val="a"/>
    <w:uiPriority w:val="99"/>
    <w:rsid w:val="0065361A"/>
    <w:pPr>
      <w:spacing w:before="100" w:beforeAutospacing="1" w:after="100" w:afterAutospacing="1"/>
      <w:ind w:firstLine="0"/>
      <w:jc w:val="left"/>
    </w:pPr>
  </w:style>
  <w:style w:type="table" w:styleId="a9">
    <w:name w:val="Table Grid"/>
    <w:basedOn w:val="a1"/>
    <w:uiPriority w:val="59"/>
    <w:rsid w:val="00CF0FAD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rsid w:val="00A5167A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A5167A"/>
    <w:rPr>
      <w:rFonts w:cs="Times New Roman"/>
      <w:vertAlign w:val="superscript"/>
    </w:rPr>
  </w:style>
  <w:style w:type="paragraph" w:styleId="ad">
    <w:name w:val="Body Text Indent"/>
    <w:basedOn w:val="a"/>
    <w:link w:val="ae"/>
    <w:uiPriority w:val="99"/>
    <w:rsid w:val="00A5167A"/>
    <w:pPr>
      <w:spacing w:after="120"/>
      <w:ind w:left="283" w:firstLine="0"/>
      <w:jc w:val="left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D0622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locked/>
    <w:rsid w:val="00D062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93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8263</Words>
  <Characters>47101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55254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2003-10-17T05:16:00Z</cp:lastPrinted>
  <dcterms:created xsi:type="dcterms:W3CDTF">2014-03-12T15:21:00Z</dcterms:created>
  <dcterms:modified xsi:type="dcterms:W3CDTF">2014-03-12T15:21:00Z</dcterms:modified>
</cp:coreProperties>
</file>