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8F" w:rsidRPr="00BC59CB" w:rsidRDefault="00DE128F" w:rsidP="00BC59CB">
      <w:pPr>
        <w:pStyle w:val="1"/>
        <w:widowControl w:val="0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  <w:lang w:val="ru-RU"/>
        </w:rPr>
      </w:pPr>
      <w:r w:rsidRPr="00BC59CB">
        <w:rPr>
          <w:rFonts w:ascii="Times New Roman" w:hAnsi="Times New Roman"/>
          <w:b w:val="0"/>
          <w:sz w:val="28"/>
          <w:szCs w:val="28"/>
          <w:lang w:val="ru-RU"/>
        </w:rPr>
        <w:t xml:space="preserve">Кафедра </w:t>
      </w:r>
      <w:r w:rsidR="00FD7025" w:rsidRPr="00BC59CB">
        <w:rPr>
          <w:rFonts w:ascii="Times New Roman" w:hAnsi="Times New Roman"/>
          <w:b w:val="0"/>
          <w:sz w:val="28"/>
          <w:szCs w:val="28"/>
          <w:lang w:val="ru-RU"/>
        </w:rPr>
        <w:t>международной экономики</w:t>
      </w: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128F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59CB" w:rsidRDefault="00BC59CB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59CB" w:rsidRDefault="00BC59CB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59CB" w:rsidRPr="00BC59CB" w:rsidRDefault="00BC59CB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128F" w:rsidRPr="00BC59CB" w:rsidRDefault="00DE128F" w:rsidP="00BC59CB">
      <w:pPr>
        <w:pStyle w:val="20"/>
        <w:widowControl w:val="0"/>
        <w:spacing w:before="0" w:after="0"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BC59CB">
        <w:rPr>
          <w:rFonts w:ascii="Times New Roman" w:hAnsi="Times New Roman"/>
          <w:szCs w:val="28"/>
          <w:lang w:val="ru-RU"/>
        </w:rPr>
        <w:t>Контрольная работа</w:t>
      </w: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C59CB">
        <w:rPr>
          <w:b/>
          <w:sz w:val="28"/>
          <w:szCs w:val="28"/>
        </w:rPr>
        <w:t>по дисциплине:</w:t>
      </w:r>
    </w:p>
    <w:p w:rsidR="00DE128F" w:rsidRPr="00BC59CB" w:rsidRDefault="00DE128F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C59CB">
        <w:rPr>
          <w:b/>
          <w:sz w:val="28"/>
          <w:szCs w:val="28"/>
        </w:rPr>
        <w:t>«Денежно-кредитные системы зарубежных стран»</w:t>
      </w:r>
    </w:p>
    <w:p w:rsidR="00931361" w:rsidRPr="00BC59CB" w:rsidRDefault="00B31335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caps/>
          <w:sz w:val="28"/>
          <w:szCs w:val="28"/>
        </w:rPr>
      </w:pPr>
      <w:r w:rsidRPr="00BC59CB">
        <w:rPr>
          <w:sz w:val="28"/>
          <w:szCs w:val="28"/>
        </w:rPr>
        <w:br w:type="page"/>
      </w:r>
      <w:r w:rsidR="00A95A66" w:rsidRPr="00BC59CB">
        <w:rPr>
          <w:b/>
          <w:caps/>
          <w:sz w:val="28"/>
          <w:szCs w:val="28"/>
        </w:rPr>
        <w:t>Содержание</w:t>
      </w:r>
    </w:p>
    <w:p w:rsidR="00931361" w:rsidRPr="00BC59CB" w:rsidRDefault="00931361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31361" w:rsidRPr="00BC59CB" w:rsidRDefault="00A95A66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 w:rsidRPr="00BC59CB">
        <w:rPr>
          <w:sz w:val="28"/>
          <w:szCs w:val="28"/>
        </w:rPr>
        <w:t xml:space="preserve">1. </w:t>
      </w:r>
      <w:r w:rsidR="00931361" w:rsidRPr="00BC59CB">
        <w:rPr>
          <w:sz w:val="28"/>
          <w:szCs w:val="28"/>
        </w:rPr>
        <w:t>Монетарн</w:t>
      </w:r>
      <w:r w:rsidRPr="00BC59CB">
        <w:rPr>
          <w:sz w:val="28"/>
          <w:szCs w:val="28"/>
        </w:rPr>
        <w:t>ы</w:t>
      </w:r>
      <w:r w:rsidR="00931361" w:rsidRPr="00BC59CB">
        <w:rPr>
          <w:sz w:val="28"/>
          <w:szCs w:val="28"/>
        </w:rPr>
        <w:t>й режим таргет</w:t>
      </w:r>
      <w:r w:rsidRPr="00BC59CB">
        <w:rPr>
          <w:sz w:val="28"/>
          <w:szCs w:val="28"/>
        </w:rPr>
        <w:t>ирования</w:t>
      </w:r>
      <w:r w:rsidR="00931361" w:rsidRPr="00BC59CB">
        <w:rPr>
          <w:sz w:val="28"/>
          <w:szCs w:val="28"/>
        </w:rPr>
        <w:t xml:space="preserve"> основн</w:t>
      </w:r>
      <w:r w:rsidRPr="00BC59CB">
        <w:rPr>
          <w:sz w:val="28"/>
          <w:szCs w:val="28"/>
        </w:rPr>
        <w:t>ы</w:t>
      </w:r>
      <w:r w:rsidR="00931361" w:rsidRPr="00BC59CB">
        <w:rPr>
          <w:sz w:val="28"/>
          <w:szCs w:val="28"/>
        </w:rPr>
        <w:t>х показ</w:t>
      </w:r>
      <w:r w:rsidRPr="00BC59CB">
        <w:rPr>
          <w:sz w:val="28"/>
          <w:szCs w:val="28"/>
        </w:rPr>
        <w:t>ателей</w:t>
      </w:r>
      <w:r w:rsidR="00931361" w:rsidRP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денежной</w:t>
      </w:r>
      <w:r w:rsidR="00931361" w:rsidRPr="00BC59CB">
        <w:rPr>
          <w:sz w:val="28"/>
          <w:szCs w:val="28"/>
        </w:rPr>
        <w:t xml:space="preserve"> сфер</w:t>
      </w:r>
      <w:r w:rsidRPr="00BC59CB">
        <w:rPr>
          <w:sz w:val="28"/>
          <w:szCs w:val="28"/>
        </w:rPr>
        <w:t>ы: уровень инфляции</w:t>
      </w:r>
    </w:p>
    <w:p w:rsidR="00931361" w:rsidRPr="00BC59CB" w:rsidRDefault="00A95A66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 w:rsidRPr="00BC59CB">
        <w:rPr>
          <w:sz w:val="28"/>
          <w:szCs w:val="28"/>
        </w:rPr>
        <w:t xml:space="preserve">2. </w:t>
      </w:r>
      <w:r w:rsidR="00E71292" w:rsidRPr="00BC59CB">
        <w:rPr>
          <w:sz w:val="28"/>
          <w:szCs w:val="28"/>
        </w:rPr>
        <w:t>С</w:t>
      </w:r>
      <w:r w:rsidRPr="00BC59CB">
        <w:rPr>
          <w:sz w:val="28"/>
          <w:szCs w:val="28"/>
        </w:rPr>
        <w:t>овременн</w:t>
      </w:r>
      <w:r w:rsidR="00E71292" w:rsidRPr="00BC59CB">
        <w:rPr>
          <w:sz w:val="28"/>
          <w:szCs w:val="28"/>
        </w:rPr>
        <w:t>ая</w:t>
      </w:r>
      <w:r w:rsidRPr="00BC59CB">
        <w:rPr>
          <w:sz w:val="28"/>
          <w:szCs w:val="28"/>
        </w:rPr>
        <w:t xml:space="preserve"> кредитн</w:t>
      </w:r>
      <w:r w:rsidR="00E71292" w:rsidRPr="00BC59CB">
        <w:rPr>
          <w:sz w:val="28"/>
          <w:szCs w:val="28"/>
        </w:rPr>
        <w:t>ая</w:t>
      </w:r>
      <w:r w:rsidRPr="00BC59CB">
        <w:rPr>
          <w:sz w:val="28"/>
          <w:szCs w:val="28"/>
        </w:rPr>
        <w:t xml:space="preserve"> систем</w:t>
      </w:r>
      <w:r w:rsidR="00E71292" w:rsidRPr="00BC59CB">
        <w:rPr>
          <w:sz w:val="28"/>
          <w:szCs w:val="28"/>
        </w:rPr>
        <w:t>а</w:t>
      </w:r>
      <w:r w:rsidRPr="00BC59CB">
        <w:rPr>
          <w:sz w:val="28"/>
          <w:szCs w:val="28"/>
        </w:rPr>
        <w:t xml:space="preserve"> Мексики</w:t>
      </w:r>
    </w:p>
    <w:p w:rsidR="00C410B6" w:rsidRPr="00BC59CB" w:rsidRDefault="00C410B6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rPr>
          <w:sz w:val="28"/>
          <w:szCs w:val="28"/>
        </w:rPr>
      </w:pPr>
      <w:r w:rsidRPr="00BC59CB">
        <w:rPr>
          <w:sz w:val="28"/>
          <w:szCs w:val="28"/>
        </w:rPr>
        <w:t>Список л</w:t>
      </w:r>
      <w:r w:rsidR="00A95A66" w:rsidRPr="00BC59CB">
        <w:rPr>
          <w:sz w:val="28"/>
          <w:szCs w:val="28"/>
        </w:rPr>
        <w:t>и</w:t>
      </w:r>
      <w:r w:rsidRPr="00BC59CB">
        <w:rPr>
          <w:sz w:val="28"/>
          <w:szCs w:val="28"/>
        </w:rPr>
        <w:t>тератур</w:t>
      </w:r>
      <w:r w:rsidR="00A95A66" w:rsidRPr="00BC59CB">
        <w:rPr>
          <w:sz w:val="28"/>
          <w:szCs w:val="28"/>
        </w:rPr>
        <w:t>ы</w:t>
      </w:r>
    </w:p>
    <w:p w:rsidR="004E1EB7" w:rsidRPr="00BC59CB" w:rsidRDefault="00C410B6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BC59CB">
        <w:rPr>
          <w:sz w:val="28"/>
          <w:szCs w:val="28"/>
        </w:rPr>
        <w:br w:type="page"/>
      </w:r>
      <w:r w:rsidR="004E1EB7" w:rsidRPr="00BC59CB">
        <w:rPr>
          <w:b/>
          <w:sz w:val="28"/>
          <w:szCs w:val="28"/>
        </w:rPr>
        <w:t>1. Монетарный режим таргетирования основных показателей денежной сферы: уровень инфляции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iCs/>
          <w:sz w:val="28"/>
          <w:szCs w:val="28"/>
          <w:lang w:val="uk-UA"/>
        </w:rPr>
      </w:pPr>
      <w:r w:rsidRPr="00BC59CB">
        <w:rPr>
          <w:sz w:val="28"/>
          <w:szCs w:val="28"/>
        </w:rPr>
        <w:t xml:space="preserve">Накопленный опыт реализации инфляционного таргетирования позволяет классифицировать режимы инфляционного таргетирования на следующие — </w:t>
      </w:r>
      <w:r w:rsidRPr="00BC59CB">
        <w:rPr>
          <w:iCs/>
          <w:sz w:val="28"/>
          <w:szCs w:val="28"/>
        </w:rPr>
        <w:t xml:space="preserve">начальный, классический и высший. </w:t>
      </w:r>
      <w:r w:rsidRPr="00BC59CB">
        <w:rPr>
          <w:sz w:val="28"/>
          <w:szCs w:val="28"/>
        </w:rPr>
        <w:t xml:space="preserve">Критериями классификации являются: доверие к банковской системе и монетарной политике, прозрачность монетарной политики, устойчивость основных макроэкономических параметров (стабильный рост ВВП, устойчивая низкая безработица, длительно сохраняющася низкая инфляция, плавающий курс), гибкость реагирования денежной и финансовой системы на изменения инструментов монетарной и финансовой политики (важнейший из которых — ставка процента, или учетная, ставки по внутренним финансовым инструментам, ставки по международным финансовым инструментам типа LIBOR и другие), развитость и прочность финансовых институтов и политическая устойчивость </w:t>
      </w:r>
      <w:r w:rsidRPr="00BC59CB">
        <w:rPr>
          <w:iCs/>
          <w:sz w:val="28"/>
          <w:szCs w:val="28"/>
        </w:rPr>
        <w:t>(</w:t>
      </w:r>
      <w:r w:rsidR="00523517" w:rsidRPr="00BC59CB">
        <w:rPr>
          <w:iCs/>
          <w:sz w:val="28"/>
          <w:szCs w:val="28"/>
        </w:rPr>
        <w:t>табл.</w:t>
      </w:r>
      <w:r w:rsidR="00523517" w:rsidRPr="00BC59CB">
        <w:rPr>
          <w:iCs/>
          <w:sz w:val="28"/>
          <w:szCs w:val="28"/>
          <w:lang w:val="uk-UA"/>
        </w:rPr>
        <w:t xml:space="preserve"> 1</w:t>
      </w:r>
      <w:r w:rsidRPr="00BC59CB">
        <w:rPr>
          <w:iCs/>
          <w:sz w:val="28"/>
          <w:szCs w:val="28"/>
        </w:rPr>
        <w:t>).</w:t>
      </w: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Таблица 1</w:t>
      </w:r>
      <w:r w:rsidR="00E71292" w:rsidRPr="00BC59CB">
        <w:rPr>
          <w:sz w:val="28"/>
          <w:szCs w:val="28"/>
        </w:rPr>
        <w:t xml:space="preserve"> – </w:t>
      </w:r>
      <w:r w:rsidRPr="00BC59CB">
        <w:rPr>
          <w:bCs/>
          <w:sz w:val="28"/>
          <w:szCs w:val="28"/>
        </w:rPr>
        <w:t>Критерии классификации стран по режимам таргетирования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20"/>
        <w:gridCol w:w="1127"/>
        <w:gridCol w:w="1625"/>
        <w:gridCol w:w="1100"/>
      </w:tblGrid>
      <w:tr w:rsidR="004E1EB7" w:rsidRPr="00BC59CB">
        <w:trPr>
          <w:trHeight w:val="2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Режимы таргетирования/критерии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Высший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Классический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Низший</w:t>
            </w:r>
          </w:p>
        </w:tc>
      </w:tr>
      <w:tr w:rsidR="004E1EB7" w:rsidRPr="00BC59CB">
        <w:trPr>
          <w:trHeight w:val="2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Доверие к банковской системе и монетарной политике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+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0</w:t>
            </w:r>
          </w:p>
        </w:tc>
      </w:tr>
      <w:tr w:rsidR="004E1EB7" w:rsidRPr="00BC59CB">
        <w:trPr>
          <w:trHeight w:val="2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Экономические потрясения и колебания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+</w:t>
            </w:r>
          </w:p>
        </w:tc>
      </w:tr>
      <w:tr w:rsidR="004E1EB7" w:rsidRPr="00BC59CB">
        <w:trPr>
          <w:trHeight w:val="2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Гибкость реагирования системы на изменения инструментов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-</w:t>
            </w:r>
          </w:p>
        </w:tc>
      </w:tr>
      <w:tr w:rsidR="004E1EB7" w:rsidRPr="00BC59CB">
        <w:trPr>
          <w:trHeight w:val="2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Прозрачность монетарной политики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-</w:t>
            </w:r>
          </w:p>
        </w:tc>
      </w:tr>
      <w:tr w:rsidR="004E1EB7" w:rsidRPr="00BC59CB">
        <w:trPr>
          <w:trHeight w:val="20"/>
          <w:jc w:val="center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Прочность институтов и устойчивость власти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bCs/>
                <w:sz w:val="20"/>
              </w:rPr>
              <w:t>+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B7" w:rsidRPr="00BC59CB" w:rsidRDefault="004E1EB7" w:rsidP="00BC59CB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0" w:after="0" w:line="360" w:lineRule="auto"/>
              <w:jc w:val="both"/>
              <w:rPr>
                <w:sz w:val="20"/>
              </w:rPr>
            </w:pPr>
            <w:r w:rsidRPr="00BC59CB">
              <w:rPr>
                <w:sz w:val="20"/>
              </w:rPr>
              <w:t>-</w:t>
            </w:r>
          </w:p>
        </w:tc>
      </w:tr>
    </w:tbl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 группе (кластеру) стран с высшим режимом таргетирования относятся Япония, Сингапур, США, Швейцария и другие.</w:t>
      </w: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 группе стран с классическим режимом таргетирования — Южная Африка, Перу, большинство стран Центральной Европы.</w:t>
      </w: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 группе стран с начальным режимом таргетирования — Россия, Албания, Словакия, Уругвай и другие.</w:t>
      </w: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 Польше по этой классификации с 1995-го по 1998 год осуществлялся начальный режим инфляционного таргетирования. Его отличительными особенностями были положительные ставки процента на внутреннем рынке ссудного капитала, режим скользящей фиксации в рамках валютного коридора, границы которого постепенно расширялись, с заранее объявленным месячным процентом девальвации.</w:t>
      </w: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Одновременно в Польше осуществлялась многоплановая институциональная (законодательная, общеэкономическая, организационная, методологическая) подготовка к переходу на новую монетарную политику, которая обеспечила бы в течение нескольких лет достижение стратегической цели Польши — вхождение в ЕС на основе выполнения прежде всего основных критериев Маастрихстского соглашения.</w:t>
      </w:r>
    </w:p>
    <w:p w:rsidR="00523517" w:rsidRPr="00BC59CB" w:rsidRDefault="0052351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 настоящее время инфляционное таргетирование применяют 23 страны, из которых 7 являются индустриальными и 16 — неиндустриальными. Из 88 неиндустриальных стран более половины заявили о желании перейти к инфляционному таргетированию. Политике инфляционного таргетирования предшестовала политика монетарного таргетирования (в большинстве индустриальных стран) либо курсового таргетирования (в большинстве стран с переходной экономикой).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 частности, в Конституцию Польши были внесены положения, запрещающие центральному банку финансирование государственного бюджета и ограничивающие общественный долг 60 процентами ВВП, а также расширяющие права Национального банка Польши в осуществлении монетарной политики. В среднесрочной перспективе предусматривалось снижение инфляции до уровня, не выше 4 процентов в год; коридор колебаний рыночного обменного курса злотого к евро не более 15 процентов в течение двух лет; поддержание средней долгосрочной процентной ставки на уровне, не более чем на 2 процентных пункта выше средней по трем странам — участницам ЕС с минимальным уровнем ставки.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С 1999—2000 годов в Польше перешли к классическому режиму инфляционного таргетирования по индексу потребительских цен. При этом была поставлена задача создать институциональную среду, в которой долгосрочные процентные ставки определяются рынком, что позволило бы органам монетарного регулирования, во-первых, воздействовать на ставки с помощью систематических операций на денежном рынке центрального банка, во-вторых, обеспечить действенный механизм влияния процентных ставок на спрос предприятий и населения в заемных средствах и, соответственно, на соотношение спроса и предложения на финансовом и товарном рынках, которое определяет инфляционные процессы.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С апреля 2000 года был официально введен режим свободного плавания обменного курса злотого. В 2000 году начал использоваться основной инструмент прогнозирования — так называемая малая макромодель, комплексно реализующая взаимосвязи денежного трансмиссионного механизма.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Высшая модель инфляционного таргетирования применяется с 2000 года в Швейцарии. Она содержит три основных элемента: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эксплицитное определение ценовой стабильности (устойчивый годовой темп роста ИПЦ менее 2 процентов; погрешность измерения ИПЦ приблизительно 1 процент и диапазон неопределенности ± 1 процент; среднесрочный прогноз по инфляции в качестве номинального якоря для совокупности среднесрочных ориентиров денежно-кредитной политики; стабильные долгосрочные инфляционные ожидания);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прогноз инфляции как основной индикатор для решений</w:t>
      </w:r>
      <w:r w:rsid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Швейцарского национального банка в сфере денежно-кредитной политики (публикуется ежеквартально с горизонтом на 3 года</w:t>
      </w:r>
      <w:r w:rsid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(средний лаг трансмиссионного механизма);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использование 3-месячной процентной ставки LIBOR как оперативной цели. Выбор ставки LIBOR в качестве оперативной цели обусловлен тем, что Швейцария является чистым экспортером капитала, интегрированным в мировые финансовые рынки. Швейцарский национальный банк оказывает влияние на 3-месячную ставку LIBOR через операции РЕПО (от "овернайт" до 3 недель). Ширина целевого диапазона, как правило, составляет один процентный пункт, чтобы гарантировать определенную гибкость. Уровень</w:t>
      </w:r>
      <w:r w:rsidR="00E71292" w:rsidRP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внутри целевого диапазона (центральный, верхняя или нижняя часть) объявляется.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 качестве технико-методического обеспечения прогнозирования монетарных и макроэкономических показателей используется макромодель денежного трансмиссионного механизма, а также VAR-, SVAR-, ARIMA-модели.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Типичная структура модели инфляционного таргетирования содержит конечные и промежуточные, или операционные, цели монетарной политики.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 качестве конечной цели инфляционного таргетирования выступает стабильность цен (в той или иной форме).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 качестве промежуточных целей, как правило, используются: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один из агрегатов денежной массы или один из параметров чистых внутренних активов органов денежно-кредитного регулирования;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процентные ставки и доходность инструментов финансового рынка;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обменный курс национальной валюты.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При выборе промежуточных целей центральные банки используют систему критериев, комплексная оценка которых зачастую является определенным компромиссом ввиду их разнонаправленности. Промежуточная цель может устанавливаться в мягкой форме (рекомендательной или с широким интервалом) и в жесткой форме (одним дискретным значением или с узким коридором).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При этом иногда устанавливаются не одна, а несколько промежуточных целей. Следует отметить, что цели не являются раз и навсегда заданными, особенно в странах с переходной экономикой, что обусловлено динамичностью развития макропроцессов и институциональных условий в этих странах.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Как правило, используется также та или иная модель трансмиссионного механизма, которая устанавливает связь между конечными, промежуточными целями и агрегатами совокупного спроса и предложения или производственного разрыва.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Как показывает анализ опыта применения инфляционного таргетирования различных стран, таргетирование возможно при организации системы основных институциональных условий. Сюда входят: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а) набор определенных структурных параметров зрелости банковской системы. К ним относятся прежде всего:</w:t>
      </w:r>
    </w:p>
    <w:p w:rsidR="004E1EB7" w:rsidRPr="00BC59CB" w:rsidRDefault="004E1EB7" w:rsidP="00BC59CB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уровень капитализации банков не ниже 20—30 процентов к</w:t>
      </w:r>
      <w:r w:rsid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ВВП;</w:t>
      </w:r>
    </w:p>
    <w:p w:rsidR="004E1EB7" w:rsidRPr="00BC59CB" w:rsidRDefault="004E1EB7" w:rsidP="00BC59CB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достаточно высокая доля иностранного капитала в банковской системе;</w:t>
      </w:r>
    </w:p>
    <w:p w:rsidR="004E1EB7" w:rsidRPr="00BC59CB" w:rsidRDefault="004E1EB7" w:rsidP="00BC59CB">
      <w:pPr>
        <w:keepNext/>
        <w:widowControl w:val="0"/>
        <w:numPr>
          <w:ilvl w:val="0"/>
          <w:numId w:val="4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устойчивая ликвидность банковской системы и рыночные механизмы рефинансирования. Для решения задачи совершенствования управления ликвидностью банковской системы и развития финансового рынка отмечалась необходимость секъюритизации задолженности правительства центральному банку;</w:t>
      </w:r>
    </w:p>
    <w:p w:rsidR="004E1EB7" w:rsidRPr="00BC59CB" w:rsidRDefault="004E1EB7" w:rsidP="00BC59CB">
      <w:pPr>
        <w:keepNext/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б) определенная степень развития финансовых рынков, которая обеспечивает чувствительность финансовой системы к изменению процентной ставки (канал трансмиссии через процентную ставку).</w:t>
      </w:r>
    </w:p>
    <w:p w:rsidR="004E1EB7" w:rsidRPr="00BC59CB" w:rsidRDefault="004E1EB7" w:rsidP="00BC59CB">
      <w:pPr>
        <w:keepNext/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в)</w:t>
      </w:r>
      <w:r w:rsidRPr="00BC59CB">
        <w:rPr>
          <w:sz w:val="28"/>
          <w:szCs w:val="28"/>
        </w:rPr>
        <w:tab/>
        <w:t xml:space="preserve">определенный уровень притока иностранного капитала. 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Кроме того, необходим набор следующих организационных и технологических предпосылок: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а) наличие особого "автократически-коллегиального" органа (как правило, внутри центрального банка), ответственного за проведение политики инфляционного таргетирования. Чаще всего это Совет по монетарной политике, возглавляемый руководителем центрального банка. </w:t>
      </w:r>
    </w:p>
    <w:p w:rsidR="004E1EB7" w:rsidRPr="00BC59CB" w:rsidRDefault="004E1EB7" w:rsidP="00BC59CB">
      <w:pPr>
        <w:keepNext/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б)</w:t>
      </w:r>
      <w:r w:rsidRPr="00BC59CB">
        <w:rPr>
          <w:sz w:val="28"/>
          <w:szCs w:val="28"/>
        </w:rPr>
        <w:tab/>
        <w:t xml:space="preserve">наличие в центральном банке специальных структурных подразделений, осуществляющих разработку сценариев и мер политики инфляционного таргетирования, а также несущих ответственность за их реализацию и наблюдающих за ходом реализации. Типичными подразделениями являются департамент макроэкономического и структурного анализа, центр или бюро макроэкономических исследований, группа макроэкономических экспертов. </w:t>
      </w:r>
    </w:p>
    <w:p w:rsidR="004E1EB7" w:rsidRPr="00BC59CB" w:rsidRDefault="004E1EB7" w:rsidP="00BC59CB">
      <w:pPr>
        <w:keepNext/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в)</w:t>
      </w:r>
      <w:r w:rsidRPr="00BC59CB">
        <w:rPr>
          <w:sz w:val="28"/>
          <w:szCs w:val="28"/>
        </w:rPr>
        <w:tab/>
        <w:t>техническое обеспечение инфляционного таргетирования включает использование структурных макроэкономических моделей (ARIMA, VAR, ECMOD). В качестве методологического обеспечения используется индекс монетарных условий, новая кривая Филипса и др.;</w:t>
      </w:r>
    </w:p>
    <w:p w:rsidR="004E1EB7" w:rsidRPr="00BC59CB" w:rsidRDefault="004E1EB7" w:rsidP="00BC59CB">
      <w:pPr>
        <w:keepNext/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г)</w:t>
      </w:r>
      <w:r w:rsidRPr="00BC59CB">
        <w:rPr>
          <w:sz w:val="28"/>
          <w:szCs w:val="28"/>
        </w:rPr>
        <w:tab/>
        <w:t>информационно-коммуникационное сопровождение режима инфляционного таргетирования предполагает выпуск ежемесячных прессрелизов, ежеквартальных отчетов по инфляции, ежегодных основных направлений денежно-кредитной политики, отчетов о реализации денежно-кредитной политики, написание финансовых планов и комментариев</w:t>
      </w:r>
      <w:r w:rsid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к закону о бюджете, выступлений и интервью членов Совета, проведение регулярных пресс-конференций. В некоторых странах (например, в Чехии) применяется мораторий на комментарии в течение недели после заседания совета управляющих центрального банка.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Исходными макроэкономическими условиями для осуществления инфляционного таргетирования, как правило, являются достаточно длительный период относительно низкой инфляции и стабильного регулируемого валютного курса (режим скользящей привязки и возможные валютные интервенции), а также низкая зависимость инфляции от изменений валютного курса (pass-through effect).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Как показывает мировой опыт, препятствиями для осуществления инфляционного таргетирования являются: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государственное вмешательство в ценообразование, фискальное доминирование (высокая доля перераспределяемого через бюджет ВВП, высокий уровень косвенных налогов и т. п.);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высокая степень огосударствления (монополизации) банковской системы;</w:t>
      </w:r>
    </w:p>
    <w:p w:rsidR="004E1EB7" w:rsidRPr="00BC59CB" w:rsidRDefault="004E1EB7" w:rsidP="00BC59CB">
      <w:pPr>
        <w:keepNext/>
        <w:widowControl w:val="0"/>
        <w:numPr>
          <w:ilvl w:val="0"/>
          <w:numId w:val="4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недостаточная самостоятельность центральных банков, неразвитость финансовых рынков, низкий уровень привлечения иностранных инвестиций, высокая степень долларизации экономики, низкая капитализация банков и</w:t>
      </w:r>
      <w:r w:rsid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предприятий, высокая доля немонетарных факторов инфляции и</w:t>
      </w:r>
      <w:r w:rsid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сильная зависимость инфляции от колебаний валютного курса.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Анализ международного опыта показывает как преимущества, так и риски, связанные с применением инфляционного таргетирования. Из преимуществ следует отметить следующие: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четкую идентификацию целей и приоритетов денежно-кредитной политики;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таргетирование инфляции помогает в большинстве случаев быстро снизить инфляцию, эффективно поддерживать ее низкие темпы и тем самым обеспечивать предпосылки устойчивого и сбалансированного экономического</w:t>
      </w:r>
      <w:r w:rsidR="00E71292" w:rsidRP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роста;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таргетирование инфляции укрепляет фактическую независимость центрального банка, четко ориентируя его на одну цель (снижение инфляции и ее стабилизацию на низком уровне);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введение инфляционного таргетирования также требует повышения профессионального уровня работников органов денежной и макроэкономической политики, прозрачности, информационной открытости и участия в принятии решений по важнейшим вопросам экономической политики, а также нового уровня макроэкономического анализа.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Одновременно с применением этого режима появляется ряд проблем, особенно на раннем этапе. Из них необходимо выделить следующие: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трудности с точной реализацией заложенной инфляционной цели из-за влияния разных, трудно предсказуемых внешних (экзогенных) факторов. Это касается, например, изменений в мировых ценах на нефть и другие основные ресурсы, а также внутренних колебаний предложения и спроса на отдельных, нелиберализированных товарных рынках, например, на рынке продуктов питания;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трудности, связанные с отказом от регулирования валютного курса;</w:t>
      </w:r>
    </w:p>
    <w:p w:rsidR="004E1EB7" w:rsidRPr="00BC59CB" w:rsidRDefault="004E1EB7" w:rsidP="00BC59CB">
      <w:pPr>
        <w:keepNext/>
        <w:widowControl w:val="0"/>
        <w:numPr>
          <w:ilvl w:val="0"/>
          <w:numId w:val="44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трудности, связанные с формированием нового канала трансмиссии по процентной ставке, который становится не слабым или неопределенно действующим, а основным. Под каналом трансмиссии понимается воздействие на показатель инфляции таких основных монетарных факторов, как</w:t>
      </w:r>
      <w:r w:rsidR="00E71292" w:rsidRP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объемы кредитования либо агрегаты денежной массы (прежде всего,</w:t>
      </w:r>
      <w:r w:rsidR="00E71292" w:rsidRPr="00BC59CB">
        <w:rPr>
          <w:sz w:val="28"/>
          <w:szCs w:val="28"/>
        </w:rPr>
        <w:t xml:space="preserve"> </w:t>
      </w:r>
      <w:r w:rsidRPr="00BC59CB">
        <w:rPr>
          <w:sz w:val="28"/>
          <w:szCs w:val="28"/>
        </w:rPr>
        <w:t>денежной базы); изменения валютного курса; изменения процентных ставок денежного рынка.</w:t>
      </w:r>
    </w:p>
    <w:p w:rsidR="004E1EB7" w:rsidRPr="00BC59CB" w:rsidRDefault="004E1EB7" w:rsidP="00BC59CB">
      <w:pPr>
        <w:keepNext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Таким образом, существуют три канала трансмиссии: денежный,</w:t>
      </w:r>
      <w:r w:rsid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курсовой и процентный. В странах с переходной экономикой наиболее апробированы модели двух первых каналов трансмиссии, дающие количественные (измеряемые при помощи математических методов) зависимости инфляции от изменений денежных агрегатов и валютного курса, тогда как зависимость инфляции от изменений процентных ставок не улавливается по причине либо слабого воздействия ставки процента на поведение хозяйствующих субъектов в условиях относительно высокой инфляции, либо административного давления в сфере принятия решений.</w:t>
      </w:r>
    </w:p>
    <w:p w:rsidR="004E1EB7" w:rsidRPr="00BC59CB" w:rsidRDefault="004E1EB7" w:rsidP="00BC59CB">
      <w:pPr>
        <w:keepNext/>
        <w:widowControl w:val="0"/>
        <w:shd w:val="clear" w:color="auto" w:fill="FFFFFF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Обычно для полного внедрения и аналитического освоения стратегии инфляционного таргетирования требуется как минимум 2—3 года. Отсутствие фактических данных на первых порах будет препятствовать формированию математических моделей прогноза, которые требуют временных рядов данных в сопоставимых условиях. Здесь придется столкнуться с определенным противоречием. Построение работающих аналитических и прогностических моделей невозможно до полного внедрения этой стратегии, иначе их основные параметры будут отражать логику предыдущих стратегий, мало полезную в новых условиях. А это значит, что проблемы переходного периода в этой части неизбежны.</w:t>
      </w:r>
    </w:p>
    <w:p w:rsidR="00A95A66" w:rsidRPr="00243317" w:rsidRDefault="00BC59CB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5A66" w:rsidRPr="00243317">
        <w:rPr>
          <w:b/>
          <w:sz w:val="28"/>
          <w:szCs w:val="28"/>
        </w:rPr>
        <w:t xml:space="preserve">2. </w:t>
      </w:r>
      <w:r w:rsidR="00E71292" w:rsidRPr="00243317">
        <w:rPr>
          <w:b/>
          <w:sz w:val="28"/>
          <w:szCs w:val="28"/>
        </w:rPr>
        <w:t>Современная кредитная система Мексики</w:t>
      </w:r>
    </w:p>
    <w:p w:rsidR="004E1EB7" w:rsidRPr="00BC59CB" w:rsidRDefault="004E1EB7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A95A66" w:rsidRPr="00BC59CB" w:rsidRDefault="00A95A66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Финансовые системы развивающихся стран Америки имеют много общего и тесно связаны между собой. На крупнейшие страны региона — Бразилию, Мексику, Аргентину и Чили — приходится 90% его финансовой структуры. Согласно статистическим данным количество банков в этих странах превышает 400 единиц, их собственные капиталы составляют 50 млрд долларов, депозиты — 265 млрд долларов, кредиты — 300 млрд долларов. Банковская сеть включает 20 тыс. филиалов и обеспечивает работой 600 тыс. человек.</w:t>
      </w:r>
    </w:p>
    <w:p w:rsidR="00A95A66" w:rsidRPr="00BC59CB" w:rsidRDefault="00A95A66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Являясь частью мировой финансовой системы, финансовая система региона, состоящего из развивающихся стран, в числе первых подвергается воздействиям различных неблагоприятных факторов. Ряд кризисов 1995—1998 годов оказал серьёзное воздействие на структуру и общее состояние финансовых и, в частности, банковских секторов латиноамериканских стран.</w:t>
      </w:r>
    </w:p>
    <w:p w:rsidR="00A95A66" w:rsidRPr="00BC59CB" w:rsidRDefault="00A95A66" w:rsidP="00BC59CB">
      <w:pPr>
        <w:keepNext/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Для стран региона характерно парадоксальное сочетание низкого уровня банковского обслуживания экономических агентов наряду с перенасыщенностью финансовыми институтами, большинство из которых неконкурентоспособно в условиях рыночной экономики. </w:t>
      </w:r>
    </w:p>
    <w:p w:rsidR="000A1172" w:rsidRPr="00BC59CB" w:rsidRDefault="000A1172" w:rsidP="00BC59CB">
      <w:pPr>
        <w:pStyle w:val="4"/>
        <w:spacing w:before="0" w:after="0" w:line="360" w:lineRule="auto"/>
        <w:ind w:firstLine="709"/>
        <w:jc w:val="both"/>
        <w:rPr>
          <w:b w:val="0"/>
          <w:snapToGrid w:val="0"/>
        </w:rPr>
      </w:pPr>
      <w:r w:rsidRPr="00BC59CB">
        <w:rPr>
          <w:b w:val="0"/>
        </w:rPr>
        <w:t>В первой половине 80-х годов мексиканская экономика нахо</w:t>
      </w:r>
      <w:r w:rsidRPr="00BC59CB">
        <w:rPr>
          <w:b w:val="0"/>
          <w:snapToGrid w:val="0"/>
        </w:rPr>
        <w:t>дилась в кризисном состоянии, усугубленном острейшим кризисом внешней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задолженности,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нарастающей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инфляцией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и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массовым бегством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частных капиталов из страны. К тому же особенностью развития Мексики традиционно были довольно сильные позиции государства в экономике, жесткая регламентация режима деятельности иностранных банков, суровая централизованность</w:t>
      </w:r>
      <w:r w:rsidRPr="00BC59CB">
        <w:rPr>
          <w:b w:val="0"/>
          <w:snapToGrid w:val="0"/>
          <w:lang w:val="uk-UA"/>
        </w:rPr>
        <w:t xml:space="preserve"> </w:t>
      </w:r>
      <w:r w:rsidRPr="00BC59CB">
        <w:rPr>
          <w:b w:val="0"/>
          <w:snapToGrid w:val="0"/>
        </w:rPr>
        <w:t>государственного регулирования деятельности национальных банков. В этих условиях правительство начало проводить экономическую реформу.</w:t>
      </w:r>
    </w:p>
    <w:p w:rsidR="000A1172" w:rsidRPr="00BC59CB" w:rsidRDefault="000A1172" w:rsidP="00BC59CB">
      <w:pPr>
        <w:pStyle w:val="4"/>
        <w:spacing w:before="0" w:after="0" w:line="360" w:lineRule="auto"/>
        <w:ind w:firstLine="709"/>
        <w:jc w:val="both"/>
        <w:rPr>
          <w:b w:val="0"/>
          <w:snapToGrid w:val="0"/>
        </w:rPr>
      </w:pPr>
      <w:r w:rsidRPr="00BC59CB">
        <w:rPr>
          <w:b w:val="0"/>
          <w:snapToGrid w:val="0"/>
        </w:rPr>
        <w:t>В результате антикризисных мероприятий правительства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начался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поворот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финансово-экономической политики в сторону модернизации и либерализации экономики,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развития рыночных механизмов, а также большой "открытости" экономики и интегрированности ее в мировое хозяйство. Остановимся на основных моментах стабилизационной политики Мексики.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Регулирование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денежного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обращения мексиканское правительство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и центральный банк страны - Банк Мексики - старались использовать как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инструмент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реструктивной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монетарной политики и придерживаться следующих положений: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денежная масса в обращении не должна была превышать более чем в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четыре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раза стоимость официальных инвалютных резервов страны; лимиты финансирования, предоставляемого Банком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Мексики, определялись "потолком" (максимальной суммой, который устанавливался конгрессом ежегодно при рассмотрении федерального бюджета. Кредитные рестрикции обеспечивались довольно жестким регулированием финансовых операций мексиканских коммерческих банков, особенно в форме режима "обязательных вложений", который применялся до недавнего времени.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Помимо обычных резервных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требований,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для мексиканских банков был увеличен размер обязательных специальных депозитов в Банке Мексики, а также размер нормативов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селективного отраслевого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кредита и так называемый коэффициент обязательной ликвидности (покупка федеральных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ценных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бумаг). Вплоть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до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1989 года регулированию подлежали ставки процентов по пассивным операциям коммерческих банков.</w:t>
      </w:r>
    </w:p>
    <w:p w:rsidR="000A1172" w:rsidRPr="00BC59CB" w:rsidRDefault="000A1172" w:rsidP="00BC59CB">
      <w:pPr>
        <w:pStyle w:val="4"/>
        <w:spacing w:before="0" w:after="0" w:line="360" w:lineRule="auto"/>
        <w:ind w:firstLine="709"/>
        <w:jc w:val="both"/>
        <w:rPr>
          <w:b w:val="0"/>
          <w:snapToGrid w:val="0"/>
        </w:rPr>
      </w:pPr>
      <w:r w:rsidRPr="00BC59CB">
        <w:rPr>
          <w:b w:val="0"/>
          <w:snapToGrid w:val="0"/>
        </w:rPr>
        <w:t>Денежно-кредитное регулирование в Мексике традиционно было довольно жестким и сложным. Кредитным учреждениям приписывалось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обязательное кредитование приоритетных (с точки зрения государственных экономических программ) отраслей.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Административному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регулированию подлежали также ставки банковского процента и кассовая наличность банков. "Зарегулированность " банковской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деятельности существенно ограничивала финансовую базу для активных операций, сужала маневренность банков. Поэтому в конце 80-х годов начинается постепенный переход к ослаблению государственной регламентации банковской сферы. Были "опущены" банковские ставки, также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были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отменены некоторые нормативы обязательного страхования.</w:t>
      </w:r>
      <w:r w:rsidR="00BC59CB">
        <w:rPr>
          <w:b w:val="0"/>
          <w:snapToGrid w:val="0"/>
        </w:rPr>
        <w:t xml:space="preserve"> </w:t>
      </w:r>
      <w:r w:rsidRPr="00BC59CB">
        <w:rPr>
          <w:b w:val="0"/>
          <w:snapToGrid w:val="0"/>
        </w:rPr>
        <w:t>Однако при этом в 1990 году вводилась такая форма регулирования, как "коэффициент обязательной ликвидности" в национальной валюте в виде государственных ценных бумаг ("бон экономического развития").</w:t>
      </w:r>
    </w:p>
    <w:p w:rsidR="000A1172" w:rsidRPr="00BC59CB" w:rsidRDefault="000A1172" w:rsidP="00BC59CB">
      <w:pPr>
        <w:pStyle w:val="4"/>
        <w:spacing w:before="0" w:after="0" w:line="360" w:lineRule="auto"/>
        <w:ind w:firstLine="709"/>
        <w:jc w:val="both"/>
        <w:rPr>
          <w:b w:val="0"/>
        </w:rPr>
      </w:pPr>
      <w:r w:rsidRPr="00BC59CB">
        <w:rPr>
          <w:b w:val="0"/>
        </w:rPr>
        <w:t>В 1991 году ситуация в кредитной сфере заметно изменилась: началась активная приватизация банков, потребовавшая больших сумм наличности, и банковских кредитов. Спрос на кредит</w:t>
      </w:r>
      <w:r w:rsidR="00BC59CB">
        <w:rPr>
          <w:b w:val="0"/>
        </w:rPr>
        <w:t xml:space="preserve"> </w:t>
      </w:r>
      <w:r w:rsidRPr="00BC59CB">
        <w:rPr>
          <w:b w:val="0"/>
        </w:rPr>
        <w:t>резко</w:t>
      </w:r>
      <w:r w:rsidR="00BC59CB">
        <w:rPr>
          <w:b w:val="0"/>
        </w:rPr>
        <w:t xml:space="preserve"> </w:t>
      </w:r>
      <w:r w:rsidRPr="00BC59CB">
        <w:rPr>
          <w:b w:val="0"/>
        </w:rPr>
        <w:t>возрос. В таких условиях коэффициент обязательной ликвидности становился нежелательным ограничителем банковской маневренности.</w:t>
      </w:r>
      <w:r w:rsidR="00BC59CB">
        <w:rPr>
          <w:b w:val="0"/>
        </w:rPr>
        <w:t xml:space="preserve"> </w:t>
      </w:r>
      <w:r w:rsidRPr="00BC59CB">
        <w:rPr>
          <w:b w:val="0"/>
        </w:rPr>
        <w:t>Отмене его (в октябре 1991 года) способствовал и такой фактор,</w:t>
      </w:r>
      <w:r w:rsidR="00BC59CB">
        <w:rPr>
          <w:b w:val="0"/>
        </w:rPr>
        <w:t xml:space="preserve"> </w:t>
      </w:r>
      <w:r w:rsidRPr="00BC59CB">
        <w:rPr>
          <w:b w:val="0"/>
        </w:rPr>
        <w:t>как бездефицитный государственный бюджет,</w:t>
      </w:r>
      <w:r w:rsidR="00BC59CB">
        <w:rPr>
          <w:b w:val="0"/>
        </w:rPr>
        <w:t xml:space="preserve"> </w:t>
      </w:r>
      <w:r w:rsidRPr="00BC59CB">
        <w:rPr>
          <w:b w:val="0"/>
        </w:rPr>
        <w:t>не требующий теперь принудительного вложения банковских средств в правительственные ценные бумаги. Отмена вышеуказанного инструмента банковского регулирования проводилась почти одновременно с введением другого регулирующего показателя-</w:t>
      </w:r>
      <w:r w:rsidR="00BC59CB">
        <w:rPr>
          <w:b w:val="0"/>
        </w:rPr>
        <w:t xml:space="preserve"> </w:t>
      </w:r>
      <w:r w:rsidRPr="00BC59CB">
        <w:rPr>
          <w:b w:val="0"/>
        </w:rPr>
        <w:t>"коэффициента инвалютной ликвидности", который предписывал банкам держать часть своих пассивов в иностранной валюте в виде правительственных ценных бумаг. Данная политика была вызвана опасениями центральных банковских властей, что обильный приток в Мексику иностранных капиталов, а также частных мексиканских капиталов из-за рубежа, репатриация так называемых "беглых" капиталов из зарубежных</w:t>
      </w:r>
      <w:r w:rsidR="00BC59CB">
        <w:rPr>
          <w:b w:val="0"/>
        </w:rPr>
        <w:t xml:space="preserve"> </w:t>
      </w:r>
      <w:r w:rsidRPr="00BC59CB">
        <w:rPr>
          <w:b w:val="0"/>
        </w:rPr>
        <w:t>банков могут иметь некоторый инфляционный эффект и влияние на денежную массу в обращении.</w:t>
      </w:r>
    </w:p>
    <w:p w:rsidR="00D74460" w:rsidRPr="00BC59CB" w:rsidRDefault="006C68CD" w:rsidP="00BC59CB">
      <w:pPr>
        <w:pStyle w:val="4"/>
        <w:spacing w:before="0" w:after="0" w:line="360" w:lineRule="auto"/>
        <w:ind w:firstLine="709"/>
        <w:jc w:val="center"/>
        <w:rPr>
          <w:lang w:val="uk-UA"/>
        </w:rPr>
      </w:pPr>
      <w:r w:rsidRPr="00BC59CB">
        <w:rPr>
          <w:b w:val="0"/>
        </w:rPr>
        <w:br w:type="page"/>
      </w:r>
      <w:r w:rsidR="00D74460" w:rsidRPr="00BC59CB">
        <w:t>СПИСОК ЛИТЕРАТУРЫ</w:t>
      </w:r>
    </w:p>
    <w:p w:rsidR="00D74460" w:rsidRPr="00BC59CB" w:rsidRDefault="00D74460" w:rsidP="00BC59CB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Алехин Б.И. Кредитно-денежная политика. М. 2004. </w:t>
      </w:r>
    </w:p>
    <w:p w:rsidR="00C72D99" w:rsidRPr="00BC59CB" w:rsidRDefault="00C72D99" w:rsidP="00BC59CB">
      <w:pPr>
        <w:pStyle w:val="a3"/>
        <w:keepNext/>
        <w:widowControl w:val="0"/>
        <w:numPr>
          <w:ilvl w:val="0"/>
          <w:numId w:val="47"/>
        </w:numPr>
        <w:spacing w:line="360" w:lineRule="auto"/>
        <w:ind w:left="0" w:firstLine="0"/>
        <w:jc w:val="both"/>
        <w:rPr>
          <w:szCs w:val="28"/>
        </w:rPr>
      </w:pPr>
      <w:r w:rsidRPr="00BC59CB">
        <w:rPr>
          <w:szCs w:val="28"/>
        </w:rPr>
        <w:t>Банковское дело</w:t>
      </w:r>
      <w:r w:rsidRPr="00BC59CB">
        <w:rPr>
          <w:szCs w:val="28"/>
        </w:rPr>
        <w:sym w:font="Symbol" w:char="F03A"/>
      </w:r>
      <w:r w:rsidRPr="00BC59CB">
        <w:rPr>
          <w:szCs w:val="28"/>
        </w:rPr>
        <w:t xml:space="preserve"> Учебник./Под редакцией Кроливецкой, Белоглазовой Г.Н..- изд. 5-е, перераб. и дополненное.- М.</w:t>
      </w:r>
      <w:r w:rsidRPr="00BC59CB">
        <w:rPr>
          <w:szCs w:val="28"/>
        </w:rPr>
        <w:sym w:font="Symbol" w:char="F03A"/>
      </w:r>
      <w:r w:rsidRPr="00BC59CB">
        <w:rPr>
          <w:szCs w:val="28"/>
        </w:rPr>
        <w:t xml:space="preserve"> «Финансы и статистика», 2000.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Боровков</w:t>
      </w:r>
      <w:r w:rsidRP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А.Н. , И.К. Шереметьев. Мексика на новом повороте экономического и политического развития. – М.: ИЛА РАН, 1999.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Долан Э.Дж., Кэмпбэлл К.Д., Кэмпбэлл Р.Дж. Деньги, банковское дело и денежно-кредитная политика. СПб. 1994.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Кондрашова</w:t>
      </w:r>
      <w:r w:rsidRPr="00BC59CB">
        <w:rPr>
          <w:sz w:val="28"/>
          <w:szCs w:val="28"/>
          <w:lang w:val="uk-UA"/>
        </w:rPr>
        <w:t xml:space="preserve"> </w:t>
      </w:r>
      <w:r w:rsidRPr="00BC59CB">
        <w:rPr>
          <w:sz w:val="28"/>
          <w:szCs w:val="28"/>
        </w:rPr>
        <w:t>М. И. . “Свет” и “тени” мексиканской реформы. - Латинская Америка, № 1, 199</w:t>
      </w:r>
      <w:r w:rsidRPr="00BC59CB">
        <w:rPr>
          <w:sz w:val="28"/>
          <w:szCs w:val="28"/>
          <w:lang w:val="uk-UA"/>
        </w:rPr>
        <w:t>9</w:t>
      </w:r>
      <w:r w:rsidRPr="00BC59CB">
        <w:rPr>
          <w:sz w:val="28"/>
          <w:szCs w:val="28"/>
        </w:rPr>
        <w:t>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Левченко Д.В. Выбор целей денежно-кредитной политики в условиях развития рыночных отношений. Автореферат дисс. к.э.н. М. 2002.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Миллер Р.Л., Ван-Хуз Д.Д. Современные деньги и банковское дело. М. 2000.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Моисеев С.Р. Денежно-кредитная политика: теория и практика. М. 2005.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Поляков В.П., Московкина Л..А. Структура и функции центральных банков. Зарубежный опыт. М. 1996.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Рогова О.Л. Стратегический потенциал денежно-кредитной системы страны //Формирование национальной финансовой стратегии России: путь к подъему и благосостоянию /Под. Ред. В.К. Сенчагова. М. 2004. С. 111-137. 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Родионов С.С., Бабичева Ю.А. Денежно-кредитное регулирование капиталистической экономики. М. 1991. 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Савин С.А. Денежно-кредитная политика: стратегия и тактика. Красноярск. 1999.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>Селищев А.С. Макроэкономика. 3-е изд. СПб. 2005.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 Соколов А.А, Основные принципы денежно-кредитной политики. М. 1927. </w:t>
      </w:r>
    </w:p>
    <w:p w:rsidR="00C72D99" w:rsidRPr="00BC59CB" w:rsidRDefault="00C72D99" w:rsidP="00BC59CB">
      <w:pPr>
        <w:keepNext/>
        <w:widowControl w:val="0"/>
        <w:numPr>
          <w:ilvl w:val="0"/>
          <w:numId w:val="47"/>
        </w:numPr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BC59CB">
        <w:rPr>
          <w:sz w:val="28"/>
          <w:szCs w:val="28"/>
        </w:rPr>
        <w:t xml:space="preserve">Сурков М.С., Яремчук Н.В. Институты и инструменты бюджетно-налогового и денежно-кредитного регулирования экономики. М. 2004. </w:t>
      </w:r>
      <w:bookmarkStart w:id="0" w:name="_GoBack"/>
      <w:bookmarkEnd w:id="0"/>
    </w:p>
    <w:sectPr w:rsidR="00C72D99" w:rsidRPr="00BC59CB" w:rsidSect="00BC59CB">
      <w:footerReference w:type="even" r:id="rId7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063" w:rsidRDefault="00E64063">
      <w:pPr>
        <w:widowControl w:val="0"/>
        <w:autoSpaceDE w:val="0"/>
        <w:autoSpaceDN w:val="0"/>
        <w:adjustRightInd w:val="0"/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E64063" w:rsidRDefault="00E64063">
      <w:pPr>
        <w:widowControl w:val="0"/>
        <w:autoSpaceDE w:val="0"/>
        <w:autoSpaceDN w:val="0"/>
        <w:adjustRightInd w:val="0"/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DD" w:rsidRDefault="006861DD" w:rsidP="006861DD">
    <w:pPr>
      <w:pStyle w:val="a7"/>
      <w:framePr w:wrap="around" w:vAnchor="text" w:hAnchor="margin" w:xAlign="right" w:y="1"/>
      <w:rPr>
        <w:rStyle w:val="a9"/>
      </w:rPr>
    </w:pPr>
  </w:p>
  <w:p w:rsidR="006861DD" w:rsidRDefault="006861DD" w:rsidP="006861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063" w:rsidRDefault="00E64063">
      <w:pPr>
        <w:widowControl w:val="0"/>
        <w:autoSpaceDE w:val="0"/>
        <w:autoSpaceDN w:val="0"/>
        <w:adjustRightInd w:val="0"/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E64063" w:rsidRDefault="00E64063">
      <w:pPr>
        <w:widowControl w:val="0"/>
        <w:autoSpaceDE w:val="0"/>
        <w:autoSpaceDN w:val="0"/>
        <w:adjustRightInd w:val="0"/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AE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E0E2C934"/>
    <w:lvl w:ilvl="0">
      <w:numFmt w:val="bullet"/>
      <w:lvlText w:val="*"/>
      <w:lvlJc w:val="left"/>
    </w:lvl>
  </w:abstractNum>
  <w:abstractNum w:abstractNumId="2">
    <w:nsid w:val="053D2FF6"/>
    <w:multiLevelType w:val="hybridMultilevel"/>
    <w:tmpl w:val="3B2462E0"/>
    <w:lvl w:ilvl="0" w:tplc="0E645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32A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BD725A"/>
    <w:multiLevelType w:val="hybridMultilevel"/>
    <w:tmpl w:val="37845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C37DC9"/>
    <w:multiLevelType w:val="multilevel"/>
    <w:tmpl w:val="F7D691D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CA0E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C423D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0C5886"/>
    <w:multiLevelType w:val="hybridMultilevel"/>
    <w:tmpl w:val="945AE6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F04D96"/>
    <w:multiLevelType w:val="hybridMultilevel"/>
    <w:tmpl w:val="0C64D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F41293"/>
    <w:multiLevelType w:val="multilevel"/>
    <w:tmpl w:val="417C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E16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5A71E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287A7C88"/>
    <w:multiLevelType w:val="hybridMultilevel"/>
    <w:tmpl w:val="6794FE1A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14">
    <w:nsid w:val="2FEE73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FD15DC"/>
    <w:multiLevelType w:val="multilevel"/>
    <w:tmpl w:val="F0D497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40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16">
    <w:nsid w:val="31B532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4D73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9021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AD008D9"/>
    <w:multiLevelType w:val="hybridMultilevel"/>
    <w:tmpl w:val="E676DF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D86C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E417701"/>
    <w:multiLevelType w:val="hybridMultilevel"/>
    <w:tmpl w:val="723E3D74"/>
    <w:lvl w:ilvl="0" w:tplc="CAAE0DFA">
      <w:start w:val="1"/>
      <w:numFmt w:val="bullet"/>
      <w:lvlText w:val=""/>
      <w:lvlJc w:val="left"/>
      <w:pPr>
        <w:tabs>
          <w:tab w:val="num" w:pos="1627"/>
        </w:tabs>
        <w:ind w:left="162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FB722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38D473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AD3E3B"/>
    <w:multiLevelType w:val="hybridMultilevel"/>
    <w:tmpl w:val="55E80E6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9A36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C7F63B8"/>
    <w:multiLevelType w:val="hybridMultilevel"/>
    <w:tmpl w:val="D37E1B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452EEA"/>
    <w:multiLevelType w:val="hybridMultilevel"/>
    <w:tmpl w:val="504A83B2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CF59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36C0CE7"/>
    <w:multiLevelType w:val="hybridMultilevel"/>
    <w:tmpl w:val="58542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49179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62C17AC"/>
    <w:multiLevelType w:val="multilevel"/>
    <w:tmpl w:val="D1727FD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1"/>
        </w:tabs>
        <w:ind w:left="12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28"/>
        </w:tabs>
        <w:ind w:left="18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15"/>
        </w:tabs>
        <w:ind w:left="20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2"/>
        </w:tabs>
        <w:ind w:left="25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49"/>
        </w:tabs>
        <w:ind w:left="274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96"/>
        </w:tabs>
        <w:ind w:left="3296" w:hanging="1800"/>
      </w:pPr>
      <w:rPr>
        <w:rFonts w:cs="Times New Roman" w:hint="default"/>
      </w:rPr>
    </w:lvl>
  </w:abstractNum>
  <w:abstractNum w:abstractNumId="32">
    <w:nsid w:val="56CD4998"/>
    <w:multiLevelType w:val="multilevel"/>
    <w:tmpl w:val="476E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2762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7B532A"/>
    <w:multiLevelType w:val="multilevel"/>
    <w:tmpl w:val="F7D691D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AE527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3E04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9023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0013BA"/>
    <w:multiLevelType w:val="multilevel"/>
    <w:tmpl w:val="3DB0D690"/>
    <w:lvl w:ilvl="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19E7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3154AE1"/>
    <w:multiLevelType w:val="hybridMultilevel"/>
    <w:tmpl w:val="B0206078"/>
    <w:lvl w:ilvl="0" w:tplc="CAAE0DFA">
      <w:start w:val="1"/>
      <w:numFmt w:val="bullet"/>
      <w:lvlText w:val=""/>
      <w:lvlJc w:val="left"/>
      <w:pPr>
        <w:tabs>
          <w:tab w:val="num" w:pos="1627"/>
        </w:tabs>
        <w:ind w:left="162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D6C7349"/>
    <w:multiLevelType w:val="hybridMultilevel"/>
    <w:tmpl w:val="EB081B24"/>
    <w:lvl w:ilvl="0" w:tplc="CAAE0DFA">
      <w:start w:val="1"/>
      <w:numFmt w:val="bullet"/>
      <w:lvlText w:val=""/>
      <w:lvlJc w:val="left"/>
      <w:pPr>
        <w:tabs>
          <w:tab w:val="num" w:pos="1627"/>
        </w:tabs>
        <w:ind w:left="162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FF65D89"/>
    <w:multiLevelType w:val="hybridMultilevel"/>
    <w:tmpl w:val="476EB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7"/>
  </w:num>
  <w:num w:numId="4">
    <w:abstractNumId w:val="40"/>
  </w:num>
  <w:num w:numId="5">
    <w:abstractNumId w:val="41"/>
  </w:num>
  <w:num w:numId="6">
    <w:abstractNumId w:val="21"/>
  </w:num>
  <w:num w:numId="7">
    <w:abstractNumId w:val="8"/>
  </w:num>
  <w:num w:numId="8">
    <w:abstractNumId w:val="19"/>
  </w:num>
  <w:num w:numId="9">
    <w:abstractNumId w:val="24"/>
  </w:num>
  <w:num w:numId="10">
    <w:abstractNumId w:val="26"/>
  </w:num>
  <w:num w:numId="11">
    <w:abstractNumId w:val="10"/>
  </w:num>
  <w:num w:numId="12">
    <w:abstractNumId w:val="38"/>
  </w:num>
  <w:num w:numId="13">
    <w:abstractNumId w:val="12"/>
  </w:num>
  <w:num w:numId="14">
    <w:abstractNumId w:val="23"/>
  </w:num>
  <w:num w:numId="15">
    <w:abstractNumId w:val="22"/>
  </w:num>
  <w:num w:numId="16">
    <w:abstractNumId w:val="7"/>
  </w:num>
  <w:num w:numId="17">
    <w:abstractNumId w:val="25"/>
  </w:num>
  <w:num w:numId="18">
    <w:abstractNumId w:val="28"/>
  </w:num>
  <w:num w:numId="19">
    <w:abstractNumId w:val="6"/>
  </w:num>
  <w:num w:numId="20">
    <w:abstractNumId w:val="30"/>
  </w:num>
  <w:num w:numId="21">
    <w:abstractNumId w:val="17"/>
  </w:num>
  <w:num w:numId="22">
    <w:abstractNumId w:val="37"/>
  </w:num>
  <w:num w:numId="23">
    <w:abstractNumId w:val="11"/>
  </w:num>
  <w:num w:numId="24">
    <w:abstractNumId w:val="35"/>
  </w:num>
  <w:num w:numId="25">
    <w:abstractNumId w:val="3"/>
  </w:num>
  <w:num w:numId="26">
    <w:abstractNumId w:val="16"/>
  </w:num>
  <w:num w:numId="27">
    <w:abstractNumId w:val="33"/>
  </w:num>
  <w:num w:numId="28">
    <w:abstractNumId w:val="20"/>
  </w:num>
  <w:num w:numId="29">
    <w:abstractNumId w:val="14"/>
  </w:num>
  <w:num w:numId="30">
    <w:abstractNumId w:val="18"/>
  </w:num>
  <w:num w:numId="31">
    <w:abstractNumId w:val="34"/>
  </w:num>
  <w:num w:numId="32">
    <w:abstractNumId w:val="39"/>
  </w:num>
  <w:num w:numId="33">
    <w:abstractNumId w:val="36"/>
  </w:num>
  <w:num w:numId="34">
    <w:abstractNumId w:val="31"/>
  </w:num>
  <w:num w:numId="35">
    <w:abstractNumId w:val="0"/>
  </w:num>
  <w:num w:numId="36">
    <w:abstractNumId w:val="13"/>
  </w:num>
  <w:num w:numId="37">
    <w:abstractNumId w:val="5"/>
  </w:num>
  <w:num w:numId="38">
    <w:abstractNumId w:val="42"/>
  </w:num>
  <w:num w:numId="39">
    <w:abstractNumId w:val="9"/>
  </w:num>
  <w:num w:numId="40">
    <w:abstractNumId w:val="4"/>
  </w:num>
  <w:num w:numId="41">
    <w:abstractNumId w:val="15"/>
  </w:num>
  <w:num w:numId="42">
    <w:abstractNumId w:val="1"/>
    <w:lvlOverride w:ilvl="0">
      <w:lvl w:ilvl="0">
        <w:numFmt w:val="bullet"/>
        <w:lvlText w:val="—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43">
    <w:abstractNumId w:val="1"/>
    <w:lvlOverride w:ilvl="0">
      <w:lvl w:ilvl="0">
        <w:numFmt w:val="bullet"/>
        <w:lvlText w:val="—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44">
    <w:abstractNumId w:val="1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45">
    <w:abstractNumId w:val="32"/>
  </w:num>
  <w:num w:numId="46">
    <w:abstractNumId w:val="2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3F4"/>
    <w:rsid w:val="0000165B"/>
    <w:rsid w:val="0000579E"/>
    <w:rsid w:val="00060037"/>
    <w:rsid w:val="000A1172"/>
    <w:rsid w:val="000A6A01"/>
    <w:rsid w:val="001043F4"/>
    <w:rsid w:val="00106841"/>
    <w:rsid w:val="00156D89"/>
    <w:rsid w:val="001A4F5C"/>
    <w:rsid w:val="001F5220"/>
    <w:rsid w:val="002265FB"/>
    <w:rsid w:val="00243317"/>
    <w:rsid w:val="00264B06"/>
    <w:rsid w:val="002879F1"/>
    <w:rsid w:val="00372A30"/>
    <w:rsid w:val="00393476"/>
    <w:rsid w:val="003B77CF"/>
    <w:rsid w:val="003D35D9"/>
    <w:rsid w:val="003F121E"/>
    <w:rsid w:val="004362E1"/>
    <w:rsid w:val="004B0CE9"/>
    <w:rsid w:val="004E1EB7"/>
    <w:rsid w:val="00523517"/>
    <w:rsid w:val="005362FA"/>
    <w:rsid w:val="00560272"/>
    <w:rsid w:val="00566C1B"/>
    <w:rsid w:val="005B232E"/>
    <w:rsid w:val="005C68C7"/>
    <w:rsid w:val="00662FF3"/>
    <w:rsid w:val="006861DD"/>
    <w:rsid w:val="006C68CD"/>
    <w:rsid w:val="006E7425"/>
    <w:rsid w:val="00733E88"/>
    <w:rsid w:val="00790AF6"/>
    <w:rsid w:val="00800774"/>
    <w:rsid w:val="0088475C"/>
    <w:rsid w:val="008E5394"/>
    <w:rsid w:val="00931361"/>
    <w:rsid w:val="00945FB9"/>
    <w:rsid w:val="00986456"/>
    <w:rsid w:val="009A6FF6"/>
    <w:rsid w:val="009F0AE7"/>
    <w:rsid w:val="00A235FE"/>
    <w:rsid w:val="00A27214"/>
    <w:rsid w:val="00A36E15"/>
    <w:rsid w:val="00A57E4B"/>
    <w:rsid w:val="00A7050A"/>
    <w:rsid w:val="00A877EB"/>
    <w:rsid w:val="00A95A66"/>
    <w:rsid w:val="00AA3059"/>
    <w:rsid w:val="00AA5A6C"/>
    <w:rsid w:val="00AF0945"/>
    <w:rsid w:val="00B31335"/>
    <w:rsid w:val="00B44D94"/>
    <w:rsid w:val="00B5379C"/>
    <w:rsid w:val="00BC59CB"/>
    <w:rsid w:val="00BD3159"/>
    <w:rsid w:val="00C30337"/>
    <w:rsid w:val="00C410B6"/>
    <w:rsid w:val="00C72D99"/>
    <w:rsid w:val="00CD0BA6"/>
    <w:rsid w:val="00D24E49"/>
    <w:rsid w:val="00D37452"/>
    <w:rsid w:val="00D70E00"/>
    <w:rsid w:val="00D74460"/>
    <w:rsid w:val="00D91D88"/>
    <w:rsid w:val="00DA506A"/>
    <w:rsid w:val="00DE128F"/>
    <w:rsid w:val="00DF08B4"/>
    <w:rsid w:val="00E036A4"/>
    <w:rsid w:val="00E33B3F"/>
    <w:rsid w:val="00E64063"/>
    <w:rsid w:val="00E71292"/>
    <w:rsid w:val="00F406C9"/>
    <w:rsid w:val="00F46062"/>
    <w:rsid w:val="00F72F85"/>
    <w:rsid w:val="00F74AFA"/>
    <w:rsid w:val="00FB12A2"/>
    <w:rsid w:val="00FC7380"/>
    <w:rsid w:val="00FD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5397DE-6B25-4F9B-AC94-4D7EF2BA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7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DE128F"/>
    <w:pPr>
      <w:keepNext/>
      <w:overflowPunct w:val="0"/>
      <w:autoSpaceDE w:val="0"/>
      <w:autoSpaceDN w:val="0"/>
      <w:adjustRightInd w:val="0"/>
      <w:spacing w:before="240" w:after="60"/>
      <w:jc w:val="center"/>
      <w:outlineLvl w:val="0"/>
    </w:pPr>
    <w:rPr>
      <w:rFonts w:ascii="Arial" w:hAnsi="Arial"/>
      <w:b/>
      <w:kern w:val="28"/>
      <w:sz w:val="36"/>
      <w:lang w:val="uk-UA"/>
    </w:rPr>
  </w:style>
  <w:style w:type="paragraph" w:styleId="20">
    <w:name w:val="heading 2"/>
    <w:basedOn w:val="a"/>
    <w:next w:val="a"/>
    <w:link w:val="21"/>
    <w:uiPriority w:val="99"/>
    <w:qFormat/>
    <w:rsid w:val="00DE128F"/>
    <w:pPr>
      <w:keepNext/>
      <w:overflowPunct w:val="0"/>
      <w:autoSpaceDE w:val="0"/>
      <w:autoSpaceDN w:val="0"/>
      <w:adjustRightInd w:val="0"/>
      <w:spacing w:before="240" w:after="60"/>
      <w:jc w:val="center"/>
      <w:outlineLvl w:val="1"/>
    </w:pPr>
    <w:rPr>
      <w:rFonts w:ascii="Arial" w:hAnsi="Arial"/>
      <w:b/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D91D8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91D88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128F"/>
    <w:pPr>
      <w:keepNext/>
      <w:spacing w:before="0" w:after="0"/>
      <w:jc w:val="center"/>
      <w:outlineLvl w:val="4"/>
    </w:pPr>
    <w:rPr>
      <w:sz w:val="36"/>
      <w:szCs w:val="24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D91D8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99"/>
    <w:qFormat/>
    <w:rsid w:val="00DE128F"/>
    <w:pPr>
      <w:spacing w:before="0" w:after="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DE128F"/>
    <w:pPr>
      <w:spacing w:before="0" w:after="0"/>
      <w:jc w:val="center"/>
    </w:pPr>
    <w:rPr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861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/>
    </w:pPr>
    <w:rPr>
      <w:sz w:val="20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0"/>
    </w:rPr>
  </w:style>
  <w:style w:type="character" w:styleId="a9">
    <w:name w:val="page number"/>
    <w:uiPriority w:val="99"/>
    <w:rsid w:val="006861DD"/>
    <w:rPr>
      <w:rFonts w:cs="Times New Roman"/>
    </w:rPr>
  </w:style>
  <w:style w:type="paragraph" w:styleId="aa">
    <w:name w:val="Body Text"/>
    <w:basedOn w:val="a"/>
    <w:link w:val="ab"/>
    <w:uiPriority w:val="99"/>
    <w:rsid w:val="00D91D88"/>
    <w:pPr>
      <w:spacing w:before="0" w:after="0"/>
      <w:jc w:val="both"/>
    </w:pPr>
    <w:rPr>
      <w:sz w:val="28"/>
      <w:szCs w:val="28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0"/>
    </w:rPr>
  </w:style>
  <w:style w:type="paragraph" w:styleId="ac">
    <w:name w:val="Body Text Indent"/>
    <w:basedOn w:val="a"/>
    <w:link w:val="ad"/>
    <w:uiPriority w:val="99"/>
    <w:rsid w:val="00D91D88"/>
    <w:pPr>
      <w:spacing w:before="0" w:after="0"/>
      <w:ind w:left="36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0"/>
    </w:rPr>
  </w:style>
  <w:style w:type="paragraph" w:styleId="22">
    <w:name w:val="Body Text Indent 2"/>
    <w:basedOn w:val="a"/>
    <w:link w:val="23"/>
    <w:uiPriority w:val="99"/>
    <w:rsid w:val="00D91D88"/>
    <w:pPr>
      <w:spacing w:before="0" w:after="0"/>
      <w:ind w:left="748" w:hanging="748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0"/>
    </w:rPr>
  </w:style>
  <w:style w:type="paragraph" w:styleId="24">
    <w:name w:val="Body Text 2"/>
    <w:basedOn w:val="a"/>
    <w:link w:val="25"/>
    <w:uiPriority w:val="99"/>
    <w:rsid w:val="00D91D88"/>
    <w:pPr>
      <w:spacing w:before="0" w:after="0"/>
    </w:pPr>
    <w:rPr>
      <w:sz w:val="28"/>
      <w:szCs w:val="28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0"/>
    </w:rPr>
  </w:style>
  <w:style w:type="paragraph" w:customStyle="1" w:styleId="ARTHUR">
    <w:name w:val="ARTHUR"/>
    <w:basedOn w:val="a"/>
    <w:uiPriority w:val="99"/>
    <w:rsid w:val="005C68C7"/>
    <w:pPr>
      <w:overflowPunct w:val="0"/>
      <w:autoSpaceDE w:val="0"/>
      <w:autoSpaceDN w:val="0"/>
      <w:adjustRightInd w:val="0"/>
      <w:spacing w:before="0" w:after="0"/>
      <w:ind w:left="737" w:right="567" w:firstLine="709"/>
      <w:jc w:val="both"/>
      <w:textAlignment w:val="baseline"/>
    </w:pPr>
    <w:rPr>
      <w:rFonts w:ascii="Pragmatica" w:hAnsi="Pragmatica"/>
      <w:sz w:val="20"/>
    </w:rPr>
  </w:style>
  <w:style w:type="paragraph" w:styleId="ae">
    <w:name w:val="endnote text"/>
    <w:basedOn w:val="a"/>
    <w:link w:val="af"/>
    <w:uiPriority w:val="99"/>
    <w:semiHidden/>
    <w:rsid w:val="008E5394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0"/>
    </w:rPr>
  </w:style>
  <w:style w:type="character" w:customStyle="1" w:styleId="af">
    <w:name w:val="Текст концевой сноски Знак"/>
    <w:link w:val="ae"/>
    <w:uiPriority w:val="99"/>
    <w:semiHidden/>
    <w:rPr>
      <w:sz w:val="20"/>
      <w:szCs w:val="20"/>
    </w:rPr>
  </w:style>
  <w:style w:type="character" w:styleId="af0">
    <w:name w:val="endnote reference"/>
    <w:uiPriority w:val="99"/>
    <w:semiHidden/>
    <w:rsid w:val="008E5394"/>
    <w:rPr>
      <w:rFonts w:cs="Times New Roman"/>
      <w:vertAlign w:val="superscript"/>
    </w:rPr>
  </w:style>
  <w:style w:type="paragraph" w:styleId="31">
    <w:name w:val="Body Text Indent 3"/>
    <w:basedOn w:val="a"/>
    <w:link w:val="32"/>
    <w:uiPriority w:val="99"/>
    <w:rsid w:val="00B44D94"/>
    <w:pPr>
      <w:widowControl w:val="0"/>
      <w:autoSpaceDE w:val="0"/>
      <w:autoSpaceDN w:val="0"/>
      <w:adjustRightInd w:val="0"/>
      <w:spacing w:before="0"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26">
    <w:name w:val="заголовок 2"/>
    <w:basedOn w:val="a"/>
    <w:next w:val="a"/>
    <w:uiPriority w:val="99"/>
    <w:rsid w:val="00B44D94"/>
    <w:pPr>
      <w:keepNext/>
      <w:widowControl w:val="0"/>
      <w:spacing w:before="0" w:after="0"/>
      <w:jc w:val="both"/>
    </w:pPr>
  </w:style>
  <w:style w:type="paragraph" w:customStyle="1" w:styleId="33">
    <w:name w:val="заголовок 3"/>
    <w:basedOn w:val="a"/>
    <w:next w:val="a"/>
    <w:uiPriority w:val="99"/>
    <w:rsid w:val="00B44D94"/>
    <w:pPr>
      <w:keepNext/>
      <w:widowControl w:val="0"/>
      <w:spacing w:before="0" w:after="0" w:line="221" w:lineRule="auto"/>
      <w:jc w:val="center"/>
    </w:pPr>
    <w:rPr>
      <w:b/>
    </w:rPr>
  </w:style>
  <w:style w:type="paragraph" w:styleId="2">
    <w:name w:val="List Bullet 2"/>
    <w:basedOn w:val="a"/>
    <w:autoRedefine/>
    <w:uiPriority w:val="99"/>
    <w:rsid w:val="00B44D94"/>
    <w:pPr>
      <w:widowControl w:val="0"/>
      <w:numPr>
        <w:numId w:val="3"/>
      </w:numPr>
      <w:tabs>
        <w:tab w:val="num" w:pos="1627"/>
      </w:tabs>
      <w:spacing w:before="0" w:after="0"/>
      <w:ind w:left="567" w:hanging="283"/>
      <w:jc w:val="both"/>
    </w:pPr>
    <w:rPr>
      <w:color w:val="000080"/>
    </w:rPr>
  </w:style>
  <w:style w:type="character" w:styleId="af1">
    <w:name w:val="Hyperlink"/>
    <w:uiPriority w:val="99"/>
    <w:rsid w:val="00B44D94"/>
    <w:rPr>
      <w:rFonts w:cs="Times New Roman"/>
      <w:color w:val="0000FF"/>
      <w:u w:val="single"/>
    </w:rPr>
  </w:style>
  <w:style w:type="character" w:customStyle="1" w:styleId="af2">
    <w:name w:val="знак сноски"/>
    <w:uiPriority w:val="99"/>
    <w:rsid w:val="00B44D94"/>
    <w:rPr>
      <w:rFonts w:cs="Times New Roman"/>
      <w:vertAlign w:val="superscript"/>
    </w:rPr>
  </w:style>
  <w:style w:type="paragraph" w:styleId="af3">
    <w:name w:val="header"/>
    <w:basedOn w:val="a"/>
    <w:link w:val="af4"/>
    <w:uiPriority w:val="99"/>
    <w:rsid w:val="00A7050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before="0" w:after="0"/>
    </w:pPr>
    <w:rPr>
      <w:sz w:val="20"/>
    </w:rPr>
  </w:style>
  <w:style w:type="character" w:customStyle="1" w:styleId="af4">
    <w:name w:val="Верхний колонтитул Знак"/>
    <w:link w:val="af3"/>
    <w:uiPriority w:val="99"/>
    <w:semiHidden/>
    <w:rPr>
      <w:sz w:val="24"/>
      <w:szCs w:val="20"/>
    </w:rPr>
  </w:style>
  <w:style w:type="paragraph" w:styleId="af5">
    <w:name w:val="footnote text"/>
    <w:basedOn w:val="a"/>
    <w:link w:val="af6"/>
    <w:uiPriority w:val="99"/>
    <w:semiHidden/>
    <w:rsid w:val="00A877EB"/>
    <w:pPr>
      <w:spacing w:before="0" w:after="0"/>
    </w:pPr>
    <w:rPr>
      <w:sz w:val="20"/>
    </w:rPr>
  </w:style>
  <w:style w:type="character" w:customStyle="1" w:styleId="af6">
    <w:name w:val="Текст сноски Знак"/>
    <w:link w:val="af5"/>
    <w:uiPriority w:val="99"/>
    <w:semiHidden/>
    <w:rPr>
      <w:sz w:val="20"/>
      <w:szCs w:val="20"/>
    </w:rPr>
  </w:style>
  <w:style w:type="character" w:styleId="af7">
    <w:name w:val="footnote reference"/>
    <w:uiPriority w:val="99"/>
    <w:semiHidden/>
    <w:rsid w:val="00A877E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ПИТАНЬ І ЗАВДАНЬ ДО КОНТРОЛЬНОЇ РОБОТИ</vt:lpstr>
    </vt:vector>
  </TitlesOfParts>
  <Company>Home</Company>
  <LinksUpToDate>false</LinksUpToDate>
  <CharactersWithSpaces>20798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ПИТАНЬ І ЗАВДАНЬ ДО КОНТРОЛЬНОЇ РОБОТИ</dc:title>
  <dc:subject/>
  <dc:creator>home</dc:creator>
  <cp:keywords/>
  <dc:description/>
  <cp:lastModifiedBy>admin</cp:lastModifiedBy>
  <cp:revision>2</cp:revision>
  <cp:lastPrinted>2008-04-26T16:29:00Z</cp:lastPrinted>
  <dcterms:created xsi:type="dcterms:W3CDTF">2014-03-12T15:56:00Z</dcterms:created>
  <dcterms:modified xsi:type="dcterms:W3CDTF">2014-03-12T15:56:00Z</dcterms:modified>
</cp:coreProperties>
</file>