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00" w:rsidRPr="008B0269" w:rsidRDefault="008B0269" w:rsidP="008B0269">
      <w:pPr>
        <w:widowControl w:val="0"/>
        <w:tabs>
          <w:tab w:val="left" w:pos="5320"/>
        </w:tabs>
        <w:suppressAutoHyphens/>
        <w:spacing w:line="360" w:lineRule="auto"/>
        <w:ind w:firstLine="709"/>
        <w:jc w:val="both"/>
      </w:pPr>
      <w:r w:rsidRPr="008B0269">
        <w:t>Содержание</w:t>
      </w:r>
    </w:p>
    <w:p w:rsidR="00522CBA" w:rsidRPr="008B0269" w:rsidRDefault="00522CBA" w:rsidP="008B0269">
      <w:pPr>
        <w:widowControl w:val="0"/>
        <w:tabs>
          <w:tab w:val="left" w:pos="5320"/>
        </w:tabs>
        <w:suppressAutoHyphens/>
        <w:spacing w:line="360" w:lineRule="auto"/>
        <w:ind w:firstLine="709"/>
        <w:jc w:val="both"/>
        <w:rPr>
          <w:szCs w:val="16"/>
        </w:rPr>
      </w:pPr>
    </w:p>
    <w:p w:rsidR="008B0269" w:rsidRPr="008B0269" w:rsidRDefault="00522CBA" w:rsidP="008B0269">
      <w:pPr>
        <w:widowControl w:val="0"/>
        <w:tabs>
          <w:tab w:val="left" w:pos="5320"/>
        </w:tabs>
        <w:suppressAutoHyphens/>
        <w:spacing w:line="360" w:lineRule="auto"/>
      </w:pPr>
      <w:r w:rsidRPr="008B0269">
        <w:t>1. Камеральная и выездная налоговые проверки</w:t>
      </w:r>
    </w:p>
    <w:p w:rsidR="008B0269" w:rsidRPr="008B0269" w:rsidRDefault="00522CBA" w:rsidP="008B0269">
      <w:pPr>
        <w:widowControl w:val="0"/>
        <w:tabs>
          <w:tab w:val="left" w:pos="5320"/>
        </w:tabs>
        <w:suppressAutoHyphens/>
        <w:spacing w:line="360" w:lineRule="auto"/>
      </w:pPr>
      <w:r w:rsidRPr="008B0269">
        <w:t>2. Порядок отнесения сумм акциза на расходы</w:t>
      </w:r>
    </w:p>
    <w:p w:rsidR="00522CBA" w:rsidRPr="008B0269" w:rsidRDefault="00522CBA" w:rsidP="008B0269">
      <w:pPr>
        <w:widowControl w:val="0"/>
        <w:tabs>
          <w:tab w:val="left" w:pos="5320"/>
        </w:tabs>
        <w:suppressAutoHyphens/>
        <w:spacing w:line="360" w:lineRule="auto"/>
      </w:pPr>
      <w:r w:rsidRPr="008B0269">
        <w:t>3. Единый социальный налог: налогоплательщики, объект обложения,</w:t>
      </w:r>
      <w:r w:rsidR="008B0269" w:rsidRPr="008B0269">
        <w:t xml:space="preserve"> </w:t>
      </w:r>
      <w:r w:rsidRPr="008B0269">
        <w:t>налоговая база</w:t>
      </w:r>
    </w:p>
    <w:p w:rsidR="00956DE9" w:rsidRPr="008B0269" w:rsidRDefault="008B0269" w:rsidP="008B0269">
      <w:pPr>
        <w:widowControl w:val="0"/>
        <w:tabs>
          <w:tab w:val="left" w:pos="5320"/>
        </w:tabs>
        <w:suppressAutoHyphens/>
        <w:spacing w:line="360" w:lineRule="auto"/>
      </w:pPr>
      <w:r w:rsidRPr="008B0269">
        <w:t>Список использованной литературы</w:t>
      </w:r>
    </w:p>
    <w:p w:rsidR="008B0269" w:rsidRPr="008B0269" w:rsidRDefault="008B0269" w:rsidP="008B0269">
      <w:pPr>
        <w:widowControl w:val="0"/>
        <w:tabs>
          <w:tab w:val="left" w:pos="5320"/>
        </w:tabs>
        <w:suppressAutoHyphens/>
        <w:spacing w:line="360" w:lineRule="auto"/>
        <w:ind w:firstLine="709"/>
        <w:jc w:val="both"/>
      </w:pPr>
    </w:p>
    <w:p w:rsidR="00522CBA" w:rsidRPr="008B0269" w:rsidRDefault="00522CBA" w:rsidP="008B0269">
      <w:pPr>
        <w:widowControl w:val="0"/>
        <w:tabs>
          <w:tab w:val="left" w:pos="5320"/>
        </w:tabs>
        <w:suppressAutoHyphens/>
        <w:spacing w:line="360" w:lineRule="auto"/>
        <w:ind w:firstLine="709"/>
        <w:jc w:val="both"/>
      </w:pPr>
      <w:r w:rsidRPr="008B0269">
        <w:br w:type="page"/>
        <w:t>1. Камеральная и выездная налоговые проверки</w:t>
      </w:r>
    </w:p>
    <w:p w:rsidR="00522CBA" w:rsidRPr="008B0269" w:rsidRDefault="00522CBA" w:rsidP="008B0269">
      <w:pPr>
        <w:widowControl w:val="0"/>
        <w:tabs>
          <w:tab w:val="left" w:pos="5320"/>
        </w:tabs>
        <w:suppressAutoHyphens/>
        <w:spacing w:line="360" w:lineRule="auto"/>
        <w:ind w:firstLine="709"/>
        <w:jc w:val="both"/>
        <w:rPr>
          <w:szCs w:val="16"/>
        </w:rPr>
      </w:pP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Налоговые органы проводят камеральные и выездные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Выездная налоговая проверка проводится на основании решения руководителя (его заместителя) налогового органа.</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Выездная налоговая проверка в отношении одного налогоплательщика (плательщика сбора, налогового агента) может проводиться по одному или нескольким налогам.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налоговая проверка не может продолжаться более двух месяцев, если иное не установлено настоящей статьей.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 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документов в соответствии со статьей 93 настоящего Кодекса и представлением им запрашиваемых при проведении проверки документов.</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Выездная налоговая проверка, осуществляемая в связи с реорганизацией или ликвидацией организации-налогоплательщика,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При наличии у осуществляющих проверку должностных лиц достаточных оснований полагать, что документы, свидетельствующие о совершении правонарушений, могут быть уничтожены, скрыты, изменены или заменены, производится выемка этих документов по акту, составленному этими должностными лицами. В акте о выемке документов должна быть обоснована необходимость выемки и приведен перечень изымаемых документов. Налогоплательщик имеет право при выемке документов делать замечания, которые должны быть по его требованию внесены в акт. 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делается специальная отметка. Копия акта о выемке документов передается налогоплательщику (налоговому агенту, плательщику сбора).</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Форма решения руководителя (заместителя руководителя) налогового органа о проведении выездной налоговой проверки разрабатывается и утверждается федеральным органом исполнительной власти, уполномоченным по контролю и надзору в области налогов и сборов.</w:t>
      </w:r>
    </w:p>
    <w:p w:rsidR="009A0BEE" w:rsidRPr="008B0269" w:rsidRDefault="009A0BEE" w:rsidP="008B0269">
      <w:pPr>
        <w:pStyle w:val="ConsNormal"/>
        <w:suppressAutoHyphens/>
        <w:spacing w:line="360" w:lineRule="auto"/>
        <w:ind w:right="0" w:firstLine="709"/>
        <w:jc w:val="both"/>
        <w:rPr>
          <w:rFonts w:ascii="Times New Roman" w:hAnsi="Times New Roman" w:cs="Times New Roman"/>
          <w:sz w:val="28"/>
          <w:szCs w:val="28"/>
        </w:rPr>
      </w:pPr>
      <w:r w:rsidRPr="008B0269">
        <w:rPr>
          <w:rFonts w:ascii="Times New Roman" w:hAnsi="Times New Roman" w:cs="Times New Roman"/>
          <w:sz w:val="28"/>
          <w:szCs w:val="28"/>
        </w:rPr>
        <w:t>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w:t>
      </w:r>
    </w:p>
    <w:p w:rsidR="00522CBA" w:rsidRPr="008B0269" w:rsidRDefault="00522CBA" w:rsidP="008B0269">
      <w:pPr>
        <w:widowControl w:val="0"/>
        <w:tabs>
          <w:tab w:val="left" w:pos="5320"/>
        </w:tabs>
        <w:suppressAutoHyphens/>
        <w:spacing w:line="360" w:lineRule="auto"/>
        <w:ind w:firstLine="709"/>
        <w:jc w:val="both"/>
      </w:pPr>
    </w:p>
    <w:p w:rsidR="00522CBA" w:rsidRPr="008B0269" w:rsidRDefault="00522CBA" w:rsidP="008B0269">
      <w:pPr>
        <w:widowControl w:val="0"/>
        <w:tabs>
          <w:tab w:val="left" w:pos="5320"/>
        </w:tabs>
        <w:suppressAutoHyphens/>
        <w:spacing w:line="360" w:lineRule="auto"/>
        <w:ind w:firstLine="709"/>
        <w:jc w:val="both"/>
      </w:pPr>
      <w:r w:rsidRPr="008B0269">
        <w:br w:type="page"/>
        <w:t>2. Порядок отнесения сумм акциза на расходы</w:t>
      </w:r>
    </w:p>
    <w:p w:rsidR="009A0BEE" w:rsidRPr="008B0269" w:rsidRDefault="009A0BEE" w:rsidP="008B0269">
      <w:pPr>
        <w:widowControl w:val="0"/>
        <w:tabs>
          <w:tab w:val="left" w:pos="5320"/>
        </w:tabs>
        <w:suppressAutoHyphens/>
        <w:spacing w:line="360" w:lineRule="auto"/>
        <w:ind w:firstLine="709"/>
        <w:jc w:val="both"/>
        <w:rPr>
          <w:szCs w:val="16"/>
        </w:rPr>
      </w:pP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 xml:space="preserve">Объектом налогообложения </w:t>
      </w:r>
      <w:r w:rsidR="00521E33" w:rsidRPr="008B0269">
        <w:rPr>
          <w:rFonts w:ascii="Times New Roman" w:hAnsi="Times New Roman" w:cs="Times New Roman"/>
          <w:color w:val="auto"/>
          <w:sz w:val="28"/>
          <w:szCs w:val="28"/>
        </w:rPr>
        <w:t xml:space="preserve">акцизами </w:t>
      </w:r>
      <w:r w:rsidRPr="008B0269">
        <w:rPr>
          <w:rFonts w:ascii="Times New Roman" w:hAnsi="Times New Roman" w:cs="Times New Roman"/>
          <w:color w:val="auto"/>
          <w:sz w:val="28"/>
          <w:szCs w:val="28"/>
        </w:rPr>
        <w:t>признаются следующие операции:</w:t>
      </w:r>
    </w:p>
    <w:p w:rsidR="00521E33"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w:t>
      </w:r>
      <w:r w:rsidR="00BC45CF" w:rsidRPr="008B0269">
        <w:rPr>
          <w:rFonts w:ascii="Times New Roman" w:hAnsi="Times New Roman" w:cs="Times New Roman"/>
          <w:color w:val="auto"/>
          <w:sz w:val="28"/>
          <w:szCs w:val="28"/>
        </w:rPr>
        <w:t>) реализация на территории РФ лицами произведенных ими подакцизных товаров, в т</w:t>
      </w:r>
      <w:r w:rsidRPr="008B0269">
        <w:rPr>
          <w:rFonts w:ascii="Times New Roman" w:hAnsi="Times New Roman" w:cs="Times New Roman"/>
          <w:color w:val="auto"/>
          <w:sz w:val="28"/>
          <w:szCs w:val="28"/>
        </w:rPr>
        <w:t>.</w:t>
      </w:r>
      <w:r w:rsidR="00BC45CF" w:rsidRPr="008B0269">
        <w:rPr>
          <w:rFonts w:ascii="Times New Roman" w:hAnsi="Times New Roman" w:cs="Times New Roman"/>
          <w:color w:val="auto"/>
          <w:sz w:val="28"/>
          <w:szCs w:val="28"/>
        </w:rPr>
        <w:t>ч</w:t>
      </w:r>
      <w:r w:rsidRPr="008B0269">
        <w:rPr>
          <w:rFonts w:ascii="Times New Roman" w:hAnsi="Times New Roman" w:cs="Times New Roman"/>
          <w:color w:val="auto"/>
          <w:sz w:val="28"/>
          <w:szCs w:val="28"/>
        </w:rPr>
        <w:t>.</w:t>
      </w:r>
      <w:r w:rsidR="00BC45CF" w:rsidRPr="008B0269">
        <w:rPr>
          <w:rFonts w:ascii="Times New Roman" w:hAnsi="Times New Roman" w:cs="Times New Roman"/>
          <w:color w:val="auto"/>
          <w:sz w:val="28"/>
          <w:szCs w:val="28"/>
        </w:rPr>
        <w:t xml:space="preserve"> реализация предметов залога и передача подакцизных товаров по соглашению о предост</w:t>
      </w:r>
      <w:r w:rsidRPr="008B0269">
        <w:rPr>
          <w:rFonts w:ascii="Times New Roman" w:hAnsi="Times New Roman" w:cs="Times New Roman"/>
          <w:color w:val="auto"/>
          <w:sz w:val="28"/>
          <w:szCs w:val="28"/>
        </w:rPr>
        <w:t>авлении отступного или новации;</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2) оприходование на территории РФ организацией или индивидуальным предпринимателем, не имеющими свидетельства, нефтепродуктов, самостоятельно произведенных из с</w:t>
      </w:r>
      <w:r w:rsidR="00521E33" w:rsidRPr="008B0269">
        <w:rPr>
          <w:rFonts w:ascii="Times New Roman" w:hAnsi="Times New Roman" w:cs="Times New Roman"/>
          <w:color w:val="auto"/>
          <w:sz w:val="28"/>
          <w:szCs w:val="28"/>
        </w:rPr>
        <w:t>обственного сырья и материалов</w:t>
      </w:r>
      <w:r w:rsidRPr="008B0269">
        <w:rPr>
          <w:rFonts w:ascii="Times New Roman" w:hAnsi="Times New Roman" w:cs="Times New Roman"/>
          <w:color w:val="auto"/>
          <w:sz w:val="28"/>
          <w:szCs w:val="28"/>
        </w:rPr>
        <w:t>, получение нефтепродуктов в собственность в счет оплаты услуг по производству нефтепродуктов из д</w:t>
      </w:r>
      <w:r w:rsidR="00521E33" w:rsidRPr="008B0269">
        <w:rPr>
          <w:rFonts w:ascii="Times New Roman" w:hAnsi="Times New Roman" w:cs="Times New Roman"/>
          <w:color w:val="auto"/>
          <w:sz w:val="28"/>
          <w:szCs w:val="28"/>
        </w:rPr>
        <w:t>авальческого сырья и материалов</w:t>
      </w:r>
      <w:r w:rsidRPr="008B0269">
        <w:rPr>
          <w:rFonts w:ascii="Times New Roman" w:hAnsi="Times New Roman" w:cs="Times New Roman"/>
          <w:color w:val="auto"/>
          <w:sz w:val="28"/>
          <w:szCs w:val="28"/>
        </w:rPr>
        <w:t>;</w:t>
      </w:r>
    </w:p>
    <w:p w:rsidR="00521E33"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3) получение на территории РФ нефтепродуктов организацией или индивидуальным предприним</w:t>
      </w:r>
      <w:r w:rsidR="00521E33" w:rsidRPr="008B0269">
        <w:rPr>
          <w:rFonts w:ascii="Times New Roman" w:hAnsi="Times New Roman" w:cs="Times New Roman"/>
          <w:color w:val="auto"/>
          <w:sz w:val="28"/>
          <w:szCs w:val="28"/>
        </w:rPr>
        <w:t>ателем, имеющими свидетельство;</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4) передача на территории РФ организацией или индивидуальным предпринимателем нефтепродуктов, произведенных из давальческого сырья и материалов, собственнику этого сырья и материалов, не имеющему свидетельства;</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5</w:t>
      </w:r>
      <w:r w:rsidR="00BC45CF" w:rsidRPr="008B0269">
        <w:rPr>
          <w:rFonts w:ascii="Times New Roman" w:hAnsi="Times New Roman" w:cs="Times New Roman"/>
          <w:color w:val="auto"/>
          <w:sz w:val="28"/>
          <w:szCs w:val="28"/>
        </w:rPr>
        <w:t>)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6</w:t>
      </w:r>
      <w:r w:rsidR="00BC45CF" w:rsidRPr="008B0269">
        <w:rPr>
          <w:rFonts w:ascii="Times New Roman" w:hAnsi="Times New Roman" w:cs="Times New Roman"/>
          <w:color w:val="auto"/>
          <w:sz w:val="28"/>
          <w:szCs w:val="28"/>
        </w:rPr>
        <w:t>) передача на территории РФ лицами произведенных ими из давальческого сырья (материалов) подакцизных товаров, за исключением операций по передаче нефтепродуктов, собственнику указанного сырья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7</w:t>
      </w:r>
      <w:r w:rsidR="00BC45CF" w:rsidRPr="008B0269">
        <w:rPr>
          <w:rFonts w:ascii="Times New Roman" w:hAnsi="Times New Roman" w:cs="Times New Roman"/>
          <w:color w:val="auto"/>
          <w:sz w:val="28"/>
          <w:szCs w:val="28"/>
        </w:rPr>
        <w:t>) передача в структуре организации произведенных подакцизных товаров для дальнейшего производства неподакцизных товаров;</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8</w:t>
      </w:r>
      <w:r w:rsidR="00BC45CF" w:rsidRPr="008B0269">
        <w:rPr>
          <w:rFonts w:ascii="Times New Roman" w:hAnsi="Times New Roman" w:cs="Times New Roman"/>
          <w:color w:val="auto"/>
          <w:sz w:val="28"/>
          <w:szCs w:val="28"/>
        </w:rPr>
        <w:t>) передача на территории РФ лицами произведенных ими подакцизных товаров (за исключением нефтепродуктов) для собственных нужд;</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9</w:t>
      </w:r>
      <w:r w:rsidR="00BC45CF" w:rsidRPr="008B0269">
        <w:rPr>
          <w:rFonts w:ascii="Times New Roman" w:hAnsi="Times New Roman" w:cs="Times New Roman"/>
          <w:color w:val="auto"/>
          <w:sz w:val="28"/>
          <w:szCs w:val="28"/>
        </w:rPr>
        <w:t>) передача на территории РФ</w:t>
      </w:r>
      <w:r w:rsidRPr="008B0269">
        <w:rPr>
          <w:rFonts w:ascii="Times New Roman" w:hAnsi="Times New Roman" w:cs="Times New Roman"/>
          <w:color w:val="auto"/>
          <w:sz w:val="28"/>
          <w:szCs w:val="28"/>
        </w:rPr>
        <w:t xml:space="preserve"> </w:t>
      </w:r>
      <w:r w:rsidR="00BC45CF" w:rsidRPr="008B0269">
        <w:rPr>
          <w:rFonts w:ascii="Times New Roman" w:hAnsi="Times New Roman" w:cs="Times New Roman"/>
          <w:color w:val="auto"/>
          <w:sz w:val="28"/>
          <w:szCs w:val="28"/>
        </w:rPr>
        <w:t>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w:t>
      </w:r>
      <w:r w:rsidR="00521E33" w:rsidRPr="008B0269">
        <w:rPr>
          <w:rFonts w:ascii="Times New Roman" w:hAnsi="Times New Roman" w:cs="Times New Roman"/>
          <w:color w:val="auto"/>
          <w:sz w:val="28"/>
          <w:szCs w:val="28"/>
        </w:rPr>
        <w:t>0</w:t>
      </w:r>
      <w:r w:rsidRPr="008B0269">
        <w:rPr>
          <w:rFonts w:ascii="Times New Roman" w:hAnsi="Times New Roman" w:cs="Times New Roman"/>
          <w:color w:val="auto"/>
          <w:sz w:val="28"/>
          <w:szCs w:val="28"/>
        </w:rPr>
        <w:t>) передача на территории РФ</w:t>
      </w:r>
      <w:r w:rsidR="00521E33" w:rsidRPr="008B0269">
        <w:rPr>
          <w:rFonts w:ascii="Times New Roman" w:hAnsi="Times New Roman" w:cs="Times New Roman"/>
          <w:color w:val="auto"/>
          <w:sz w:val="28"/>
          <w:szCs w:val="28"/>
        </w:rPr>
        <w:t xml:space="preserve"> </w:t>
      </w:r>
      <w:r w:rsidRPr="008B0269">
        <w:rPr>
          <w:rFonts w:ascii="Times New Roman" w:hAnsi="Times New Roman" w:cs="Times New Roman"/>
          <w:color w:val="auto"/>
          <w:sz w:val="28"/>
          <w:szCs w:val="28"/>
        </w:rPr>
        <w:t>организацией произведенных ею подакцизных товаров</w:t>
      </w:r>
      <w:r w:rsidR="00521E33" w:rsidRPr="008B0269">
        <w:rPr>
          <w:rFonts w:ascii="Times New Roman" w:hAnsi="Times New Roman" w:cs="Times New Roman"/>
          <w:color w:val="auto"/>
          <w:sz w:val="28"/>
          <w:szCs w:val="28"/>
        </w:rPr>
        <w:t xml:space="preserve"> своему участнику </w:t>
      </w:r>
      <w:r w:rsidRPr="008B0269">
        <w:rPr>
          <w:rFonts w:ascii="Times New Roman" w:hAnsi="Times New Roman" w:cs="Times New Roman"/>
          <w:color w:val="auto"/>
          <w:sz w:val="28"/>
          <w:szCs w:val="28"/>
        </w:rPr>
        <w:t>при его выходе из организации, а также передача подакцизных товаров, произведенных в рамках договора простого товарищества, участнику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11</w:t>
      </w:r>
      <w:r w:rsidR="00BC45CF" w:rsidRPr="008B0269">
        <w:rPr>
          <w:rFonts w:ascii="Times New Roman" w:hAnsi="Times New Roman" w:cs="Times New Roman"/>
          <w:color w:val="auto"/>
          <w:sz w:val="28"/>
          <w:szCs w:val="28"/>
        </w:rPr>
        <w:t>) передача произведенных подакцизных товаров на переработку;</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12</w:t>
      </w:r>
      <w:r w:rsidR="00BC45CF" w:rsidRPr="008B0269">
        <w:rPr>
          <w:rFonts w:ascii="Times New Roman" w:hAnsi="Times New Roman" w:cs="Times New Roman"/>
          <w:color w:val="auto"/>
          <w:sz w:val="28"/>
          <w:szCs w:val="28"/>
        </w:rPr>
        <w:t>) ввоз подакцизных товаров на таможенную территорию РФ;</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13</w:t>
      </w:r>
      <w:r w:rsidR="00BC45CF" w:rsidRPr="008B0269">
        <w:rPr>
          <w:rFonts w:ascii="Times New Roman" w:hAnsi="Times New Roman" w:cs="Times New Roman"/>
          <w:color w:val="auto"/>
          <w:sz w:val="28"/>
          <w:szCs w:val="28"/>
        </w:rPr>
        <w:t>) первичная реализация подакцизных товаров, происходящих с территории Республики Беларусь и ввезенных на территорию РФ с территории Республики Беларусь;</w:t>
      </w:r>
    </w:p>
    <w:p w:rsidR="008B0269" w:rsidRPr="008B0269" w:rsidRDefault="00521E33"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14</w:t>
      </w:r>
      <w:r w:rsidR="00BC45CF" w:rsidRPr="008B0269">
        <w:rPr>
          <w:rFonts w:ascii="Times New Roman" w:hAnsi="Times New Roman" w:cs="Times New Roman"/>
          <w:color w:val="auto"/>
          <w:sz w:val="28"/>
          <w:szCs w:val="28"/>
        </w:rPr>
        <w:t>) получение денатурированного этилового спирта организацией, имеющей свидетельство на производство неспиртосодержащей продукции.</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Суммы акциза, исчисленные налогоплательщиком при реализации подакцизных товаров (за исключением реализации на безвозмездной основе) и предъявленные покупателю, относятся у налогоплательщика на расходы, принимаемые к вычету при исчислении налога на прибыль организаций.</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Суммы акциза, исчисленные налогоплательщиком по операциям передачи подакцизных товаров, признаваемым объектом налогообложения в соответствии с настоящей главой, а также при их реализации на безвозмездной основе, относятся у налогоплательщика за счет соответствующих источников, за счет которых относятся расходы по указанным подакцизным товарам.</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Суммы акциза, предъявленные налогоплательщиком покупателю при реализации подакцизных товаров, у покупателя учитываются в стоимости приобретенных подакцизных товаров.</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Суммы акциза, фактически уплаченные при ввозе подакцизных товаров на таможенную территорию Российской Федерации, учитываются в стоимости указанных подакцизных товаров.</w:t>
      </w:r>
    </w:p>
    <w:p w:rsidR="008B0269"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Суммы акциза, предъявленные налогоплательщиком собственнику давальческого сырья (материалов) (за исключением нефтепродуктов), относятся собственником давальческого сырья (материалов) (за исключением нефтепродуктов) на стоимость подакцизных товаров, произведенных из указанного сырья (материалов) (за исключением нефтепродуктов), за исключением случаев передачи подакцизных товаров, произведенных из давальческого сырья, для дальнейшего производства подакцизных товаров.</w:t>
      </w:r>
    </w:p>
    <w:p w:rsidR="00890960"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Не учитываются в стоимости приобретенного, ввезенного на территорию Российской Федерации или переданного на давальческой основе подакцизного товара и подлежат вычету или возврату в порядке, предусмотренном настоящей главой, суммы акциза, предъявленные покупателю при приобретении указанного товара, суммы акциза, подлежащие уплате при ввозе на таможенную территорию РФ или предъявленные собственнику давальческого сырья (материалов) при передаче подакцизного товара, используемого в качестве сырья для производства других подакцизных товаров.</w:t>
      </w:r>
    </w:p>
    <w:p w:rsidR="00BC45CF" w:rsidRPr="008B0269" w:rsidRDefault="00BC45CF"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p>
    <w:p w:rsidR="00522CBA" w:rsidRPr="008B0269" w:rsidRDefault="00522CBA" w:rsidP="008B0269">
      <w:pPr>
        <w:widowControl w:val="0"/>
        <w:tabs>
          <w:tab w:val="left" w:pos="5320"/>
        </w:tabs>
        <w:suppressAutoHyphens/>
        <w:spacing w:line="360" w:lineRule="auto"/>
        <w:ind w:firstLine="709"/>
        <w:jc w:val="both"/>
      </w:pPr>
      <w:r w:rsidRPr="008B0269">
        <w:br w:type="page"/>
        <w:t>3. Единый социальный налог: налогоплательщики, объект обложения, налоговая база</w:t>
      </w:r>
    </w:p>
    <w:p w:rsidR="00890960" w:rsidRPr="008B0269" w:rsidRDefault="00890960" w:rsidP="008B0269">
      <w:pPr>
        <w:widowControl w:val="0"/>
        <w:tabs>
          <w:tab w:val="left" w:pos="5320"/>
        </w:tabs>
        <w:suppressAutoHyphens/>
        <w:spacing w:line="360" w:lineRule="auto"/>
        <w:ind w:firstLine="709"/>
        <w:jc w:val="both"/>
        <w:rPr>
          <w:szCs w:val="16"/>
        </w:rPr>
      </w:pPr>
    </w:p>
    <w:p w:rsidR="003A1637" w:rsidRPr="008B0269" w:rsidRDefault="003A1637" w:rsidP="008B0269">
      <w:pPr>
        <w:pStyle w:val="ab"/>
        <w:widowControl w:val="0"/>
        <w:suppressAutoHyphens/>
        <w:ind w:firstLine="709"/>
      </w:pPr>
      <w:r w:rsidRPr="008B0269">
        <w:t>Главной задачей внебюджетных фондов является обеспечение дополнительными ресурсами приоритетных сфер экономики и расширение социальных услуг населению с помощью специально создаваемых для этого фондов.</w:t>
      </w:r>
    </w:p>
    <w:p w:rsidR="003A1637" w:rsidRPr="008B0269" w:rsidRDefault="003A1637" w:rsidP="008B0269">
      <w:pPr>
        <w:widowControl w:val="0"/>
        <w:suppressAutoHyphens/>
        <w:spacing w:line="360" w:lineRule="auto"/>
        <w:ind w:firstLine="709"/>
        <w:jc w:val="both"/>
      </w:pPr>
      <w:r w:rsidRPr="008B0269">
        <w:t>Внебюджетные фонды находятся в собственности государства. Социальные внебюджетные фонды являются самостоятельными финансово-кредитными учреждениями. Наименование фонда отражает направление использования его средств.</w:t>
      </w:r>
    </w:p>
    <w:p w:rsidR="003A1637" w:rsidRPr="008B0269" w:rsidRDefault="003A1637" w:rsidP="008B0269">
      <w:pPr>
        <w:widowControl w:val="0"/>
        <w:suppressAutoHyphens/>
        <w:spacing w:line="360" w:lineRule="auto"/>
        <w:ind w:firstLine="709"/>
        <w:jc w:val="both"/>
      </w:pPr>
      <w:r w:rsidRPr="008B0269">
        <w:t>В Российской Федерации действуют четыре социальных фонда: Пенсионный фонд РФ, Фонд социального страхования РФ, Государственный фонд занятости населения РФ, Фонд обязательного медицинского страхования РФ.</w:t>
      </w:r>
    </w:p>
    <w:p w:rsidR="003A1637" w:rsidRPr="008B0269" w:rsidRDefault="003A1637" w:rsidP="008B0269">
      <w:pPr>
        <w:widowControl w:val="0"/>
        <w:suppressAutoHyphens/>
        <w:spacing w:line="360" w:lineRule="auto"/>
        <w:ind w:firstLine="709"/>
        <w:jc w:val="both"/>
      </w:pPr>
      <w:r w:rsidRPr="008B0269">
        <w:t>Все внебюджетные фонды, которые формируют свои доходы за счет обязательных платежей предприятий, учреждений, организаций, объединяются с республиканским бюджетом. Основная причина объединения этих фондов с бюджетом связана с отсутствием достаточного финансового контроля за использованием их ресурсов.</w:t>
      </w:r>
    </w:p>
    <w:p w:rsidR="003A1637" w:rsidRPr="008B0269" w:rsidRDefault="003A1637" w:rsidP="008B0269">
      <w:pPr>
        <w:widowControl w:val="0"/>
        <w:suppressAutoHyphens/>
        <w:spacing w:line="360" w:lineRule="auto"/>
        <w:ind w:firstLine="709"/>
        <w:jc w:val="both"/>
      </w:pPr>
      <w:r w:rsidRPr="008B0269">
        <w:t>Единый социальный налог предназначен для мобилизации средств для реализации права граждан на государственное пенсионное и социальное обеспечение (страхование) и медицинскую помощь.</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Налогоплательщиками налога признаются:</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 лица, производящие выплаты физическим лицам:</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 организации;</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-индивидуальные предприниматели;</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-физические лица, не признаваемые индивидуальными предпринимателями;</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2) индивидуальные предприниматели, адвокаты.</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Члены крестьянского (фермерского) хозяйства приравниваются к индивидуальным предпринимателям.</w:t>
      </w:r>
    </w:p>
    <w:p w:rsidR="003A1637" w:rsidRPr="008B0269" w:rsidRDefault="003A1637" w:rsidP="008B0269">
      <w:pPr>
        <w:widowControl w:val="0"/>
        <w:suppressAutoHyphens/>
        <w:spacing w:line="360" w:lineRule="auto"/>
        <w:ind w:firstLine="709"/>
        <w:jc w:val="both"/>
      </w:pPr>
      <w:r w:rsidRPr="008B0269">
        <w:t>Если налогоплательщик одновременно относится к нескольким категориям налогоплательщиков, он исчисляет и уплачивает налог по каждому основанию.</w:t>
      </w:r>
    </w:p>
    <w:p w:rsidR="003A1637" w:rsidRPr="008B0269" w:rsidRDefault="003A1637" w:rsidP="008B0269">
      <w:pPr>
        <w:widowControl w:val="0"/>
        <w:suppressAutoHyphens/>
        <w:spacing w:line="360" w:lineRule="auto"/>
        <w:ind w:firstLine="709"/>
        <w:jc w:val="both"/>
      </w:pPr>
      <w:r w:rsidRPr="008B0269">
        <w:t>Объектом налогообложения для организаций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3A1637" w:rsidRPr="008B0269" w:rsidRDefault="003A1637" w:rsidP="008B0269">
      <w:pPr>
        <w:widowControl w:val="0"/>
        <w:suppressAutoHyphens/>
        <w:spacing w:line="360" w:lineRule="auto"/>
        <w:ind w:firstLine="709"/>
        <w:jc w:val="both"/>
      </w:pPr>
      <w:r w:rsidRPr="008B0269">
        <w:t>Объектом налогообложения для индивидуальных предпринимателей</w:t>
      </w:r>
      <w:r w:rsidR="008B0269" w:rsidRPr="008B0269">
        <w:t xml:space="preserve"> </w:t>
      </w:r>
      <w:r w:rsidRPr="008B0269">
        <w:t>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3A1637" w:rsidRPr="008B0269" w:rsidRDefault="003A1637" w:rsidP="008B0269">
      <w:pPr>
        <w:widowControl w:val="0"/>
        <w:suppressAutoHyphens/>
        <w:spacing w:line="360" w:lineRule="auto"/>
        <w:ind w:firstLine="709"/>
        <w:jc w:val="both"/>
      </w:pPr>
      <w:r w:rsidRPr="008B0269">
        <w:t>Объектом налогообложения для индивидуальных предпринимателей, адвокатов признаются доходы от предпринимательской либо иной профессиональной деятельности за вычетом расходов, связанных с их извлечением.</w:t>
      </w:r>
    </w:p>
    <w:p w:rsidR="003A1637" w:rsidRPr="008B0269" w:rsidRDefault="003A1637" w:rsidP="008B0269">
      <w:pPr>
        <w:widowControl w:val="0"/>
        <w:suppressAutoHyphens/>
        <w:spacing w:line="360" w:lineRule="auto"/>
        <w:ind w:firstLine="709"/>
        <w:jc w:val="both"/>
      </w:pPr>
      <w:r w:rsidRPr="008B0269">
        <w:t>Для налогоплательщиков — членов крестьянского (фермерского) хозяйства (включая главу крестьянского (фермерского) хозяйства) из дохода исключаются фактически произведенные указанным хозяйством расходы, связанные с развитием крестьянского (фермерского) хозяйства.</w:t>
      </w:r>
    </w:p>
    <w:p w:rsidR="003A1637" w:rsidRPr="008B0269" w:rsidRDefault="003A1637" w:rsidP="008B0269">
      <w:pPr>
        <w:widowControl w:val="0"/>
        <w:suppressAutoHyphens/>
        <w:spacing w:line="360" w:lineRule="auto"/>
        <w:ind w:firstLine="709"/>
        <w:jc w:val="both"/>
      </w:pPr>
      <w:r w:rsidRPr="008B0269">
        <w:t>Указанные выплаты и вознаграждения (вне зависимости от формы, в которой они производятся) не признаются объектом налогообложения, если:</w:t>
      </w:r>
    </w:p>
    <w:p w:rsidR="003A1637" w:rsidRPr="008B0269" w:rsidRDefault="003A1637" w:rsidP="008B0269">
      <w:pPr>
        <w:widowControl w:val="0"/>
        <w:suppressAutoHyphens/>
        <w:spacing w:line="360" w:lineRule="auto"/>
        <w:ind w:firstLine="709"/>
        <w:jc w:val="both"/>
      </w:pPr>
      <w:r w:rsidRPr="008B0269">
        <w:t>-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3A1637" w:rsidRPr="008B0269" w:rsidRDefault="003A1637" w:rsidP="008B0269">
      <w:pPr>
        <w:widowControl w:val="0"/>
        <w:suppressAutoHyphens/>
        <w:spacing w:line="360" w:lineRule="auto"/>
        <w:ind w:firstLine="709"/>
        <w:jc w:val="both"/>
      </w:pPr>
      <w:r w:rsidRPr="008B0269">
        <w:t>- у налогоплательщиков - 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(налоговом) периоде.</w:t>
      </w:r>
    </w:p>
    <w:p w:rsidR="003A1637" w:rsidRPr="008B0269" w:rsidRDefault="003A1637" w:rsidP="008B0269">
      <w:pPr>
        <w:widowControl w:val="0"/>
        <w:suppressAutoHyphens/>
        <w:spacing w:line="360" w:lineRule="auto"/>
        <w:ind w:firstLine="709"/>
        <w:jc w:val="both"/>
      </w:pPr>
      <w:r w:rsidRPr="008B0269">
        <w:t>Налоговая база организаций и индивидуальных предпринимателей определяется как сумма выплат и иных вознаграждений, начисленных налогоплательщиками за налоговый период в пользу физических лиц.</w:t>
      </w:r>
    </w:p>
    <w:p w:rsidR="003A1637" w:rsidRPr="008B0269" w:rsidRDefault="003A1637" w:rsidP="008B0269">
      <w:pPr>
        <w:widowControl w:val="0"/>
        <w:suppressAutoHyphens/>
        <w:spacing w:line="360" w:lineRule="auto"/>
        <w:ind w:firstLine="709"/>
        <w:jc w:val="both"/>
      </w:pPr>
      <w:r w:rsidRPr="008B0269">
        <w:t>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или членов его семьи, в том числе коммунальных услуг, питания, отдыха, обучения в их интересах, оплата страховых взносов по договорам добровольного страхования.</w:t>
      </w:r>
    </w:p>
    <w:p w:rsidR="003A1637" w:rsidRPr="008B0269" w:rsidRDefault="003A1637" w:rsidP="008B0269">
      <w:pPr>
        <w:widowControl w:val="0"/>
        <w:suppressAutoHyphens/>
        <w:spacing w:line="360" w:lineRule="auto"/>
        <w:ind w:firstLine="709"/>
        <w:jc w:val="both"/>
      </w:pPr>
      <w:r w:rsidRPr="008B0269">
        <w:t>Налоговая база физических лиц, не признаваемых индивидуальными предпринимателями, определяется как сумма выплат и вознаграждений за налоговый период в пользу физических лиц.</w:t>
      </w:r>
    </w:p>
    <w:p w:rsidR="003A1637" w:rsidRPr="008B0269" w:rsidRDefault="003A1637" w:rsidP="008B0269">
      <w:pPr>
        <w:widowControl w:val="0"/>
        <w:suppressAutoHyphens/>
        <w:spacing w:line="360" w:lineRule="auto"/>
        <w:ind w:firstLine="709"/>
        <w:jc w:val="both"/>
      </w:pPr>
      <w:r w:rsidRPr="008B0269">
        <w:t>Налоговая база налогоплательщиков, указанных в подпункте индивидуальных предпринимателей, адвокатов определяется как 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3A1637" w:rsidRPr="008B0269" w:rsidRDefault="003A1637" w:rsidP="008B0269">
      <w:pPr>
        <w:pStyle w:val="ab"/>
        <w:widowControl w:val="0"/>
        <w:suppressAutoHyphens/>
        <w:ind w:firstLine="709"/>
      </w:pPr>
      <w:r w:rsidRPr="008B0269">
        <w:t>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Не подлежат налогообложению:</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 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2)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w:t>
      </w:r>
      <w:r w:rsidR="003932D7" w:rsidRPr="008B0269">
        <w:rPr>
          <w:rFonts w:ascii="Times New Roman" w:hAnsi="Times New Roman" w:cs="Times New Roman"/>
          <w:color w:val="auto"/>
          <w:sz w:val="28"/>
          <w:szCs w:val="28"/>
        </w:rPr>
        <w:t>)</w:t>
      </w:r>
      <w:r w:rsidRPr="008B0269">
        <w:rPr>
          <w:rFonts w:ascii="Times New Roman" w:hAnsi="Times New Roman" w:cs="Times New Roman"/>
          <w:color w:val="auto"/>
          <w:sz w:val="28"/>
          <w:szCs w:val="28"/>
        </w:rPr>
        <w:t>;</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 xml:space="preserve">3) суммы единовременной материальной помощи, </w:t>
      </w:r>
      <w:r w:rsidR="003932D7" w:rsidRPr="008B0269">
        <w:rPr>
          <w:rFonts w:ascii="Times New Roman" w:hAnsi="Times New Roman" w:cs="Times New Roman"/>
          <w:color w:val="auto"/>
          <w:sz w:val="28"/>
          <w:szCs w:val="28"/>
        </w:rPr>
        <w:t>оказываемой налогоплательщиком</w:t>
      </w:r>
      <w:r w:rsidR="008B0269" w:rsidRPr="008B0269">
        <w:rPr>
          <w:rFonts w:ascii="Times New Roman" w:hAnsi="Times New Roman" w:cs="Times New Roman"/>
          <w:color w:val="auto"/>
          <w:sz w:val="28"/>
          <w:szCs w:val="28"/>
        </w:rPr>
        <w:t xml:space="preserve"> </w:t>
      </w:r>
      <w:r w:rsidRPr="008B0269">
        <w:rPr>
          <w:rFonts w:ascii="Times New Roman" w:hAnsi="Times New Roman" w:cs="Times New Roman"/>
          <w:color w:val="auto"/>
          <w:sz w:val="28"/>
          <w:szCs w:val="28"/>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w:t>
      </w:r>
      <w:r w:rsidR="003932D7" w:rsidRPr="008B0269">
        <w:rPr>
          <w:rFonts w:ascii="Times New Roman" w:hAnsi="Times New Roman" w:cs="Times New Roman"/>
          <w:color w:val="auto"/>
          <w:sz w:val="28"/>
          <w:szCs w:val="28"/>
        </w:rPr>
        <w:t xml:space="preserve">, </w:t>
      </w:r>
      <w:r w:rsidRPr="008B0269">
        <w:rPr>
          <w:rFonts w:ascii="Times New Roman" w:hAnsi="Times New Roman" w:cs="Times New Roman"/>
          <w:color w:val="auto"/>
          <w:sz w:val="28"/>
          <w:szCs w:val="28"/>
        </w:rPr>
        <w:t>членам семьи умершего работника или работнику в связи со смертью члена его семьи;</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w:t>
      </w:r>
    </w:p>
    <w:p w:rsidR="003932D7"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5)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w:t>
      </w:r>
      <w:r w:rsidR="003932D7" w:rsidRPr="008B0269">
        <w:rPr>
          <w:rFonts w:ascii="Times New Roman" w:hAnsi="Times New Roman" w:cs="Times New Roman"/>
          <w:color w:val="auto"/>
          <w:sz w:val="28"/>
          <w:szCs w:val="28"/>
        </w:rPr>
        <w:t>я с года регистрации хозяйства;</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6) доходы,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7) суммы страховых платежей по обязательному страхованию работников;</w:t>
      </w:r>
    </w:p>
    <w:p w:rsidR="008B0269" w:rsidRPr="008B0269" w:rsidRDefault="003932D7"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8</w:t>
      </w:r>
      <w:r w:rsidR="00FE2705" w:rsidRPr="008B0269">
        <w:rPr>
          <w:rFonts w:ascii="Times New Roman" w:hAnsi="Times New Roman" w:cs="Times New Roman"/>
          <w:color w:val="auto"/>
          <w:sz w:val="28"/>
          <w:szCs w:val="28"/>
        </w:rPr>
        <w:t>)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p w:rsidR="008B0269" w:rsidRPr="008B0269" w:rsidRDefault="003932D7"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9</w:t>
      </w:r>
      <w:r w:rsidR="00FE2705" w:rsidRPr="008B0269">
        <w:rPr>
          <w:rFonts w:ascii="Times New Roman" w:hAnsi="Times New Roman" w:cs="Times New Roman"/>
          <w:color w:val="auto"/>
          <w:sz w:val="28"/>
          <w:szCs w:val="28"/>
        </w:rPr>
        <w:t>)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РФ, кандидатов в депутаты законодательного (представительного) органа государственной власти субъекта РФ, кандидатов на должность в ином го</w:t>
      </w:r>
      <w:r w:rsidRPr="008B0269">
        <w:rPr>
          <w:rFonts w:ascii="Times New Roman" w:hAnsi="Times New Roman" w:cs="Times New Roman"/>
          <w:color w:val="auto"/>
          <w:sz w:val="28"/>
          <w:szCs w:val="28"/>
        </w:rPr>
        <w:t>сударственном органе субъекта Р</w:t>
      </w:r>
      <w:r w:rsidR="00FE2705" w:rsidRPr="008B0269">
        <w:rPr>
          <w:rFonts w:ascii="Times New Roman" w:hAnsi="Times New Roman" w:cs="Times New Roman"/>
          <w:color w:val="auto"/>
          <w:sz w:val="28"/>
          <w:szCs w:val="28"/>
        </w:rPr>
        <w:t>Ф;</w:t>
      </w:r>
    </w:p>
    <w:p w:rsidR="003932D7" w:rsidRPr="008B0269" w:rsidRDefault="003932D7"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10</w:t>
      </w:r>
      <w:r w:rsidR="00FE2705" w:rsidRPr="008B0269">
        <w:rPr>
          <w:rFonts w:ascii="Times New Roman" w:hAnsi="Times New Roman" w:cs="Times New Roman"/>
          <w:color w:val="auto"/>
          <w:sz w:val="28"/>
          <w:szCs w:val="28"/>
        </w:rPr>
        <w:t>) стоимость форменной одежды и обмундирования, выдаваемых работникам, обучающимся, воспитанникам в соответствии с законодательством РФ, а также государственным служащим федеральных органов власти бесплатно или с частичной оплатой и остающихся в личном постоянном пользовании;</w:t>
      </w:r>
    </w:p>
    <w:p w:rsidR="008B0269" w:rsidRPr="008B0269" w:rsidRDefault="00FE2705"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w:t>
      </w:r>
      <w:r w:rsidR="003932D7" w:rsidRPr="008B0269">
        <w:rPr>
          <w:rFonts w:ascii="Times New Roman" w:hAnsi="Times New Roman" w:cs="Times New Roman"/>
          <w:color w:val="auto"/>
          <w:sz w:val="28"/>
          <w:szCs w:val="28"/>
        </w:rPr>
        <w:t>1</w:t>
      </w:r>
      <w:r w:rsidRPr="008B0269">
        <w:rPr>
          <w:rFonts w:ascii="Times New Roman" w:hAnsi="Times New Roman" w:cs="Times New Roman"/>
          <w:color w:val="auto"/>
          <w:sz w:val="28"/>
          <w:szCs w:val="28"/>
        </w:rPr>
        <w:t>) стоимость льгот по проезду, предоставляемых законодательством РФ отдельным категориям работников, обучающихся, воспитанников;</w:t>
      </w:r>
    </w:p>
    <w:p w:rsidR="008B0269" w:rsidRPr="008B0269" w:rsidRDefault="003932D7"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12</w:t>
      </w:r>
      <w:r w:rsidR="00FE2705" w:rsidRPr="008B0269">
        <w:rPr>
          <w:rFonts w:ascii="Times New Roman" w:hAnsi="Times New Roman" w:cs="Times New Roman"/>
          <w:color w:val="auto"/>
          <w:sz w:val="28"/>
          <w:szCs w:val="28"/>
        </w:rPr>
        <w:t>)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3 000 рублей на одно физическое лицо за налоговый период.</w:t>
      </w:r>
    </w:p>
    <w:p w:rsidR="00FE2705" w:rsidRPr="008B0269" w:rsidRDefault="00956DE9" w:rsidP="008B0269">
      <w:pPr>
        <w:pStyle w:val="a8"/>
        <w:widowControl w:val="0"/>
        <w:suppressAutoHyphens/>
        <w:spacing w:before="0" w:after="0" w:line="360" w:lineRule="auto"/>
        <w:ind w:firstLine="709"/>
        <w:jc w:val="both"/>
        <w:rPr>
          <w:rFonts w:ascii="Times New Roman" w:hAnsi="Times New Roman" w:cs="Times New Roman"/>
          <w:color w:val="auto"/>
          <w:sz w:val="28"/>
          <w:szCs w:val="28"/>
        </w:rPr>
      </w:pPr>
      <w:r w:rsidRPr="008B0269">
        <w:rPr>
          <w:rFonts w:ascii="Times New Roman" w:hAnsi="Times New Roman" w:cs="Times New Roman"/>
          <w:color w:val="auto"/>
          <w:sz w:val="28"/>
          <w:szCs w:val="28"/>
        </w:rPr>
        <w:t xml:space="preserve">В налоговую базу </w:t>
      </w:r>
      <w:r w:rsidR="00FE2705" w:rsidRPr="008B0269">
        <w:rPr>
          <w:rFonts w:ascii="Times New Roman" w:hAnsi="Times New Roman" w:cs="Times New Roman"/>
          <w:color w:val="auto"/>
          <w:sz w:val="28"/>
          <w:szCs w:val="28"/>
        </w:rPr>
        <w:t>не включаются также любые вознаграждения, выплачиваемые физическим лицам по договорам гражданско-правового характера, авторским договорам.</w:t>
      </w:r>
    </w:p>
    <w:p w:rsidR="00FE2705" w:rsidRPr="008B0269" w:rsidRDefault="00FE2705" w:rsidP="008B0269">
      <w:pPr>
        <w:pStyle w:val="ab"/>
        <w:widowControl w:val="0"/>
        <w:suppressAutoHyphens/>
        <w:ind w:firstLine="709"/>
      </w:pPr>
    </w:p>
    <w:p w:rsidR="00522CBA" w:rsidRPr="008B0269" w:rsidRDefault="00FE2705" w:rsidP="008B0269">
      <w:pPr>
        <w:widowControl w:val="0"/>
        <w:tabs>
          <w:tab w:val="left" w:pos="5320"/>
        </w:tabs>
        <w:suppressAutoHyphens/>
        <w:spacing w:line="360" w:lineRule="auto"/>
        <w:ind w:firstLine="709"/>
        <w:jc w:val="both"/>
      </w:pPr>
      <w:r w:rsidRPr="008B0269">
        <w:br w:type="page"/>
      </w:r>
      <w:r w:rsidR="008B0269" w:rsidRPr="008B0269">
        <w:t>Список использованной литературы</w:t>
      </w:r>
    </w:p>
    <w:p w:rsidR="00956DE9" w:rsidRPr="008B0269" w:rsidRDefault="00956DE9" w:rsidP="008B0269">
      <w:pPr>
        <w:widowControl w:val="0"/>
        <w:tabs>
          <w:tab w:val="left" w:pos="5320"/>
        </w:tabs>
        <w:suppressAutoHyphens/>
        <w:spacing w:line="360" w:lineRule="auto"/>
        <w:ind w:firstLine="709"/>
        <w:jc w:val="both"/>
        <w:rPr>
          <w:szCs w:val="16"/>
        </w:rPr>
      </w:pPr>
    </w:p>
    <w:p w:rsidR="001C3A0C" w:rsidRPr="008B0269" w:rsidRDefault="001C3A0C"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Налоговый кодекс Российской Федерации. В 2 частях. (по состоянию на</w:t>
      </w:r>
      <w:r w:rsidR="008B0269" w:rsidRPr="008B0269">
        <w:rPr>
          <w:szCs w:val="16"/>
        </w:rPr>
        <w:t xml:space="preserve"> </w:t>
      </w:r>
      <w:r w:rsidRPr="008B0269">
        <w:rPr>
          <w:szCs w:val="16"/>
        </w:rPr>
        <w:t>1 марта 2007 года). – М.: ГроссМедиа, 2007. – 544 с.</w:t>
      </w:r>
    </w:p>
    <w:p w:rsidR="001C3A0C" w:rsidRPr="008B0269" w:rsidRDefault="001C3A0C"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Агафонова М.Н. Налогообложение торговых операций. – М.: Бератор-Пресс, 2003. – 320 с.</w:t>
      </w:r>
    </w:p>
    <w:p w:rsidR="00956DE9" w:rsidRPr="008B0269" w:rsidRDefault="00956DE9" w:rsidP="008B0269">
      <w:pPr>
        <w:widowControl w:val="0"/>
        <w:numPr>
          <w:ilvl w:val="0"/>
          <w:numId w:val="1"/>
        </w:numPr>
        <w:tabs>
          <w:tab w:val="clear" w:pos="720"/>
          <w:tab w:val="num" w:pos="0"/>
        </w:tabs>
        <w:suppressAutoHyphens/>
        <w:spacing w:line="360" w:lineRule="auto"/>
        <w:ind w:left="0" w:firstLine="0"/>
        <w:rPr>
          <w:szCs w:val="16"/>
        </w:rPr>
      </w:pPr>
      <w:r w:rsidRPr="008B0269">
        <w:t>Александров И.М. Налоги и налогообложение. – М.: Дашков и К, 2006. – 318 с.</w:t>
      </w:r>
    </w:p>
    <w:p w:rsidR="00956DE9" w:rsidRPr="008B0269" w:rsidRDefault="00956DE9" w:rsidP="008B0269">
      <w:pPr>
        <w:widowControl w:val="0"/>
        <w:numPr>
          <w:ilvl w:val="0"/>
          <w:numId w:val="1"/>
        </w:numPr>
        <w:tabs>
          <w:tab w:val="clear" w:pos="720"/>
          <w:tab w:val="num" w:pos="0"/>
        </w:tabs>
        <w:suppressAutoHyphens/>
        <w:spacing w:line="360" w:lineRule="auto"/>
        <w:ind w:left="0" w:firstLine="0"/>
        <w:rPr>
          <w:szCs w:val="16"/>
        </w:rPr>
      </w:pPr>
      <w:r w:rsidRPr="008B0269">
        <w:t>Барулин С.В., Кириллова О.С., Муравлева Т.В. Налоги и налогообложение. – М.: Экономистъ, 2006. – 398 с.</w:t>
      </w:r>
    </w:p>
    <w:p w:rsidR="001C3A0C" w:rsidRPr="008B0269" w:rsidRDefault="001C3A0C"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Евстигнеев Е.Н. Налоги и налогообложение</w:t>
      </w:r>
      <w:r w:rsidR="008B0269" w:rsidRPr="008B0269">
        <w:rPr>
          <w:szCs w:val="16"/>
        </w:rPr>
        <w:t>.-</w:t>
      </w:r>
      <w:r w:rsidRPr="008B0269">
        <w:rPr>
          <w:szCs w:val="16"/>
        </w:rPr>
        <w:t xml:space="preserve"> СПб.: Питер</w:t>
      </w:r>
      <w:r w:rsidR="008B0269" w:rsidRPr="008B0269">
        <w:rPr>
          <w:szCs w:val="16"/>
        </w:rPr>
        <w:t>, 2006.- 288</w:t>
      </w:r>
      <w:r w:rsidRPr="008B0269">
        <w:rPr>
          <w:szCs w:val="16"/>
        </w:rPr>
        <w:t>с.</w:t>
      </w:r>
    </w:p>
    <w:p w:rsidR="00956DE9" w:rsidRPr="008B0269" w:rsidRDefault="00956DE9"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Зай</w:t>
      </w:r>
      <w:r w:rsidR="008B0269" w:rsidRPr="008B0269">
        <w:rPr>
          <w:szCs w:val="16"/>
        </w:rPr>
        <w:t>ков В</w:t>
      </w:r>
      <w:r w:rsidRPr="008B0269">
        <w:rPr>
          <w:szCs w:val="16"/>
        </w:rPr>
        <w:t xml:space="preserve"> П., Велигура В. Налоги Российской Федерации. – Ростов н/Д: Феникс, 2007. – 192 с.</w:t>
      </w:r>
    </w:p>
    <w:p w:rsidR="001C3A0C" w:rsidRPr="008B0269" w:rsidRDefault="001C3A0C"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Касьянова Г.Ю. Упрощенная система налогообложения: практическое применение с учетом последних изменений. – М.: АБАК, 2006. – 332 с.</w:t>
      </w:r>
    </w:p>
    <w:p w:rsidR="00956DE9" w:rsidRPr="008B0269" w:rsidRDefault="00956DE9"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Мамрук</w:t>
      </w:r>
      <w:r w:rsidR="008B0269" w:rsidRPr="008B0269">
        <w:rPr>
          <w:szCs w:val="16"/>
        </w:rPr>
        <w:t>ова О.</w:t>
      </w:r>
      <w:r w:rsidRPr="008B0269">
        <w:rPr>
          <w:szCs w:val="16"/>
        </w:rPr>
        <w:t>И. Нал</w:t>
      </w:r>
      <w:r w:rsidR="008B0269" w:rsidRPr="008B0269">
        <w:rPr>
          <w:szCs w:val="16"/>
        </w:rPr>
        <w:t>оги и налогообложение.-</w:t>
      </w:r>
      <w:r w:rsidRPr="008B0269">
        <w:rPr>
          <w:szCs w:val="16"/>
        </w:rPr>
        <w:t xml:space="preserve"> М.: Омега-</w:t>
      </w:r>
      <w:r w:rsidR="008B0269" w:rsidRPr="008B0269">
        <w:rPr>
          <w:szCs w:val="16"/>
        </w:rPr>
        <w:t>Л, 2007.- 302</w:t>
      </w:r>
      <w:r w:rsidRPr="008B0269">
        <w:rPr>
          <w:szCs w:val="16"/>
        </w:rPr>
        <w:t>с.</w:t>
      </w:r>
    </w:p>
    <w:p w:rsidR="00BC45CF" w:rsidRPr="008B0269" w:rsidRDefault="00BC45CF" w:rsidP="008B0269">
      <w:pPr>
        <w:widowControl w:val="0"/>
        <w:numPr>
          <w:ilvl w:val="0"/>
          <w:numId w:val="1"/>
        </w:numPr>
        <w:tabs>
          <w:tab w:val="clear" w:pos="720"/>
          <w:tab w:val="num" w:pos="0"/>
        </w:tabs>
        <w:suppressAutoHyphens/>
        <w:spacing w:line="360" w:lineRule="auto"/>
        <w:ind w:left="0" w:firstLine="0"/>
        <w:rPr>
          <w:szCs w:val="16"/>
        </w:rPr>
      </w:pPr>
      <w:r w:rsidRPr="008B0269">
        <w:t>Разгулин С.В. Налоговые проверки: изменения с 2007 года // БиНО: Бюджет. учреждения. - 2007. - №1. - с. 63 - 85.</w:t>
      </w:r>
    </w:p>
    <w:p w:rsidR="001C3A0C" w:rsidRPr="008B0269" w:rsidRDefault="001C3A0C"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Незамайкин В.Н.,</w:t>
      </w:r>
      <w:r w:rsidR="008B0269" w:rsidRPr="008B0269">
        <w:rPr>
          <w:szCs w:val="16"/>
        </w:rPr>
        <w:t xml:space="preserve"> </w:t>
      </w:r>
      <w:r w:rsidRPr="008B0269">
        <w:rPr>
          <w:szCs w:val="16"/>
        </w:rPr>
        <w:t>Юрзинова И.Л. Налогообложение юридических и физических лиц. - М.: Экзамен, 2006. – 653 с.</w:t>
      </w:r>
    </w:p>
    <w:p w:rsidR="00956DE9" w:rsidRPr="008B0269" w:rsidRDefault="001C3A0C" w:rsidP="008B0269">
      <w:pPr>
        <w:widowControl w:val="0"/>
        <w:numPr>
          <w:ilvl w:val="0"/>
          <w:numId w:val="1"/>
        </w:numPr>
        <w:tabs>
          <w:tab w:val="clear" w:pos="720"/>
          <w:tab w:val="num" w:pos="0"/>
        </w:tabs>
        <w:suppressAutoHyphens/>
        <w:spacing w:line="360" w:lineRule="auto"/>
        <w:ind w:left="0" w:firstLine="0"/>
        <w:rPr>
          <w:szCs w:val="16"/>
        </w:rPr>
      </w:pPr>
      <w:r w:rsidRPr="008B0269">
        <w:rPr>
          <w:szCs w:val="16"/>
        </w:rPr>
        <w:t>Пансков В.Г. Налоги и налоговая система Российской Федерации. – М.: ФиС, 2006. – 464 с.</w:t>
      </w:r>
      <w:bookmarkStart w:id="0" w:name="_GoBack"/>
      <w:bookmarkEnd w:id="0"/>
    </w:p>
    <w:sectPr w:rsidR="00956DE9" w:rsidRPr="008B0269" w:rsidSect="008B0269">
      <w:headerReference w:type="even" r:id="rId7"/>
      <w:pgSz w:w="11907" w:h="16840"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F6" w:rsidRDefault="00AD7FF6">
      <w:r>
        <w:separator/>
      </w:r>
    </w:p>
  </w:endnote>
  <w:endnote w:type="continuationSeparator" w:id="0">
    <w:p w:rsidR="00AD7FF6" w:rsidRDefault="00AD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F6" w:rsidRDefault="00AD7FF6">
      <w:r>
        <w:separator/>
      </w:r>
    </w:p>
  </w:footnote>
  <w:footnote w:type="continuationSeparator" w:id="0">
    <w:p w:rsidR="00AD7FF6" w:rsidRDefault="00AD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D7" w:rsidRDefault="00D32396" w:rsidP="00522CBA">
    <w:pPr>
      <w:pStyle w:val="a3"/>
      <w:framePr w:wrap="around" w:vAnchor="text" w:hAnchor="margin" w:xAlign="right" w:y="1"/>
      <w:rPr>
        <w:rStyle w:val="a5"/>
      </w:rPr>
    </w:pPr>
    <w:r>
      <w:rPr>
        <w:rStyle w:val="a5"/>
        <w:noProof/>
      </w:rPr>
      <w:t>14</w:t>
    </w:r>
  </w:p>
  <w:p w:rsidR="003932D7" w:rsidRDefault="003932D7" w:rsidP="00522C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178E9"/>
    <w:multiLevelType w:val="hybridMultilevel"/>
    <w:tmpl w:val="4EB83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4A6F05"/>
    <w:multiLevelType w:val="hybridMultilevel"/>
    <w:tmpl w:val="D14039E6"/>
    <w:lvl w:ilvl="0" w:tplc="1F04373E">
      <w:start w:val="1"/>
      <w:numFmt w:val="decimal"/>
      <w:lvlText w:val="%1."/>
      <w:lvlJc w:val="left"/>
      <w:pPr>
        <w:tabs>
          <w:tab w:val="num" w:pos="1080"/>
        </w:tabs>
        <w:ind w:left="1080" w:hanging="360"/>
      </w:pPr>
      <w:rPr>
        <w:rFonts w:ascii="Times New Roman" w:hAnsi="Times New Roman"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9A0"/>
    <w:rsid w:val="000D1304"/>
    <w:rsid w:val="00193C19"/>
    <w:rsid w:val="001A5564"/>
    <w:rsid w:val="001C3A0C"/>
    <w:rsid w:val="001E1CE3"/>
    <w:rsid w:val="001F2A56"/>
    <w:rsid w:val="002A3915"/>
    <w:rsid w:val="003369A0"/>
    <w:rsid w:val="003932D7"/>
    <w:rsid w:val="003A1637"/>
    <w:rsid w:val="003D19BF"/>
    <w:rsid w:val="00521E33"/>
    <w:rsid w:val="00522CBA"/>
    <w:rsid w:val="006A07D5"/>
    <w:rsid w:val="007137B4"/>
    <w:rsid w:val="00890960"/>
    <w:rsid w:val="008B0269"/>
    <w:rsid w:val="008C328D"/>
    <w:rsid w:val="00942A06"/>
    <w:rsid w:val="00956DE9"/>
    <w:rsid w:val="009A0BEE"/>
    <w:rsid w:val="00A06E54"/>
    <w:rsid w:val="00A30599"/>
    <w:rsid w:val="00AD7FF6"/>
    <w:rsid w:val="00B47A96"/>
    <w:rsid w:val="00BC45CF"/>
    <w:rsid w:val="00C44844"/>
    <w:rsid w:val="00D32396"/>
    <w:rsid w:val="00DB4CE3"/>
    <w:rsid w:val="00E27F0C"/>
    <w:rsid w:val="00F53700"/>
    <w:rsid w:val="00FE08C3"/>
    <w:rsid w:val="00FE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AC8CB0-B26C-436D-86DC-591356AD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BC45CF"/>
    <w:pPr>
      <w:spacing w:after="55"/>
      <w:outlineLvl w:val="0"/>
    </w:pPr>
    <w:rPr>
      <w:rFonts w:ascii="Verdana" w:hAnsi="Verdana"/>
      <w:b/>
      <w:bCs/>
      <w:color w:val="FF0000"/>
      <w:kern w:val="36"/>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522CBA"/>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522CBA"/>
    <w:rPr>
      <w:rFonts w:cs="Times New Roman"/>
    </w:rPr>
  </w:style>
  <w:style w:type="paragraph" w:styleId="a6">
    <w:name w:val="footer"/>
    <w:basedOn w:val="a"/>
    <w:link w:val="a7"/>
    <w:uiPriority w:val="99"/>
    <w:rsid w:val="00522CBA"/>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paragraph" w:customStyle="1" w:styleId="ConsNormal">
    <w:name w:val="ConsNormal"/>
    <w:rsid w:val="009A0BEE"/>
    <w:pPr>
      <w:widowControl w:val="0"/>
      <w:autoSpaceDE w:val="0"/>
      <w:autoSpaceDN w:val="0"/>
      <w:adjustRightInd w:val="0"/>
      <w:ind w:right="19772" w:firstLine="720"/>
    </w:pPr>
    <w:rPr>
      <w:rFonts w:ascii="Arial" w:hAnsi="Arial" w:cs="Arial"/>
    </w:rPr>
  </w:style>
  <w:style w:type="paragraph" w:styleId="a8">
    <w:name w:val="Normal (Web)"/>
    <w:basedOn w:val="a"/>
    <w:uiPriority w:val="99"/>
    <w:rsid w:val="00BC45CF"/>
    <w:pPr>
      <w:spacing w:before="28" w:after="138"/>
    </w:pPr>
    <w:rPr>
      <w:rFonts w:ascii="Tahoma" w:hAnsi="Tahoma" w:cs="Tahoma"/>
      <w:color w:val="666666"/>
      <w:sz w:val="15"/>
      <w:szCs w:val="15"/>
    </w:rPr>
  </w:style>
  <w:style w:type="character" w:styleId="a9">
    <w:name w:val="Hyperlink"/>
    <w:uiPriority w:val="99"/>
    <w:rsid w:val="00BC45CF"/>
    <w:rPr>
      <w:rFonts w:cs="Times New Roman"/>
      <w:color w:val="6699CC"/>
      <w:u w:val="none"/>
      <w:effect w:val="none"/>
    </w:rPr>
  </w:style>
  <w:style w:type="character" w:styleId="aa">
    <w:name w:val="Strong"/>
    <w:uiPriority w:val="22"/>
    <w:qFormat/>
    <w:rsid w:val="00BC45CF"/>
    <w:rPr>
      <w:rFonts w:cs="Times New Roman"/>
      <w:b/>
      <w:bCs/>
    </w:rPr>
  </w:style>
  <w:style w:type="character" w:customStyle="1" w:styleId="pricetov11">
    <w:name w:val="pricetov11"/>
    <w:rsid w:val="00BC45CF"/>
    <w:rPr>
      <w:rFonts w:ascii="Verdana" w:hAnsi="Verdana" w:cs="Times New Roman"/>
      <w:b/>
      <w:bCs/>
      <w:color w:val="FFFFFF"/>
      <w:sz w:val="36"/>
      <w:szCs w:val="36"/>
    </w:rPr>
  </w:style>
  <w:style w:type="paragraph" w:styleId="z-">
    <w:name w:val="HTML Top of Form"/>
    <w:basedOn w:val="a"/>
    <w:next w:val="a"/>
    <w:link w:val="z-0"/>
    <w:hidden/>
    <w:uiPriority w:val="99"/>
    <w:rsid w:val="00BC45C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BC45C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b">
    <w:name w:val="Body Text Indent"/>
    <w:basedOn w:val="a"/>
    <w:link w:val="ac"/>
    <w:uiPriority w:val="99"/>
    <w:rsid w:val="003A1637"/>
    <w:pPr>
      <w:spacing w:line="360" w:lineRule="auto"/>
      <w:ind w:firstLine="720"/>
      <w:jc w:val="both"/>
    </w:pPr>
    <w:rPr>
      <w:szCs w:val="24"/>
    </w:rPr>
  </w:style>
  <w:style w:type="character" w:customStyle="1" w:styleId="ac">
    <w:name w:val="Основной текст с отступом Знак"/>
    <w:link w:val="ab"/>
    <w:uiPriority w:val="99"/>
    <w:semiHidden/>
    <w:locked/>
    <w:rPr>
      <w:rFonts w:cs="Times New Roman"/>
      <w:sz w:val="28"/>
      <w:szCs w:val="28"/>
    </w:rPr>
  </w:style>
  <w:style w:type="paragraph" w:styleId="ad">
    <w:name w:val="Balloon Text"/>
    <w:basedOn w:val="a"/>
    <w:link w:val="ae"/>
    <w:uiPriority w:val="99"/>
    <w:semiHidden/>
    <w:rsid w:val="00D32396"/>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cp:lastPrinted>2003-10-17T02:03:00Z</cp:lastPrinted>
  <dcterms:created xsi:type="dcterms:W3CDTF">2014-03-12T17:32:00Z</dcterms:created>
  <dcterms:modified xsi:type="dcterms:W3CDTF">2014-03-12T17:32:00Z</dcterms:modified>
</cp:coreProperties>
</file>