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949" w:rsidRPr="00F76821" w:rsidRDefault="00F76821" w:rsidP="00F7682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ВЫСШЕГО ПРОФЕССИОНАЛЬНОГО ОБРАЗОВАТЕЛЬНОГО УЧРЕЖДЕНИЯ ТЮМЕНСКОЙ ОБЛАСТИ</w:t>
      </w:r>
    </w:p>
    <w:p w:rsidR="00332949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ТЮМЕНСКАЯ ГОСУДАРСТВЕННАЯ АКАДЕМИЯ</w:t>
      </w:r>
    </w:p>
    <w:p w:rsidR="00332949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32"/>
        </w:rPr>
      </w:pPr>
      <w:r w:rsidRPr="00F76821">
        <w:rPr>
          <w:rFonts w:ascii="Times New Roman" w:hAnsi="Times New Roman" w:cs="Times New Roman"/>
          <w:sz w:val="28"/>
          <w:szCs w:val="28"/>
        </w:rPr>
        <w:t>МИРОВОЙ ЭКОНОМИКИ, УПРАВЛЕНИЯ И ПРАВА</w:t>
      </w:r>
    </w:p>
    <w:p w:rsidR="00332949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КАФЕДРА ТРУДОВОГО И ПРЕДПРИНИМАТЕЛЬСКОГО ПРАВА</w:t>
      </w:r>
    </w:p>
    <w:p w:rsidR="00332949" w:rsidRPr="00F76821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32949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F76821">
        <w:rPr>
          <w:rFonts w:ascii="Times New Roman" w:hAnsi="Times New Roman" w:cs="Times New Roman"/>
          <w:sz w:val="28"/>
          <w:szCs w:val="28"/>
        </w:rPr>
        <w:t>онтрольная работа</w:t>
      </w:r>
    </w:p>
    <w:p w:rsidR="00F15FC4" w:rsidRPr="00F76821" w:rsidRDefault="00F15FC4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Pr="00F15FC4">
        <w:rPr>
          <w:rFonts w:ascii="Times New Roman" w:hAnsi="Times New Roman" w:cs="Times New Roman"/>
          <w:sz w:val="28"/>
          <w:szCs w:val="28"/>
        </w:rPr>
        <w:t>Нормативы Центрального Банка Российской Федерации</w:t>
      </w:r>
      <w:r>
        <w:rPr>
          <w:rFonts w:ascii="Times New Roman" w:hAnsi="Times New Roman" w:cs="Times New Roman"/>
          <w:sz w:val="28"/>
          <w:szCs w:val="28"/>
        </w:rPr>
        <w:t>"</w:t>
      </w:r>
    </w:p>
    <w:p w:rsidR="00332949" w:rsidRPr="00F76821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332949" w:rsidRPr="00F76821" w:rsidRDefault="00332949" w:rsidP="00F7682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32949" w:rsidRPr="00F7682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bCs/>
          <w:sz w:val="28"/>
          <w:szCs w:val="28"/>
        </w:rPr>
        <w:t>Выполнила:</w:t>
      </w:r>
      <w:r w:rsidR="00F76821" w:rsidRPr="00F768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студентка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4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курса</w:t>
      </w:r>
    </w:p>
    <w:p w:rsidR="00332949" w:rsidRPr="00F7682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Заочного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факультета</w:t>
      </w:r>
    </w:p>
    <w:p w:rsidR="00332949" w:rsidRPr="005025D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5025D1">
        <w:rPr>
          <w:rFonts w:ascii="Times New Roman" w:hAnsi="Times New Roman" w:cs="Times New Roman"/>
          <w:sz w:val="28"/>
          <w:szCs w:val="28"/>
        </w:rPr>
        <w:t>Специальности</w:t>
      </w:r>
      <w:r w:rsidR="00F76821" w:rsidRPr="00502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76821" w:rsidRPr="005025D1">
        <w:rPr>
          <w:rFonts w:ascii="Times New Roman" w:hAnsi="Times New Roman" w:cs="Times New Roman"/>
          <w:sz w:val="28"/>
          <w:szCs w:val="28"/>
        </w:rPr>
        <w:t>"</w:t>
      </w:r>
      <w:r w:rsidRPr="005025D1">
        <w:rPr>
          <w:rFonts w:ascii="Times New Roman" w:hAnsi="Times New Roman" w:cs="Times New Roman"/>
          <w:sz w:val="28"/>
          <w:szCs w:val="28"/>
        </w:rPr>
        <w:t>Юриспруденция</w:t>
      </w:r>
      <w:r w:rsidR="00F76821" w:rsidRPr="005025D1">
        <w:rPr>
          <w:rFonts w:ascii="Times New Roman" w:hAnsi="Times New Roman" w:cs="Times New Roman"/>
          <w:sz w:val="28"/>
          <w:szCs w:val="28"/>
        </w:rPr>
        <w:t>"</w:t>
      </w:r>
    </w:p>
    <w:p w:rsidR="00332949" w:rsidRPr="005025D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025D1">
        <w:rPr>
          <w:rFonts w:ascii="Times New Roman" w:hAnsi="Times New Roman" w:cs="Times New Roman"/>
          <w:sz w:val="28"/>
          <w:szCs w:val="28"/>
        </w:rPr>
        <w:t>Зачётная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книжка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№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07221</w:t>
      </w:r>
    </w:p>
    <w:p w:rsidR="00332949" w:rsidRPr="005025D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bCs/>
          <w:sz w:val="28"/>
          <w:szCs w:val="28"/>
        </w:rPr>
      </w:pPr>
      <w:r w:rsidRPr="005025D1">
        <w:rPr>
          <w:rFonts w:ascii="Times New Roman" w:hAnsi="Times New Roman" w:cs="Times New Roman"/>
          <w:sz w:val="28"/>
          <w:szCs w:val="28"/>
        </w:rPr>
        <w:t>Срок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обучения</w:t>
      </w:r>
      <w:r w:rsidR="00F76821" w:rsidRPr="00502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3,5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г.</w:t>
      </w:r>
    </w:p>
    <w:p w:rsidR="00332949" w:rsidRPr="005025D1" w:rsidRDefault="00332949" w:rsidP="00F76821">
      <w:pPr>
        <w:suppressAutoHyphens/>
        <w:spacing w:after="0" w:line="36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5025D1">
        <w:rPr>
          <w:rFonts w:ascii="Times New Roman" w:hAnsi="Times New Roman" w:cs="Times New Roman"/>
          <w:sz w:val="28"/>
          <w:szCs w:val="28"/>
        </w:rPr>
        <w:t>Мелентьева</w:t>
      </w:r>
      <w:r w:rsidR="00F76821" w:rsidRPr="005025D1">
        <w:rPr>
          <w:rFonts w:ascii="Times New Roman" w:hAnsi="Times New Roman" w:cs="Times New Roman"/>
          <w:sz w:val="28"/>
          <w:szCs w:val="28"/>
        </w:rPr>
        <w:t xml:space="preserve"> </w:t>
      </w:r>
      <w:r w:rsidRPr="005025D1">
        <w:rPr>
          <w:rFonts w:ascii="Times New Roman" w:hAnsi="Times New Roman" w:cs="Times New Roman"/>
          <w:sz w:val="28"/>
          <w:szCs w:val="28"/>
        </w:rPr>
        <w:t>О.В.</w:t>
      </w:r>
    </w:p>
    <w:p w:rsidR="00332949" w:rsidRPr="00F76821" w:rsidRDefault="00332949" w:rsidP="00F76821">
      <w:pPr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949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bCs/>
          <w:sz w:val="28"/>
          <w:szCs w:val="32"/>
        </w:rPr>
      </w:pPr>
    </w:p>
    <w:p w:rsid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bCs/>
          <w:sz w:val="28"/>
          <w:szCs w:val="32"/>
        </w:rPr>
      </w:pPr>
    </w:p>
    <w:p w:rsidR="00F76821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bCs/>
          <w:sz w:val="28"/>
          <w:szCs w:val="32"/>
        </w:rPr>
      </w:pPr>
    </w:p>
    <w:p w:rsidR="00332949" w:rsidRPr="00F76821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Тюмень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2010</w:t>
      </w:r>
    </w:p>
    <w:p w:rsidR="00332949" w:rsidRPr="00F76821" w:rsidRDefault="00F76821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br w:type="page"/>
      </w:r>
      <w:r w:rsidR="00332949"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>Содержание</w:t>
      </w:r>
    </w:p>
    <w:p w:rsidR="00332949" w:rsidRPr="00CA4FF5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b/>
          <w:bCs/>
          <w:iCs/>
          <w:sz w:val="28"/>
          <w:szCs w:val="32"/>
        </w:rPr>
      </w:pPr>
    </w:p>
    <w:p w:rsidR="00332949" w:rsidRPr="00F76821" w:rsidRDefault="00332949" w:rsidP="00CA4FF5">
      <w:pPr>
        <w:pStyle w:val="a3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Задание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</w:p>
    <w:p w:rsidR="00332949" w:rsidRPr="00F76821" w:rsidRDefault="00332949" w:rsidP="00CA4FF5">
      <w:pPr>
        <w:pStyle w:val="a3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ind w:left="0" w:firstLine="0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Задание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</w:t>
      </w:r>
    </w:p>
    <w:p w:rsidR="00332949" w:rsidRPr="00F76821" w:rsidRDefault="00332949" w:rsidP="00CA4FF5">
      <w:pPr>
        <w:tabs>
          <w:tab w:val="left" w:pos="567"/>
        </w:tabs>
        <w:suppressAutoHyphens/>
        <w:autoSpaceDE w:val="0"/>
        <w:autoSpaceDN w:val="0"/>
        <w:adjustRightInd w:val="0"/>
        <w:spacing w:after="0" w:line="360" w:lineRule="auto"/>
        <w:outlineLvl w:val="3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Список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используемой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литературы</w:t>
      </w:r>
    </w:p>
    <w:p w:rsidR="00332949" w:rsidRPr="00F76821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Pr="00CA4FF5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br w:type="page"/>
      </w:r>
      <w:r w:rsidRPr="00CA4FF5">
        <w:rPr>
          <w:rFonts w:ascii="Times New Roman" w:hAnsi="Times New Roman" w:cs="Times New Roman"/>
          <w:b/>
          <w:i/>
          <w:sz w:val="28"/>
          <w:szCs w:val="28"/>
        </w:rPr>
        <w:t xml:space="preserve">1. </w:t>
      </w:r>
      <w:r w:rsidRPr="00CA4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№1. Перечислите обязательные нормативы, устанавливаемые ЦБ РФ (Банком России) для кредитных организаций в целях обеспечения их устойчивости. Укажите размер уставного капитала для вновь создаваемых кредитных организаций и максимальный размер крупных кредитных рисков</w:t>
      </w:r>
    </w:p>
    <w:p w:rsidR="00332949" w:rsidRPr="00F76821" w:rsidRDefault="00332949" w:rsidP="00F76821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целях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обеспечения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экономических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условий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устойчивого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функционирования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защиты</w:t>
      </w:r>
      <w:r w:rsidR="00F15FC4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Федеральным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России)"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июля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2002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года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устанавливает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следующие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обязательные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экономические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организаций: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уставного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вновь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создаваемых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(капитала)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действующих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достаточности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ликвидности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максимальный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заемщика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связанных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заемщиков;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максимальный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крупных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рисков;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максимальный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(вкладчика);</w:t>
      </w:r>
    </w:p>
    <w:p w:rsidR="00332949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максимальный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гарантий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поручительств,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предоставляемых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своим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участникам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(акционерам,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пайщикам)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инсайдерам;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максимальный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привлеченных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денежных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(депозитов)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населения;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использования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приобретения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(акций)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других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юридических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лиц.</w:t>
      </w:r>
    </w:p>
    <w:p w:rsidR="00332949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Обязательные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предельный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неденежной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уставного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резервов,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создаваемых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высокорисковые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активы,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валютного,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процентного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-устанавливаются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другими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России.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уставного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вновь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создаваемых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(капитала)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действующих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организаций.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1.1.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уставного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вновь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создаваемых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устанавливается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соответственно: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апреля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1996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сумме,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эквивалентной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2,0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ограниченным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500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тыс.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ЭКЮ);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января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1997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3,0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ограниченным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750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тыс.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ЭКЮ);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января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1998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4,0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ограниченным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1,0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ЭКЮ);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июля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1998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ограниченным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1,250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ЭКЮ).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1.2.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(капитала)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определяемых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сумма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уставного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капитала,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фондов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нераспределенной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прибыли,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устанавливается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сумме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эквивалентной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(начиная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января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1999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г.).</w:t>
      </w:r>
    </w:p>
    <w:p w:rsidR="00332949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1.3.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Минимальный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(капитала)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ограниченным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устанавливается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сумме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эквивалентной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млн.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(начиная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января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1999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г.).</w:t>
      </w:r>
    </w:p>
    <w:p w:rsidR="00332949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6821" w:rsidRPr="00CA4FF5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br w:type="page"/>
      </w:r>
      <w:r w:rsidRPr="00CA4FF5">
        <w:rPr>
          <w:rFonts w:ascii="Times New Roman" w:hAnsi="Times New Roman" w:cs="Times New Roman"/>
          <w:b/>
          <w:i/>
          <w:sz w:val="28"/>
          <w:szCs w:val="28"/>
        </w:rPr>
        <w:t xml:space="preserve">2. </w:t>
      </w:r>
      <w:r w:rsidRPr="00CA4FF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Задание №2. Кредитная организация грубо нарушила федеральный закон по организации своей деятельности и формированию резервных фондов. На предписания Банка России о ликвидации нарушений она не реагировала, а при проверке предоставила аудиторам ложную информацию по существу вопроса. Каков порядок проведения проверок кредитных организаций? Какие возможные меры может принять Банк России за указанные нарушения?</w:t>
      </w:r>
    </w:p>
    <w:p w:rsidR="00F76821" w:rsidRPr="00CA4FF5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Центральным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издана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25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августа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2003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года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(далее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105-И).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(зарегистрирована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Минюсте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26.09.2003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5118)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вступит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силу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истечении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дней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после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дня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официального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опубликования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"Вестнике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России".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Со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дня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вступления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силу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указанного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относящиеся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филиалов),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применяются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противоречащей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Это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положение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относится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применяемой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настоящее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время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февраля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1996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России)"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(далее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34).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распространяется: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действующие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территории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организации;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обособленные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подразделения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(филиалы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внутренние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структурные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подразделения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местонахождения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(дополнительные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офисы,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операционные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кассы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кассового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узла,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обменные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пункты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внутренние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структурные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подразделения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получивших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лицензию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валютных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находящиеся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пределами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(при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наличии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соглашения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между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надзора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иностранного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государства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сотрудничестве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области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надзора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организаций);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дочерние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находящиеся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пределами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(при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наличии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соглашения).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Основной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целью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ранее,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является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оценка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месте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перспектив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выявление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факторов,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угрожающих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Однако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отличие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уточняет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конкретизирует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Это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оценка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общего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либо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отдельных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направлений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числе: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соблюдения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достоверности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(отчетности),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размеров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активов,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пассивов,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качества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активов,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величины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достаточности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собственных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(капитала),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управления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внутреннего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контроля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76821" w:rsidRPr="00F76821" w:rsidRDefault="00332949" w:rsidP="00F76821">
      <w:pPr>
        <w:pStyle w:val="a3"/>
        <w:tabs>
          <w:tab w:val="left" w:pos="0"/>
        </w:tabs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При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функций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регулирования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надзора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оценок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выводов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общем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либо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отдельных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направлениях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является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информация,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полученная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результате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дополнение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данным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отчетности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изменена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периодичность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Установлено,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что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проводятся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предусматривалось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комплексных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правило,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один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года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(понятие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"комплексная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проверка"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применяется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105-И).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Более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предполагает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усиление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контроля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стороны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своевременное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принятие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необходимых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целях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обеспечения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защиты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стабильности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системы.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По-прежнему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первую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очередь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также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очереди)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будут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проверяться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отношении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которых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имеются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данные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неустойчивом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положении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допущенных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грубых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нарушениях.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принимается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также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учетом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результатов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предыдущих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проводятся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(служащими)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основании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поручения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подтверждающего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полномочия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поручении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указывается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персональный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состав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представителей,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образующих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рабочую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группу.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Проверка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начинается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момента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предъявления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поручения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завершается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после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передачи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управления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ознакомления.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Проверяемый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период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может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превышать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пяти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года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осуществляемая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ходатайству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самой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проводится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вопросам,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период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сроки,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согласованные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вправе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более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одним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один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отчетный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период.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Исключение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составляют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случая: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когда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проводится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связи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реорганизацией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ликвидацией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организации;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если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осуществляется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мотивированному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решению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Совета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директоров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Мотивированное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может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приниматься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контроля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территориального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учреждения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проводившего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проверку,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основании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ходатайства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соответствующего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структурного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подразделения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содержащего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выявленные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признаки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неустойчивого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создающего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угрозу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вкладчиков.</w:t>
      </w:r>
    </w:p>
    <w:p w:rsidR="00F76821" w:rsidRPr="00F76821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"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повторной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основании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мотивированного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решения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одним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тем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же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вопросам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один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тот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же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отчетный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период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осуществляется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участии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представителей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центрального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аппарата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Банка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России.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N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105-И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предусмотрена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возможность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приостановления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прекращения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наличии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обстоятельств,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свидетельствующих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об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объективной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невозможности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нецелесообразности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дальнейшего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="00332949" w:rsidRPr="00F76821">
        <w:rPr>
          <w:rFonts w:ascii="Times New Roman" w:hAnsi="Times New Roman" w:cs="Times New Roman"/>
          <w:sz w:val="28"/>
          <w:szCs w:val="28"/>
        </w:rPr>
        <w:t>[1,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стр.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25].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Определена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процедура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приостановления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указаны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случаи,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которых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невозможно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продолжение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Это,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частности,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угрозы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жизни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здоровью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членов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Согласно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[7]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наличие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оснований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отзыва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лицензии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также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угроза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стабильности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дают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возможность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должностному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лицу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поручившему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принять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прекращении.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содержит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положений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приостановлении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прекращении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исключением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одного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упоминания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возможности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отмены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Следует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отметить,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что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значительно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подробнее,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регламентированы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обязанности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</w:p>
    <w:p w:rsidR="00F76821" w:rsidRPr="00F76821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"</w:t>
      </w:r>
      <w:r w:rsidR="00332949" w:rsidRPr="00F76821">
        <w:rPr>
          <w:rFonts w:ascii="Times New Roman" w:hAnsi="Times New Roman" w:cs="Times New Roman"/>
          <w:sz w:val="28"/>
          <w:szCs w:val="28"/>
        </w:rPr>
        <w:t>Уполномоченным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представителям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Банка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России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предоставлено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право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запрашивать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получать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от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руководителя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работников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проверяемой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все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необходимые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для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достижения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целей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(информацию)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проверяемый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период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(учредительные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положения,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регламенты,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правила,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иные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внутренние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материалы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службы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внутреннего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контроля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аудита,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аналитического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синтетического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учета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операциям,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счетам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вкладам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физических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юридических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лиц,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бухгалтерская,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статистическая,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финансовая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отчетность,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справки,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письменные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устные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разъяснения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руководителя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работников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валютного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контроля,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документы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исполнению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Федерального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закона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"О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противодействии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легализации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(отмыванию)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доходов,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полученных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преступным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путем,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финансированию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терроризма")</w:t>
      </w:r>
      <w:r w:rsidRPr="00F76821">
        <w:rPr>
          <w:rFonts w:ascii="Times New Roman" w:hAnsi="Times New Roman" w:cs="Times New Roman"/>
          <w:sz w:val="28"/>
          <w:szCs w:val="28"/>
        </w:rPr>
        <w:t>"</w:t>
      </w:r>
      <w:r w:rsidR="00332949" w:rsidRPr="00F76821">
        <w:rPr>
          <w:rFonts w:ascii="Times New Roman" w:hAnsi="Times New Roman" w:cs="Times New Roman"/>
          <w:sz w:val="28"/>
          <w:szCs w:val="28"/>
        </w:rPr>
        <w:t>[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3,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стр.77].</w:t>
      </w:r>
    </w:p>
    <w:p w:rsidR="00F76821" w:rsidRPr="00F76821" w:rsidRDefault="00F76821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"</w:t>
      </w:r>
      <w:r w:rsidR="00332949" w:rsidRPr="00F76821">
        <w:rPr>
          <w:rFonts w:ascii="Times New Roman" w:hAnsi="Times New Roman" w:cs="Times New Roman"/>
          <w:sz w:val="28"/>
          <w:szCs w:val="28"/>
        </w:rPr>
        <w:t>Руководитель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члены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рабочей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группы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вправе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входить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здания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другие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служебные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помещения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проверяемой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в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том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числе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занимаемые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подразделениями,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сбор,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обработку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хранение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информационных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ресурсов,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а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также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занимаемые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подразделениями,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осуществляющими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операции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наличными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денежными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средствами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другими</w:t>
      </w:r>
      <w:r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332949" w:rsidRPr="00F76821">
        <w:rPr>
          <w:rFonts w:ascii="Times New Roman" w:hAnsi="Times New Roman" w:cs="Times New Roman"/>
          <w:sz w:val="28"/>
          <w:szCs w:val="28"/>
        </w:rPr>
        <w:t>ценностями.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Документы,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необходимые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предоставляются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членам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основании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составленной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типовой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форме,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срок,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устанавливаемый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заявке.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содействовать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членам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определить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должностных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лиц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работников,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которые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взаимодействовать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членами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работники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проверяемой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обеспечивать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беспрепятственный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доступ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здания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другие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служебные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помещения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проверяемой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обеспечить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доступ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(информации),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необходимым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доступ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автоматизированным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банковским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информационным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неукоснительно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исполнять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объеме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сроки,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заявках</w:t>
      </w:r>
      <w:r w:rsidR="00F76821" w:rsidRPr="00F76821">
        <w:rPr>
          <w:rFonts w:ascii="Times New Roman" w:hAnsi="Times New Roman" w:cs="Times New Roman"/>
          <w:sz w:val="28"/>
          <w:szCs w:val="28"/>
        </w:rPr>
        <w:t>"</w:t>
      </w:r>
      <w:r w:rsidRPr="00F76821">
        <w:rPr>
          <w:rFonts w:ascii="Times New Roman" w:hAnsi="Times New Roman" w:cs="Times New Roman"/>
          <w:sz w:val="28"/>
          <w:szCs w:val="28"/>
        </w:rPr>
        <w:t>[4,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стр.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64-65].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Наличие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сведений,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содержащих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банковскую,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коммерческую,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служебную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иную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тайны,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может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служить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основанием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отказа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группе.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несут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ответственность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разглашение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сведений,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полученных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ходе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повлекшее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коммерческой,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служебной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тайн.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случае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отсутствия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возникновения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обстоятельств,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препятствующих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предоставлению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сроки,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главный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бухгалтер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истечения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срока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письменное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объяснение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причин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неисполнения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заявки.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Отдельные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разделы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[8]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посвящены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вопросам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подготовки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процедуре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оформления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противодействии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детально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определяет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структуру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содержание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который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оформляется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типовой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форме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приложением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должен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трех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частей: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вводной,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аналитической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заключительной.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Кредитная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должна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быть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ознакомлена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случае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несогласия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достоверностью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полнотой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сведений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выводами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рабочей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группы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руководитель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вправе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письменные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возражения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замечания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проверки.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отличие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регулирует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больший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круг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включены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существенные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значимости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объему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разделы,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посвященные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особенностям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выполнения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обязательных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резервов;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особенностям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работы,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совершения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отдельных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видов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наличной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иностранной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валютой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обменных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пунктах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операционных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кассах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кассового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узла;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отражены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особенности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зарубежных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дочерних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представительств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формы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типовых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документов,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изложенные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приложениях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Инструкции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приложения).</w:t>
      </w:r>
    </w:p>
    <w:p w:rsidR="00F76821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N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подробно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четко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регламентирует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осуществления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что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способствует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надзора,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устранению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возможности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злоупотреблений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стороны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защите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интересов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вкладчиков,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кредиторов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направлено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повышение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стабильности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системы.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Возможные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меры,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которые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может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принять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указанные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нарушения,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предусмотренных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статьями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38,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72-75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России)",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статьями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"О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деятельности"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федеральными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законами,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числе: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недостоверная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имущественном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положении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вследствие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установленного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бухгалтерского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искажения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бухгалтерской,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статистической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отчетности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(далее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недостоверность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(отчетности));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факты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(события)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несоблюдения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организацией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филиалом)</w:t>
      </w:r>
      <w:r w:rsidR="005442F2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законов,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издаваемых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соответствии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ними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предписаний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непредставление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представление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неполной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недостоверной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информации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(далее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филиала));</w:t>
      </w:r>
    </w:p>
    <w:p w:rsidR="00F76821" w:rsidRPr="00F76821" w:rsidRDefault="00332949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обстоятельства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филиала)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действия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(бездействие)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работников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(или)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управления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филиала),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являющиеся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актов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отрицательно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влияющие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либо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способные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оказать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отрицательное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влияние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финансовое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состояние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(ее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филиалом)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(или)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создающие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предпосылки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возникновения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нарушений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дополнительных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рисков.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нарушении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обязательных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резервов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имеет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право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списать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бесспорном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порядке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корреспондентского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счета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открытого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сумму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недовнесенных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средств,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также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взыскать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судебном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порядке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штраф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размере,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установленном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России.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Указанный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штраф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может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превышать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сумму,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исчисленную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исходя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из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двойной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ставки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рефинансирования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действовавшей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момент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принятия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судом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соответствующего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решения.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обязательные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резервы,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депонируемые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взыскания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обращаются.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76821">
        <w:rPr>
          <w:rFonts w:ascii="Times New Roman" w:hAnsi="Times New Roman"/>
          <w:color w:val="000000"/>
          <w:sz w:val="28"/>
          <w:szCs w:val="28"/>
        </w:rPr>
        <w:t>Для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осуществления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своих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функций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регулирования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банковского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надзора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Банк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проводит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проверки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кредитных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организаций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(их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филиалов),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направляет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им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обязательные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для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исполнения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предписания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об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устранении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выявленных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их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деятельности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нарушений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применяет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предусмотренные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настоящим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Федеральным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законом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санкции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по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отношению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к</w:t>
      </w:r>
      <w:r w:rsidR="00F76821" w:rsidRPr="00F768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color w:val="000000"/>
          <w:sz w:val="28"/>
          <w:szCs w:val="28"/>
        </w:rPr>
        <w:t>нарушителям.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случаях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нарушения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федеральных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законов,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издаваемых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соответствии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ними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актов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предписаний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непредставления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информации,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представления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неполной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недостоверной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информации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имеет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право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требовать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устранения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выявленных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нарушений,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взыскивать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штраф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0,1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процента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минимального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уставного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капитала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либо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ограничивать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проведение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отдельных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шести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месяцев.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случае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неисполнения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установленный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предписаний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устранении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нарушений,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выявленных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деятельности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также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случае,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если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эти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нарушения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совершаемые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сделки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создали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реальную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угрозу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интересам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кредиторов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(вкладчиков),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вправе: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1)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взыскать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штраф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процента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оплаченного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уставного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капитала,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более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1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процента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минимального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уставного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капитала;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2)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потребовать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организации: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мероприятий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финансовому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оздоровлению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том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числе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изменения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структуры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активов;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замены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руководителей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перечень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должностей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которых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указан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статье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60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настоящего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Федерального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закона;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3)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изменить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шести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месяцев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установленные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для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обязательные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нормативы;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4)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ввести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запрет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отдельных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банковских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операций,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предусмотренных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выданной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лицензией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банковских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операций,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одного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года,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также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открытие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филиалов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одного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года;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5)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назначить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временную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администрацию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управлению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организацией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шести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месяцев.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Порядок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назначения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деятельности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временной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администрации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устанавливается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федеральными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законами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издаваемыми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соответствии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ними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нормативными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актами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6)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ввести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запрет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если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результате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проведения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возникнут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основания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для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применения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мер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предупреждению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банкротства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предусмотренные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Федеральным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законом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"О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несостоятельности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(банкротстве)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организаций";</w:t>
      </w:r>
    </w:p>
    <w:p w:rsidR="00F76821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7)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предложить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учредителям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(участникам)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которые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самостоятельно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силу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существующего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между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ними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соглашения,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либо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участия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капитале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друг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друга,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либо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способов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прямого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или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косвенного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взаимодействия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имеют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возможность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оказывать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влияние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решения,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принимаемые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органами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управления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предпринять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действия,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направленные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увеличение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собственных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средств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(капитала)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размера,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обеспечивающего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соблюдение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ею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обязательных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нормативов.</w:t>
      </w:r>
    </w:p>
    <w:p w:rsidR="00332949" w:rsidRPr="00F76821" w:rsidRDefault="00332949" w:rsidP="00F76821">
      <w:pPr>
        <w:pStyle w:val="a8"/>
        <w:suppressAutoHyphens/>
        <w:spacing w:before="0" w:beforeAutospacing="0" w:after="0" w:afterAutospacing="0" w:line="360" w:lineRule="auto"/>
        <w:ind w:firstLine="709"/>
        <w:jc w:val="both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вправе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отозвать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кредитной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организации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лицензию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банковских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основаниям,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предусмотренным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Федеральным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законом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"О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банковской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деятельности".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Порядок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отзыва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лицензии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осуществление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банковских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операций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устанавливается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нормативными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актами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Банка</w:t>
      </w:r>
      <w:r w:rsidR="00F76821" w:rsidRPr="00F76821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F76821">
        <w:rPr>
          <w:rFonts w:ascii="Times New Roman" w:hAnsi="Times New Roman"/>
          <w:i/>
          <w:iCs/>
          <w:color w:val="000000"/>
          <w:sz w:val="28"/>
          <w:szCs w:val="28"/>
        </w:rPr>
        <w:t>России.</w:t>
      </w:r>
    </w:p>
    <w:p w:rsidR="00332949" w:rsidRPr="00F76821" w:rsidRDefault="00332949" w:rsidP="00F76821">
      <w:pPr>
        <w:pStyle w:val="a3"/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32949" w:rsidRPr="00F76821" w:rsidRDefault="00F76821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76821">
        <w:rPr>
          <w:rFonts w:ascii="Times New Roman" w:hAnsi="Times New Roman" w:cs="Times New Roman"/>
          <w:sz w:val="28"/>
          <w:szCs w:val="28"/>
        </w:rPr>
        <w:br w:type="page"/>
      </w:r>
      <w:r w:rsidR="00332949"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>Список</w:t>
      </w:r>
      <w:r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="00332949"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>используемой</w:t>
      </w:r>
      <w:r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 xml:space="preserve"> </w:t>
      </w:r>
      <w:r w:rsidR="00332949" w:rsidRPr="00F76821">
        <w:rPr>
          <w:rFonts w:ascii="Times New Roman" w:hAnsi="Times New Roman" w:cs="Times New Roman"/>
          <w:b/>
          <w:bCs/>
          <w:i/>
          <w:iCs/>
          <w:sz w:val="28"/>
          <w:szCs w:val="32"/>
        </w:rPr>
        <w:t>литературы</w:t>
      </w:r>
    </w:p>
    <w:p w:rsidR="00F76821" w:rsidRPr="00CA4FF5" w:rsidRDefault="00F76821" w:rsidP="00F76821">
      <w:pPr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iCs/>
          <w:sz w:val="28"/>
          <w:szCs w:val="32"/>
        </w:rPr>
      </w:pPr>
    </w:p>
    <w:p w:rsidR="00332949" w:rsidRPr="00CA4FF5" w:rsidRDefault="00332949" w:rsidP="00CA4FF5">
      <w:pPr>
        <w:suppressAutoHyphens/>
        <w:spacing w:after="0" w:line="360" w:lineRule="auto"/>
        <w:rPr>
          <w:rFonts w:ascii="Times New Roman" w:hAnsi="Times New Roman" w:cs="Times New Roman"/>
          <w:bCs/>
          <w:i/>
          <w:iCs/>
          <w:sz w:val="28"/>
          <w:szCs w:val="32"/>
        </w:rPr>
      </w:pPr>
      <w:r w:rsidRPr="00CA4FF5">
        <w:rPr>
          <w:rFonts w:ascii="Times New Roman" w:hAnsi="Times New Roman" w:cs="Times New Roman"/>
          <w:bCs/>
          <w:i/>
          <w:iCs/>
          <w:sz w:val="28"/>
          <w:szCs w:val="32"/>
        </w:rPr>
        <w:t>Нормативные</w:t>
      </w:r>
      <w:r w:rsidR="00F76821" w:rsidRPr="00CA4FF5">
        <w:rPr>
          <w:rFonts w:ascii="Times New Roman" w:hAnsi="Times New Roman" w:cs="Times New Roman"/>
          <w:bCs/>
          <w:i/>
          <w:iCs/>
          <w:sz w:val="28"/>
          <w:szCs w:val="32"/>
        </w:rPr>
        <w:t xml:space="preserve"> </w:t>
      </w:r>
      <w:r w:rsidRPr="00CA4FF5">
        <w:rPr>
          <w:rFonts w:ascii="Times New Roman" w:hAnsi="Times New Roman" w:cs="Times New Roman"/>
          <w:bCs/>
          <w:i/>
          <w:iCs/>
          <w:sz w:val="28"/>
          <w:szCs w:val="32"/>
        </w:rPr>
        <w:t>источники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Конституция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(принята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всенародном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голосовании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12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декабря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1993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газета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25.12.93</w:t>
      </w:r>
      <w:r w:rsidR="00CA4FF5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237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Гражданский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кодекс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(Часть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первая)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30.11.94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51-ФЗ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Собрание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05.12.94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32,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3301.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Гражданский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кодекс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(Часть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вторая)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26.01.96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14-ФЗ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Собрание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29.01.96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ст.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410.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Федеральный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02.12.1990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395-1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27.07.06)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газета,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27,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10.02.96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Федеральный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10.07.02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86-ФЗ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Центральном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(Банке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12.06.06)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Собрание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15.07.02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Федеральный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историях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30.12.04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218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ФЗ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21.07.05)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газета,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№2,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13.01.05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16.01.04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110-И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20.03.06)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обязательных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нормативах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Вестник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11,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11.02.04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Инструкция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25.08.03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105-И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16.12.04)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проведения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проверок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филиалов)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уполномоченными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представителями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Центрального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Вестник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67,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09.12.03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Положение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29.03.04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255-П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обязательных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резервах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27.09.06)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Вестник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25,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30.04.04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Положение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ЦБ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РФ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31.08.98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54-П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порядке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предоставления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(размещения)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кредитными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организациями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денежных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средств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их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возврата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(погашения)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" </w:t>
      </w:r>
      <w:r w:rsidRPr="00F76821">
        <w:rPr>
          <w:rFonts w:ascii="Times New Roman" w:hAnsi="Times New Roman" w:cs="Times New Roman"/>
          <w:sz w:val="28"/>
          <w:szCs w:val="28"/>
        </w:rPr>
        <w:t>(ред.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27.07.01)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Вестник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№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70-71,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08.10.98</w:t>
      </w:r>
    </w:p>
    <w:p w:rsidR="00332949" w:rsidRPr="00CA4FF5" w:rsidRDefault="00332949" w:rsidP="00CA4FF5">
      <w:pPr>
        <w:pStyle w:val="a3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Литература</w:t>
      </w:r>
      <w:r w:rsidR="00F76821"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основная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Общая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часть: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общ.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академика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Б.Н.Топорнина.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-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Юристъ,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2004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Особенная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часть: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Г.А.Тосунян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–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Юристъ,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2004.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–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Т.1.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Российской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Федерации.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Особенная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часть: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Г.А.Тосунян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–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Юристъ,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2004.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–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Т.2.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Эриащвили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Н.Д.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ВУЗов.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ЮНИТИ,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2007</w:t>
      </w:r>
    </w:p>
    <w:p w:rsidR="00332949" w:rsidRPr="00CA4FF5" w:rsidRDefault="00F76821" w:rsidP="00CA4FF5">
      <w:pPr>
        <w:pStyle w:val="a3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Литератур </w:t>
      </w:r>
      <w:r w:rsidR="00332949"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дополнительная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Алексеева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Д.Г.,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Хоменко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Е.Г.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Вопросы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ответы.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Юриспруденция,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2002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Банковский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аудит.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пособие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Л.С.Ефремовой.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Белорусский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гос.</w:t>
      </w:r>
      <w:r w:rsidR="00CA4FF5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экономический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университет,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2007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дело.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ВУЗов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Е.С.Жукова,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Н.Д.</w:t>
      </w:r>
      <w:r w:rsidR="00CA4FF5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Эриашвили.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ЮНИТИ,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CA4FF5">
        <w:rPr>
          <w:rFonts w:ascii="Times New Roman" w:hAnsi="Times New Roman" w:cs="Times New Roman"/>
          <w:sz w:val="28"/>
          <w:szCs w:val="28"/>
        </w:rPr>
        <w:t>2006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Жуков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Е.Ф.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законодательство.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ВУЗов.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Вузовский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2007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Лаврушин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О.И.,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Афанасьева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О.Н.,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Корниенк.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дело: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современная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кредитования.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пособие.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КноРус,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2007</w:t>
      </w:r>
    </w:p>
    <w:p w:rsidR="00F76821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Правовое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регулирование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деятельности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/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Под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ред.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Е.А.Суханова.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Учебно-консультационный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центр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ЮрИнфоР</w:t>
      </w:r>
      <w:r w:rsidR="00F76821" w:rsidRPr="00F76821">
        <w:rPr>
          <w:rFonts w:ascii="Times New Roman" w:hAnsi="Times New Roman" w:cs="Times New Roman"/>
          <w:sz w:val="28"/>
          <w:szCs w:val="28"/>
        </w:rPr>
        <w:t>"</w:t>
      </w:r>
      <w:r w:rsidRPr="00F76821">
        <w:rPr>
          <w:rFonts w:ascii="Times New Roman" w:hAnsi="Times New Roman" w:cs="Times New Roman"/>
          <w:sz w:val="28"/>
          <w:szCs w:val="28"/>
        </w:rPr>
        <w:t>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2000</w:t>
      </w:r>
    </w:p>
    <w:p w:rsidR="00332949" w:rsidRPr="00F76821" w:rsidRDefault="00332949" w:rsidP="00CA4FF5">
      <w:pPr>
        <w:pStyle w:val="a3"/>
        <w:numPr>
          <w:ilvl w:val="0"/>
          <w:numId w:val="3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Эриашвили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Н.Д.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Учебник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для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ВУЗов.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М.: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ЮНИТИ-ДАНА,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Закон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и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="00CA4FF5">
        <w:rPr>
          <w:rFonts w:ascii="Times New Roman" w:hAnsi="Times New Roman" w:cs="Times New Roman"/>
          <w:sz w:val="28"/>
          <w:szCs w:val="28"/>
        </w:rPr>
        <w:t>2000</w:t>
      </w:r>
    </w:p>
    <w:p w:rsidR="00332949" w:rsidRPr="00CA4FF5" w:rsidRDefault="00332949" w:rsidP="00CA4FF5">
      <w:pPr>
        <w:pStyle w:val="a3"/>
        <w:tabs>
          <w:tab w:val="left" w:pos="567"/>
        </w:tabs>
        <w:suppressAutoHyphens/>
        <w:spacing w:after="0" w:line="360" w:lineRule="auto"/>
        <w:ind w:left="0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Другие</w:t>
      </w:r>
      <w:r w:rsidR="00F76821"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информационные</w:t>
      </w:r>
      <w:r w:rsidR="00F76821"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Pr="00CA4FF5">
        <w:rPr>
          <w:rFonts w:ascii="Times New Roman" w:hAnsi="Times New Roman" w:cs="Times New Roman"/>
          <w:bCs/>
          <w:i/>
          <w:iCs/>
          <w:sz w:val="28"/>
          <w:szCs w:val="28"/>
        </w:rPr>
        <w:t>источники</w:t>
      </w:r>
    </w:p>
    <w:p w:rsidR="00332949" w:rsidRPr="00F76821" w:rsidRDefault="00332949" w:rsidP="00CA4FF5">
      <w:pPr>
        <w:pStyle w:val="a3"/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Справочно-информационные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системы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Гарант</w:t>
      </w:r>
      <w:r w:rsidR="00F76821" w:rsidRPr="00F76821">
        <w:rPr>
          <w:rFonts w:ascii="Times New Roman" w:hAnsi="Times New Roman" w:cs="Times New Roman"/>
          <w:sz w:val="28"/>
          <w:szCs w:val="28"/>
        </w:rPr>
        <w:t>"</w:t>
      </w:r>
      <w:r w:rsidRPr="00F76821">
        <w:rPr>
          <w:rFonts w:ascii="Times New Roman" w:hAnsi="Times New Roman" w:cs="Times New Roman"/>
          <w:sz w:val="28"/>
          <w:szCs w:val="28"/>
        </w:rPr>
        <w:t>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Консультант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Плюс</w:t>
      </w:r>
      <w:r w:rsidR="00F76821" w:rsidRPr="00F76821">
        <w:rPr>
          <w:rFonts w:ascii="Times New Roman" w:hAnsi="Times New Roman" w:cs="Times New Roman"/>
          <w:sz w:val="28"/>
          <w:szCs w:val="28"/>
        </w:rPr>
        <w:t>"</w:t>
      </w:r>
      <w:r w:rsidRPr="00F76821">
        <w:rPr>
          <w:rFonts w:ascii="Times New Roman" w:hAnsi="Times New Roman" w:cs="Times New Roman"/>
          <w:sz w:val="28"/>
          <w:szCs w:val="28"/>
        </w:rPr>
        <w:t>.</w:t>
      </w:r>
    </w:p>
    <w:p w:rsidR="00332949" w:rsidRPr="00F76821" w:rsidRDefault="00332949" w:rsidP="00CA4FF5">
      <w:pPr>
        <w:pStyle w:val="a3"/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F76821">
        <w:rPr>
          <w:rFonts w:ascii="Times New Roman" w:hAnsi="Times New Roman" w:cs="Times New Roman"/>
          <w:sz w:val="28"/>
          <w:szCs w:val="28"/>
        </w:rPr>
        <w:t>Журнал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"</w:t>
      </w:r>
      <w:r w:rsidRPr="00F76821">
        <w:rPr>
          <w:rFonts w:ascii="Times New Roman" w:hAnsi="Times New Roman" w:cs="Times New Roman"/>
          <w:sz w:val="28"/>
          <w:szCs w:val="28"/>
        </w:rPr>
        <w:t>Банковское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право</w:t>
      </w:r>
      <w:r w:rsidR="00F76821" w:rsidRPr="00F76821">
        <w:rPr>
          <w:rFonts w:ascii="Times New Roman" w:hAnsi="Times New Roman" w:cs="Times New Roman"/>
          <w:sz w:val="28"/>
          <w:szCs w:val="28"/>
        </w:rPr>
        <w:t>"</w:t>
      </w:r>
    </w:p>
    <w:p w:rsidR="00332949" w:rsidRPr="00F76821" w:rsidRDefault="00332949" w:rsidP="00CA4FF5">
      <w:pPr>
        <w:pStyle w:val="a3"/>
        <w:numPr>
          <w:ilvl w:val="0"/>
          <w:numId w:val="8"/>
        </w:numPr>
        <w:tabs>
          <w:tab w:val="left" w:pos="567"/>
        </w:tabs>
        <w:suppressAutoHyphens/>
        <w:spacing w:after="0" w:line="360" w:lineRule="auto"/>
        <w:ind w:left="0" w:firstLine="0"/>
        <w:rPr>
          <w:rFonts w:ascii="Times New Roman" w:hAnsi="Times New Roman" w:cs="Times New Roman"/>
          <w:b/>
          <w:bCs/>
          <w:i/>
          <w:iCs/>
          <w:sz w:val="28"/>
          <w:szCs w:val="32"/>
        </w:rPr>
      </w:pPr>
      <w:r w:rsidRPr="00F76821">
        <w:rPr>
          <w:rFonts w:ascii="Times New Roman" w:hAnsi="Times New Roman" w:cs="Times New Roman"/>
          <w:sz w:val="28"/>
          <w:szCs w:val="28"/>
          <w:lang w:val="en-US"/>
        </w:rPr>
        <w:t>Banker</w:t>
      </w:r>
      <w:r w:rsidRPr="00F76821">
        <w:rPr>
          <w:rFonts w:ascii="Times New Roman" w:hAnsi="Times New Roman" w:cs="Times New Roman"/>
          <w:sz w:val="28"/>
          <w:szCs w:val="28"/>
        </w:rPr>
        <w:t>.</w:t>
      </w:r>
      <w:r w:rsidRPr="00F76821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(тематика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материалов: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банковские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новости,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Аналитика,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банковский</w:t>
      </w:r>
      <w:r w:rsidR="00F76821" w:rsidRPr="00F76821">
        <w:rPr>
          <w:rFonts w:ascii="Times New Roman" w:hAnsi="Times New Roman" w:cs="Times New Roman"/>
          <w:sz w:val="28"/>
          <w:szCs w:val="28"/>
        </w:rPr>
        <w:t xml:space="preserve"> </w:t>
      </w:r>
      <w:r w:rsidRPr="00F76821">
        <w:rPr>
          <w:rFonts w:ascii="Times New Roman" w:hAnsi="Times New Roman" w:cs="Times New Roman"/>
          <w:sz w:val="28"/>
          <w:szCs w:val="28"/>
        </w:rPr>
        <w:t>архив).</w:t>
      </w:r>
      <w:bookmarkStart w:id="0" w:name="_GoBack"/>
      <w:bookmarkEnd w:id="0"/>
    </w:p>
    <w:sectPr w:rsidR="00332949" w:rsidRPr="00F76821" w:rsidSect="00F76821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18A" w:rsidRDefault="0061618A" w:rsidP="00817123">
      <w:pPr>
        <w:spacing w:after="0" w:line="240" w:lineRule="auto"/>
      </w:pPr>
      <w:r>
        <w:separator/>
      </w:r>
    </w:p>
  </w:endnote>
  <w:endnote w:type="continuationSeparator" w:id="0">
    <w:p w:rsidR="0061618A" w:rsidRDefault="0061618A" w:rsidP="00817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18A" w:rsidRDefault="0061618A" w:rsidP="00817123">
      <w:pPr>
        <w:spacing w:after="0" w:line="240" w:lineRule="auto"/>
      </w:pPr>
      <w:r>
        <w:separator/>
      </w:r>
    </w:p>
  </w:footnote>
  <w:footnote w:type="continuationSeparator" w:id="0">
    <w:p w:rsidR="0061618A" w:rsidRDefault="0061618A" w:rsidP="00817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30DE8"/>
    <w:multiLevelType w:val="hybridMultilevel"/>
    <w:tmpl w:val="851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4AC2E9D"/>
    <w:multiLevelType w:val="hybridMultilevel"/>
    <w:tmpl w:val="F74E09BA"/>
    <w:lvl w:ilvl="0" w:tplc="C6C02F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8BB56BD"/>
    <w:multiLevelType w:val="hybridMultilevel"/>
    <w:tmpl w:val="AA48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A483807"/>
    <w:multiLevelType w:val="hybridMultilevel"/>
    <w:tmpl w:val="829872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0C61AE"/>
    <w:multiLevelType w:val="hybridMultilevel"/>
    <w:tmpl w:val="98E2C24E"/>
    <w:lvl w:ilvl="0" w:tplc="C1009B8C">
      <w:start w:val="22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2FE08A7"/>
    <w:multiLevelType w:val="hybridMultilevel"/>
    <w:tmpl w:val="AA4806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9C3492C"/>
    <w:multiLevelType w:val="hybridMultilevel"/>
    <w:tmpl w:val="846E00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4692493"/>
    <w:multiLevelType w:val="hybridMultilevel"/>
    <w:tmpl w:val="3590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7"/>
  </w:num>
  <w:num w:numId="5">
    <w:abstractNumId w:val="0"/>
  </w:num>
  <w:num w:numId="6">
    <w:abstractNumId w:val="3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21C3"/>
    <w:rsid w:val="00004FA0"/>
    <w:rsid w:val="00042597"/>
    <w:rsid w:val="00082DB1"/>
    <w:rsid w:val="000C60F0"/>
    <w:rsid w:val="000D0710"/>
    <w:rsid w:val="00152ED1"/>
    <w:rsid w:val="001B3008"/>
    <w:rsid w:val="001E4820"/>
    <w:rsid w:val="0028011C"/>
    <w:rsid w:val="002C44EE"/>
    <w:rsid w:val="002F31D3"/>
    <w:rsid w:val="00332949"/>
    <w:rsid w:val="003522E7"/>
    <w:rsid w:val="003A4765"/>
    <w:rsid w:val="003B449D"/>
    <w:rsid w:val="004400FD"/>
    <w:rsid w:val="0047131E"/>
    <w:rsid w:val="004841D7"/>
    <w:rsid w:val="004A2999"/>
    <w:rsid w:val="004B42A1"/>
    <w:rsid w:val="004F3F11"/>
    <w:rsid w:val="005025D1"/>
    <w:rsid w:val="00504616"/>
    <w:rsid w:val="005442F2"/>
    <w:rsid w:val="005562D7"/>
    <w:rsid w:val="00597580"/>
    <w:rsid w:val="005C215A"/>
    <w:rsid w:val="006020B7"/>
    <w:rsid w:val="0061618A"/>
    <w:rsid w:val="00670D8D"/>
    <w:rsid w:val="007229CB"/>
    <w:rsid w:val="007658D8"/>
    <w:rsid w:val="00783E01"/>
    <w:rsid w:val="007B6D4B"/>
    <w:rsid w:val="00816F14"/>
    <w:rsid w:val="00817123"/>
    <w:rsid w:val="00856686"/>
    <w:rsid w:val="00877D34"/>
    <w:rsid w:val="00890CD8"/>
    <w:rsid w:val="00893EA6"/>
    <w:rsid w:val="00972895"/>
    <w:rsid w:val="009B7094"/>
    <w:rsid w:val="009C2984"/>
    <w:rsid w:val="009D2A07"/>
    <w:rsid w:val="00AC0BD4"/>
    <w:rsid w:val="00B11158"/>
    <w:rsid w:val="00BF4847"/>
    <w:rsid w:val="00BF70BE"/>
    <w:rsid w:val="00C41874"/>
    <w:rsid w:val="00C6456D"/>
    <w:rsid w:val="00CA4FF5"/>
    <w:rsid w:val="00D952ED"/>
    <w:rsid w:val="00E11779"/>
    <w:rsid w:val="00E321C3"/>
    <w:rsid w:val="00EA2310"/>
    <w:rsid w:val="00EE32F5"/>
    <w:rsid w:val="00F03F59"/>
    <w:rsid w:val="00F15FC4"/>
    <w:rsid w:val="00F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FA16456-C35A-44D8-8305-1E0FCB8E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15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21C3"/>
    <w:pPr>
      <w:ind w:left="720"/>
    </w:pPr>
  </w:style>
  <w:style w:type="paragraph" w:styleId="a4">
    <w:name w:val="header"/>
    <w:basedOn w:val="a"/>
    <w:link w:val="a5"/>
    <w:uiPriority w:val="99"/>
    <w:rsid w:val="008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817123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8171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semiHidden/>
    <w:locked/>
    <w:rsid w:val="00817123"/>
    <w:rPr>
      <w:rFonts w:cs="Times New Roman"/>
    </w:rPr>
  </w:style>
  <w:style w:type="paragraph" w:styleId="a8">
    <w:name w:val="Normal (Web)"/>
    <w:basedOn w:val="a"/>
    <w:uiPriority w:val="99"/>
    <w:semiHidden/>
    <w:rsid w:val="00082DB1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3530</Words>
  <Characters>20127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2010-07-26T06:52:00Z</cp:lastPrinted>
  <dcterms:created xsi:type="dcterms:W3CDTF">2014-03-01T12:27:00Z</dcterms:created>
  <dcterms:modified xsi:type="dcterms:W3CDTF">2014-03-01T12:27:00Z</dcterms:modified>
</cp:coreProperties>
</file>