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38" w:rsidRPr="00397DD8" w:rsidRDefault="00397DD8" w:rsidP="00101421">
      <w:pPr>
        <w:spacing w:line="360" w:lineRule="auto"/>
        <w:ind w:firstLine="709"/>
        <w:jc w:val="center"/>
        <w:rPr>
          <w:sz w:val="28"/>
          <w:szCs w:val="28"/>
        </w:rPr>
      </w:pPr>
      <w:r w:rsidRPr="00397DD8">
        <w:rPr>
          <w:sz w:val="28"/>
          <w:szCs w:val="28"/>
        </w:rPr>
        <w:t>Федеральное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агентство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образованию</w:t>
      </w:r>
    </w:p>
    <w:p w:rsidR="00401338" w:rsidRPr="00397DD8" w:rsidRDefault="00397DD8" w:rsidP="00101421">
      <w:pPr>
        <w:spacing w:line="360" w:lineRule="auto"/>
        <w:ind w:firstLine="709"/>
        <w:jc w:val="center"/>
        <w:rPr>
          <w:sz w:val="28"/>
          <w:szCs w:val="28"/>
        </w:rPr>
      </w:pPr>
      <w:r w:rsidRPr="00397DD8">
        <w:rPr>
          <w:sz w:val="28"/>
          <w:szCs w:val="28"/>
        </w:rPr>
        <w:t>Московский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государственный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университет</w:t>
      </w:r>
    </w:p>
    <w:p w:rsidR="00401338" w:rsidRPr="00397DD8" w:rsidRDefault="00397DD8" w:rsidP="00101421">
      <w:pPr>
        <w:spacing w:line="360" w:lineRule="auto"/>
        <w:ind w:firstLine="709"/>
        <w:jc w:val="center"/>
        <w:rPr>
          <w:sz w:val="28"/>
          <w:szCs w:val="28"/>
        </w:rPr>
      </w:pPr>
      <w:r w:rsidRPr="00397DD8">
        <w:rPr>
          <w:sz w:val="28"/>
          <w:szCs w:val="28"/>
        </w:rPr>
        <w:t>Технологий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управления</w:t>
      </w: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397DD8">
        <w:rPr>
          <w:b/>
          <w:sz w:val="28"/>
          <w:szCs w:val="48"/>
        </w:rPr>
        <w:t>Контрольная</w:t>
      </w:r>
      <w:r w:rsidR="00397DD8">
        <w:rPr>
          <w:b/>
          <w:sz w:val="28"/>
          <w:szCs w:val="48"/>
        </w:rPr>
        <w:t xml:space="preserve"> </w:t>
      </w:r>
      <w:r w:rsidRPr="00397DD8">
        <w:rPr>
          <w:b/>
          <w:sz w:val="28"/>
          <w:szCs w:val="48"/>
        </w:rPr>
        <w:t>работа</w:t>
      </w:r>
    </w:p>
    <w:p w:rsidR="00101421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дисциплине</w:t>
      </w:r>
      <w:r w:rsidR="00101421">
        <w:rPr>
          <w:sz w:val="28"/>
          <w:szCs w:val="28"/>
        </w:rPr>
        <w:t xml:space="preserve">: </w:t>
      </w:r>
      <w:r w:rsidRPr="00397DD8">
        <w:rPr>
          <w:sz w:val="28"/>
          <w:szCs w:val="28"/>
        </w:rPr>
        <w:t>Безопасность</w:t>
      </w:r>
      <w:r w:rsidR="00397DD8" w:rsidRPr="00397DD8">
        <w:rPr>
          <w:sz w:val="28"/>
          <w:szCs w:val="28"/>
        </w:rPr>
        <w:t xml:space="preserve"> </w:t>
      </w:r>
      <w:r w:rsidR="00101421">
        <w:rPr>
          <w:sz w:val="28"/>
          <w:szCs w:val="28"/>
        </w:rPr>
        <w:t>жизнедеятельности</w:t>
      </w:r>
    </w:p>
    <w:p w:rsidR="00401338" w:rsidRPr="00397DD8" w:rsidRDefault="00AC5B33" w:rsidP="00101421">
      <w:pPr>
        <w:spacing w:line="360" w:lineRule="auto"/>
        <w:ind w:firstLine="709"/>
        <w:jc w:val="center"/>
        <w:rPr>
          <w:sz w:val="28"/>
          <w:szCs w:val="28"/>
        </w:rPr>
      </w:pPr>
      <w:r w:rsidRPr="00397DD8">
        <w:rPr>
          <w:sz w:val="28"/>
          <w:szCs w:val="28"/>
        </w:rPr>
        <w:t>н</w:t>
      </w:r>
      <w:r w:rsidR="00401338" w:rsidRPr="00397DD8">
        <w:rPr>
          <w:sz w:val="28"/>
          <w:szCs w:val="28"/>
        </w:rPr>
        <w:t>а</w:t>
      </w:r>
      <w:r w:rsidR="00397DD8" w:rsidRP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тем</w:t>
      </w:r>
      <w:r w:rsidR="00101421">
        <w:rPr>
          <w:sz w:val="28"/>
          <w:szCs w:val="28"/>
        </w:rPr>
        <w:t>у</w:t>
      </w:r>
      <w:r w:rsidR="00401338" w:rsidRPr="00397DD8">
        <w:rPr>
          <w:sz w:val="28"/>
          <w:szCs w:val="28"/>
        </w:rPr>
        <w:t>:</w:t>
      </w:r>
    </w:p>
    <w:p w:rsidR="00401338" w:rsidRPr="00397DD8" w:rsidRDefault="00101421" w:rsidP="00101421">
      <w:pPr>
        <w:spacing w:line="360" w:lineRule="auto"/>
        <w:ind w:firstLine="709"/>
        <w:jc w:val="center"/>
        <w:rPr>
          <w:sz w:val="28"/>
          <w:szCs w:val="36"/>
        </w:rPr>
      </w:pPr>
      <w:r>
        <w:rPr>
          <w:sz w:val="28"/>
          <w:szCs w:val="36"/>
        </w:rPr>
        <w:t>Обеспечение электробезопасности. Виды освещения</w:t>
      </w: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401338" w:rsidP="00101421">
      <w:pPr>
        <w:spacing w:line="360" w:lineRule="auto"/>
        <w:ind w:firstLine="709"/>
        <w:jc w:val="center"/>
        <w:rPr>
          <w:sz w:val="28"/>
          <w:szCs w:val="28"/>
        </w:rPr>
      </w:pPr>
    </w:p>
    <w:p w:rsidR="0040133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36"/>
        </w:rPr>
        <w:t>Содержание</w:t>
      </w: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397DD8" w:rsidRPr="00397DD8" w:rsidRDefault="00397DD8" w:rsidP="00397DD8">
      <w:pPr>
        <w:spacing w:line="360" w:lineRule="auto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1.Инженерно-технические мероприятия по обеспечению электро-безопасности</w:t>
      </w:r>
    </w:p>
    <w:p w:rsidR="00397DD8" w:rsidRPr="00397DD8" w:rsidRDefault="00397DD8" w:rsidP="00397DD8">
      <w:pPr>
        <w:spacing w:line="360" w:lineRule="auto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2.Виды и системы искусственного освещения, принцип нормирования и расчета</w:t>
      </w:r>
    </w:p>
    <w:p w:rsidR="00397DD8" w:rsidRPr="00397DD8" w:rsidRDefault="00397DD8" w:rsidP="00397DD8">
      <w:pPr>
        <w:spacing w:line="360" w:lineRule="auto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3.Задача № 5.3</w:t>
      </w:r>
    </w:p>
    <w:p w:rsidR="00397DD8" w:rsidRPr="00397DD8" w:rsidRDefault="00397DD8" w:rsidP="00397DD8">
      <w:pPr>
        <w:spacing w:line="360" w:lineRule="auto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4.Задача № 18.1</w:t>
      </w:r>
    </w:p>
    <w:p w:rsidR="00397DD8" w:rsidRDefault="00397DD8" w:rsidP="00397DD8">
      <w:pPr>
        <w:spacing w:line="360" w:lineRule="auto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Список используемой литературы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Pr="00397DD8">
        <w:rPr>
          <w:b/>
          <w:sz w:val="28"/>
          <w:szCs w:val="28"/>
        </w:rPr>
        <w:t>1.Инженерно-технические меропр</w:t>
      </w:r>
      <w:r w:rsidR="00101421">
        <w:rPr>
          <w:b/>
          <w:sz w:val="28"/>
          <w:szCs w:val="28"/>
        </w:rPr>
        <w:t>иятия по обеспечению электро</w:t>
      </w:r>
      <w:r w:rsidRPr="00397DD8">
        <w:rPr>
          <w:b/>
          <w:sz w:val="28"/>
          <w:szCs w:val="28"/>
        </w:rPr>
        <w:t>безопасности</w:t>
      </w:r>
    </w:p>
    <w:p w:rsid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Степень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вредного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дуги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электромагнитных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от:</w:t>
      </w:r>
    </w:p>
    <w:p w:rsidR="00401338" w:rsidRPr="00397DD8" w:rsidRDefault="00401338" w:rsidP="00397DD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рода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величины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тока;</w:t>
      </w:r>
    </w:p>
    <w:p w:rsidR="00401338" w:rsidRPr="00397DD8" w:rsidRDefault="00401338" w:rsidP="00397DD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частоты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тока;</w:t>
      </w:r>
    </w:p>
    <w:p w:rsidR="00401338" w:rsidRPr="00397DD8" w:rsidRDefault="00401338" w:rsidP="00397DD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пути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через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человека;</w:t>
      </w:r>
    </w:p>
    <w:p w:rsidR="00401338" w:rsidRPr="00397DD8" w:rsidRDefault="00401338" w:rsidP="00397DD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продолжительности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электромагнитного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человека;</w:t>
      </w:r>
    </w:p>
    <w:p w:rsidR="00401338" w:rsidRPr="00397DD8" w:rsidRDefault="00401338" w:rsidP="00397DD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условий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внешней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среды.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Нормы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соответствии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утверждаться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порядке.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Электробезопасность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обеспечиваться:</w:t>
      </w:r>
    </w:p>
    <w:p w:rsidR="00401338" w:rsidRPr="00397DD8" w:rsidRDefault="00401338" w:rsidP="00397DD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конструкцией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электроустановок;</w:t>
      </w:r>
    </w:p>
    <w:p w:rsidR="00401338" w:rsidRPr="00397DD8" w:rsidRDefault="00401338" w:rsidP="00397DD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техническими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защиты;</w:t>
      </w:r>
    </w:p>
    <w:p w:rsidR="00401338" w:rsidRPr="00397DD8" w:rsidRDefault="00401338" w:rsidP="00397DD8">
      <w:pPr>
        <w:numPr>
          <w:ilvl w:val="0"/>
          <w:numId w:val="1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организационными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техническими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мероприятиями.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Электроустановки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подвергались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вредным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воздействиям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электромагнитных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соответствовать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требованиям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электробезопасности.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(правила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нормы)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конструкции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устройству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электротехнические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изделия.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Технические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электробезопасность,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учетом: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номинального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рода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электроустановки;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способа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электроснабжения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стационарной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автономного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электроэнергией);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режима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нейтрали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(средней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точки)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электроэнергией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(изолированная,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нейтраль);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вида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исполнения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(стационарные,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подвижные,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переносные);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условий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внешней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среды:</w:t>
      </w:r>
    </w:p>
    <w:p w:rsidR="00401338" w:rsidRPr="00397DD8" w:rsidRDefault="00401338" w:rsidP="00397DD8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особо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помещения;</w:t>
      </w:r>
    </w:p>
    <w:p w:rsidR="00401338" w:rsidRPr="00397DD8" w:rsidRDefault="00401338" w:rsidP="00397DD8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повышенной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опасности;</w:t>
      </w:r>
    </w:p>
    <w:p w:rsidR="00401338" w:rsidRPr="00397DD8" w:rsidRDefault="00401338" w:rsidP="00397DD8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повышенной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опасности;</w:t>
      </w:r>
    </w:p>
    <w:p w:rsidR="00401338" w:rsidRPr="00397DD8" w:rsidRDefault="00401338" w:rsidP="00397DD8">
      <w:pPr>
        <w:numPr>
          <w:ilvl w:val="1"/>
          <w:numId w:val="2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открытом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воздухе.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возможности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снятия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вблизи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производиться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характера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возможного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элементам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цепи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тока:</w:t>
      </w:r>
    </w:p>
    <w:p w:rsidR="00401338" w:rsidRPr="00397DD8" w:rsidRDefault="00401338" w:rsidP="00397DD8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однофазное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(однополюсное)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прикосновение;</w:t>
      </w:r>
    </w:p>
    <w:p w:rsidR="00401338" w:rsidRPr="00397DD8" w:rsidRDefault="00401338" w:rsidP="00397DD8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двухфазное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(двухполюсное)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прикосновение;</w:t>
      </w:r>
    </w:p>
    <w:p w:rsidR="00401338" w:rsidRPr="00397DD8" w:rsidRDefault="00401338" w:rsidP="00397DD8">
      <w:pPr>
        <w:numPr>
          <w:ilvl w:val="1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прикосновение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нетоковедущим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частям,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оказавшимся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напряжением.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возможности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приближения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частям,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находящимся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расстоянии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меньше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попадания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зону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растекания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тока;</w:t>
      </w:r>
    </w:p>
    <w:p w:rsidR="00401338" w:rsidRPr="00397DD8" w:rsidRDefault="00401338" w:rsidP="00397DD8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видов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монтаж,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наладка,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испытание,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осуществляемых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воздушных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электропередачи.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нормативно-технической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документацией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утвержденной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порядке.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назначения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содержаться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прилагаемых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инструкциях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предприятий-изготовителей.</w:t>
      </w:r>
    </w:p>
    <w:p w:rsidR="00401338" w:rsidRPr="00397DD8" w:rsidRDefault="00401338" w:rsidP="00397DD8">
      <w:pPr>
        <w:pStyle w:val="1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Обеспечение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электробезопасности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техническими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способами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средствами</w:t>
      </w:r>
      <w:r w:rsidR="00F85EC3">
        <w:rPr>
          <w:b w:val="0"/>
          <w:sz w:val="28"/>
          <w:szCs w:val="28"/>
        </w:rPr>
        <w:t>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случайного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частям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средства: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защитные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оболочки;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защитные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ограждения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(временные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стационарные);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безопасное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изоляцию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(рабочую,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дополнительную,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усиленную,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двойную);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изоляцию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малое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защитное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отключение;</w:t>
      </w:r>
    </w:p>
    <w:p w:rsidR="00401338" w:rsidRPr="00397DD8" w:rsidRDefault="00401338" w:rsidP="00397DD8">
      <w:pPr>
        <w:numPr>
          <w:ilvl w:val="1"/>
          <w:numId w:val="2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предупредительную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сигнализацию,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блокировку,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поражения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прикосновении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нетоковедущим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частям,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оказаться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повреждений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изоляции,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способы: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защитное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заземление;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зануление: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выравнивание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потенциала;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система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проводов;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защитное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отключение;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изоляцию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электрическое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разделение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сети;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малое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контроль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изоляции;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компенсация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замыкания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землю;</w:t>
      </w:r>
    </w:p>
    <w:p w:rsidR="00401338" w:rsidRPr="00397DD8" w:rsidRDefault="00401338" w:rsidP="00397DD8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средства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индивидуальной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Технические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раздельно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сочетании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обеспечивалось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оптимальная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условиях.</w:t>
      </w:r>
    </w:p>
    <w:p w:rsidR="00401338" w:rsidRPr="00397DD8" w:rsidRDefault="00401338" w:rsidP="00397DD8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Организация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технические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мероприятия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по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обеспечению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электробезопасности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допускаться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лица,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прошедшие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инструктаж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проверку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инструкций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соответствии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занимаемой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должностью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применительно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присвоением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соответствующей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квалификационной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группы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технике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медицинских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противопоказаний.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действующих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организационные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мероприятия: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назначение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лиц,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ответственных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организацию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работ;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оформление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наряда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работ;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осуществление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проведению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работ;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организация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надзора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проведением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работ;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оформление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окончания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перерывов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переводов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места;</w:t>
      </w:r>
    </w:p>
    <w:p w:rsidR="00401338" w:rsidRPr="00397DD8" w:rsidRDefault="00401338" w:rsidP="00397DD8">
      <w:pPr>
        <w:numPr>
          <w:ilvl w:val="1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установление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рациональных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режимов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отдыха.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Конкретные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перечни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наряду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распоряжению,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отраслевой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документации.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выполнять: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отключение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(части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питания;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проверка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отсутствия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напряжения;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механическое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запирание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коммутационных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аппаратов;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снятие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предохранителей,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отсоединение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концов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исключающие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возможность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ошибочной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работы;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заземление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отключенных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(наложение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переносных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заземлителей,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включение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заземляющих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ножей);</w:t>
      </w:r>
    </w:p>
    <w:p w:rsidR="00401338" w:rsidRPr="00397DD8" w:rsidRDefault="00401338" w:rsidP="00397DD8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ограждение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остающихся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процессе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прикоснуться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приблизиться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недопустимое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расстояние.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проведении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снятием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действующих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вблизи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них:</w:t>
      </w:r>
    </w:p>
    <w:p w:rsidR="00401338" w:rsidRPr="00397DD8" w:rsidRDefault="00401338" w:rsidP="00397DD8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отключите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(части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электроэнергией;</w:t>
      </w:r>
    </w:p>
    <w:p w:rsidR="00401338" w:rsidRPr="00397DD8" w:rsidRDefault="00401338" w:rsidP="00397DD8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механическое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запирание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отключенных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коммутационных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аппаратов,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снятие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предохранителей,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отсоединение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концов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невозможность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ошибочной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работы;</w:t>
      </w:r>
    </w:p>
    <w:p w:rsidR="00401338" w:rsidRPr="00397DD8" w:rsidRDefault="00401338" w:rsidP="00397DD8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установку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ограждение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остающихся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процессе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прикоснуться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приблизиться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недопустимое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расстояние;</w:t>
      </w:r>
    </w:p>
    <w:p w:rsidR="00401338" w:rsidRPr="00397DD8" w:rsidRDefault="00401338" w:rsidP="00397DD8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наложение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(включение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заземляющих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ножей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нолежение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переносных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заземлений);</w:t>
      </w:r>
    </w:p>
    <w:p w:rsidR="00401338" w:rsidRPr="00397DD8" w:rsidRDefault="00401338" w:rsidP="00397DD8">
      <w:pPr>
        <w:numPr>
          <w:ilvl w:val="1"/>
          <w:numId w:val="2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ограждение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предписывающих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проведении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токоведущих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находящихся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напряжением:</w:t>
      </w:r>
    </w:p>
    <w:p w:rsidR="00401338" w:rsidRPr="00397DD8" w:rsidRDefault="00401338" w:rsidP="00397DD8">
      <w:pPr>
        <w:numPr>
          <w:ilvl w:val="1"/>
          <w:numId w:val="2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выполнение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наряду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двумя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лицами,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электрозащитных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средств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механизмов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приспособлений.</w:t>
      </w:r>
    </w:p>
    <w:p w:rsidR="00401338" w:rsidRPr="00397DD8" w:rsidRDefault="00401338" w:rsidP="00397DD8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Контроль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требований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электробезопасности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Контроль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электробезопасности,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настоящим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проводиться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этапах:</w:t>
      </w:r>
    </w:p>
    <w:p w:rsidR="00401338" w:rsidRPr="00397DD8" w:rsidRDefault="00401338" w:rsidP="00397DD8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проектирование;</w:t>
      </w:r>
    </w:p>
    <w:p w:rsidR="00401338" w:rsidRPr="00397DD8" w:rsidRDefault="00401338" w:rsidP="00397DD8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изготовление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(включая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испытания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ввод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эксплуатацию);</w:t>
      </w:r>
    </w:p>
    <w:p w:rsidR="00401338" w:rsidRPr="00397DD8" w:rsidRDefault="00401338" w:rsidP="00397DD8">
      <w:pPr>
        <w:numPr>
          <w:ilvl w:val="1"/>
          <w:numId w:val="3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эксплуатация.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397DD8">
        <w:rPr>
          <w:b/>
          <w:sz w:val="28"/>
          <w:szCs w:val="36"/>
        </w:rPr>
        <w:t>2.Виды и системы искусственно</w:t>
      </w:r>
      <w:r w:rsidR="00101421">
        <w:rPr>
          <w:b/>
          <w:sz w:val="28"/>
          <w:szCs w:val="36"/>
        </w:rPr>
        <w:t>го освещения, принцип нормирова</w:t>
      </w:r>
      <w:r w:rsidRPr="00397DD8">
        <w:rPr>
          <w:b/>
          <w:sz w:val="28"/>
          <w:szCs w:val="36"/>
        </w:rPr>
        <w:t>ния и расчета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предусматривается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недостаточно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суток,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отсутствует.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(все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освещаются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однотипными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освещаемой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снабженными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одинаковой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мощности)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добавляется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находящимися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аппарата,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приборов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т.д.).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только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недопустимо,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контраст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между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неосвещенными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участками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утомляет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глаза,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замедляет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процесс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послужить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причиной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несчастных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случаев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нормируемый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параметр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11-4-79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минимальные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контраста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объекта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Нормами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наименьшая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Кроме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того,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степень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целью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адаптации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наименьший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отрезок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времени.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ослабления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слепящего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действия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открытых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чрезмерной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яркостью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(блескостью)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предусмотрен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ряд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наименьшая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подвеса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наличие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отражателей,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светорассеивающей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поверхности.</w:t>
      </w:r>
    </w:p>
    <w:p w:rsidR="00401338" w:rsidRPr="00397DD8" w:rsidRDefault="00401338" w:rsidP="00397DD8">
      <w:pPr>
        <w:pStyle w:val="1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Расчет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искусственного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освещения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проектировании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мощности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мощности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каждой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проектировании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решить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основные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вопросы:</w:t>
      </w:r>
    </w:p>
    <w:p w:rsidR="00401338" w:rsidRPr="00397DD8" w:rsidRDefault="00401338" w:rsidP="00397DD8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выбрать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света;</w:t>
      </w:r>
    </w:p>
    <w:p w:rsidR="00401338" w:rsidRPr="00397DD8" w:rsidRDefault="00401338" w:rsidP="00397DD8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установить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светильников;</w:t>
      </w:r>
    </w:p>
    <w:p w:rsidR="00401338" w:rsidRPr="00397DD8" w:rsidRDefault="00401338" w:rsidP="00397DD8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произвести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светильников;</w:t>
      </w:r>
    </w:p>
    <w:p w:rsidR="00401338" w:rsidRPr="00397DD8" w:rsidRDefault="00401338" w:rsidP="00397DD8">
      <w:pPr>
        <w:numPr>
          <w:ilvl w:val="1"/>
          <w:numId w:val="3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уточнить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количество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учитывать,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любой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составляющие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прямую,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создаваемую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непосредственно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отраженную,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потолка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потоком.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Исходными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светотехнических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являются:</w:t>
      </w:r>
    </w:p>
    <w:p w:rsidR="00401338" w:rsidRPr="00397DD8" w:rsidRDefault="00401338" w:rsidP="00397DD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нормируемое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минимальной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освещенности;</w:t>
      </w:r>
    </w:p>
    <w:p w:rsidR="00401338" w:rsidRPr="00397DD8" w:rsidRDefault="00401338" w:rsidP="00397DD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светильника;</w:t>
      </w:r>
    </w:p>
    <w:p w:rsidR="00401338" w:rsidRPr="00397DD8" w:rsidRDefault="00401338" w:rsidP="00397DD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высота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светильника;</w:t>
      </w:r>
    </w:p>
    <w:p w:rsidR="00401338" w:rsidRPr="00397DD8" w:rsidRDefault="00401338" w:rsidP="00397DD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геометрические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размеры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освещаемого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открытого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пространства;</w:t>
      </w:r>
    </w:p>
    <w:p w:rsidR="00401338" w:rsidRPr="00397DD8" w:rsidRDefault="00401338" w:rsidP="00397DD8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коэффициенты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потолка,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Существуют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двум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основным: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точечному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Точечный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предназначен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нахождения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точке,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служит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любом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составляющая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учитывается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приближенно.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Точечным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рассчитывается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локализованное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наличии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затенений.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Наиболее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распространенным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проектной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практике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</w:p>
    <w:p w:rsidR="00401338" w:rsidRPr="00397DD8" w:rsidRDefault="00401338" w:rsidP="00397DD8">
      <w:pPr>
        <w:pStyle w:val="1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Расчет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освещения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по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методу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коэффициента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использования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светового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потока</w:t>
      </w:r>
      <w:r w:rsidR="00F85EC3">
        <w:rPr>
          <w:b w:val="0"/>
          <w:sz w:val="28"/>
          <w:szCs w:val="28"/>
        </w:rPr>
        <w:t>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Освещаемый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ограничивается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ограждающими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поверхностями,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попадающего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внутреннего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стены,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потолок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оборудование,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ограничивающие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пространство,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составляющая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поскольку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сравнимы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недооценка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привести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погрешностям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расчетах.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Рассматриваемый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позволяет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(ОУ)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составляющих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горизонтальных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равновеликих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любого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принято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понимать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падающего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плоскость,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Коэффициент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характеризующий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определяется,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стороны,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светораспределением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размещением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соотношением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размеров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освещаемого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свойствами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рассчитанному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выбирается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ближайшая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стандартная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должен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отличаться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–10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-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+20%.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невозможности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выбора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таким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приближением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корректируется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N</w:t>
      </w:r>
      <w:r w:rsidRPr="00397DD8">
        <w:rPr>
          <w:sz w:val="28"/>
          <w:szCs w:val="28"/>
        </w:rPr>
        <w:t>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Суммарная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N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сопоставляется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помещения,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причем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возможны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случаи:</w:t>
      </w:r>
    </w:p>
    <w:p w:rsidR="00401338" w:rsidRPr="00397DD8" w:rsidRDefault="00401338" w:rsidP="00397DD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суммарная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превышает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мощные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единицу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больше),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увеличить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рядов;</w:t>
      </w:r>
    </w:p>
    <w:p w:rsidR="00401338" w:rsidRPr="00397DD8" w:rsidRDefault="00401338" w:rsidP="00397DD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суммарная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задача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решается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устройством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непрерывного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ряда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светильников;</w:t>
      </w:r>
    </w:p>
    <w:p w:rsidR="00401338" w:rsidRPr="00397DD8" w:rsidRDefault="00401338" w:rsidP="00397DD8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суммарная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меньше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принимается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ряд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вдоль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разрывами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между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светильниками.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Рекомендуется,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превышало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0,5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(кроме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многоламповых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административных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зданий).</w:t>
      </w:r>
    </w:p>
    <w:p w:rsidR="00401338" w:rsidRPr="00397DD8" w:rsidRDefault="00401338" w:rsidP="00397DD8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Виды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искусственного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освещения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назначения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существуют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освещения: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рабочее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аварийное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специальное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делится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охранное,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дежурное,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эвакуационное,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эритемное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бактерицидное;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охранное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вдоль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границ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охраняемой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территории;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дежурное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внерабочее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время;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эвакуационное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эвакуации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людей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после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0,5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эритемное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делается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недостаточно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солнечного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подземные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крайний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север;</w:t>
      </w:r>
    </w:p>
    <w:p w:rsidR="00401338" w:rsidRPr="00397DD8" w:rsidRDefault="00401338" w:rsidP="00397DD8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бактерицидное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обеззараживает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воздух,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питьевую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продукты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(избыток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ультрофиалета).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конструктивному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двух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комбинированное.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Систему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площади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однотипные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(литейные,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сварочные,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гальванические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цехи),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административных,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конторских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складских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классах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аудиториях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заведений.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площади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локализованное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слесарных,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токарных,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контрольных)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оборудование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глубокие,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вертикально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(штампы,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гильотинные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ножницы),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наряду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Совокупность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называют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освещением.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допускается,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поскольку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образуются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тени,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быстро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утомляется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травматизма.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функциональному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назначению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подразделяют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аварийное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специальное,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охранным,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дежурным,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эвакуационным,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эритемным,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бактерицидным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Рабочее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предназначено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нормального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процесса,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прохода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людей,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движения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транспорта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обязательным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Аварийное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продолжения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внезапное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отключение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авариях)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связанное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нарушение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нормального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обслуживания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оборудования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вызвать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взрыв,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пожар,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отравление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людей,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нарушение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технологического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процесса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минимальная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жестким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креплением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специальных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схем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включения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выбирать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спектральный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особенно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отдельных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усиления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цветовых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контрастов.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Оптимальный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спектральный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обеспечивает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монохроматический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усиливающий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ослабляющий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другие.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Осветительные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удобны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просты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долговечны,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отвечать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требованиям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эстетики,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электробезопасности,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причиной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возникновения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взрыва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пожара.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Обеспечение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указанных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достигается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зануления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заземления,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переносных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защитой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элементов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механического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повреждения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т.п.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Правильно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спроектированное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рационально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оказывает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положительное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психофизиологическое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работающих,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способствует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повышению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утомление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травматизм,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сохраняет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работоспособность.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жесткие,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Согласно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23-05-95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жилых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комнатах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кухнях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лестничных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клетках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допускается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качестве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бытовых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широко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Конструктивные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системы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локализованное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увеличения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посредством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поверхностям;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(настольная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зданий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запрещено,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образуются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тени,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утомляется,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травматизма;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включает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местное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97DD8">
        <w:rPr>
          <w:bCs/>
          <w:sz w:val="28"/>
          <w:szCs w:val="28"/>
        </w:rPr>
        <w:t>Нормирование</w:t>
      </w:r>
      <w:r w:rsidR="00397DD8" w:rsidRPr="00397DD8">
        <w:rPr>
          <w:bCs/>
          <w:sz w:val="28"/>
          <w:szCs w:val="28"/>
        </w:rPr>
        <w:t xml:space="preserve"> </w:t>
      </w:r>
      <w:r w:rsidRPr="00397DD8">
        <w:rPr>
          <w:bCs/>
          <w:sz w:val="28"/>
          <w:szCs w:val="28"/>
        </w:rPr>
        <w:t>производственного</w:t>
      </w:r>
      <w:r w:rsidR="00397DD8" w:rsidRPr="00397DD8">
        <w:rPr>
          <w:bCs/>
          <w:sz w:val="28"/>
          <w:szCs w:val="28"/>
        </w:rPr>
        <w:t xml:space="preserve"> </w:t>
      </w:r>
      <w:r w:rsidRPr="00397DD8">
        <w:rPr>
          <w:bCs/>
          <w:sz w:val="28"/>
          <w:szCs w:val="28"/>
        </w:rPr>
        <w:t>освещения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Естественное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регламентируется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23-05-95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</w:t>
      </w:r>
      <w:r w:rsidR="00AC5B33" w:rsidRPr="00397DD8">
        <w:rPr>
          <w:sz w:val="28"/>
          <w:szCs w:val="28"/>
        </w:rPr>
        <w:t>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характера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контраста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фоном.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Характеристика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наименьшим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размером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объекта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приборами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толщиной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градуировки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шкалы,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чертежных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толщиной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тонкой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линии)</w:t>
      </w:r>
      <w:r w:rsidR="00540D8F" w:rsidRPr="00397DD8">
        <w:rPr>
          <w:sz w:val="28"/>
          <w:szCs w:val="28"/>
        </w:rPr>
        <w:t>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размера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объекта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связанные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напряжением,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делятся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восемь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разрядов,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свою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очередь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контраста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объекта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делятся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четыре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подразряда.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количественными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(минимальной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освещенностью)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качественными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показателями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(показателями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дискомфорта,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пульсации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освещенности).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Принято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раздельное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Нормативное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из-за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светоотдачи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выше,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комбинированном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%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нормируемой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величина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должна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150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Естественное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характеризуется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создаваемая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изменяется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времени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суток,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метеорологических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условий.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Поэтому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качестве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критерия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оценки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принята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относительная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величина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КЕО,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зависящей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вышеуказанных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параметров.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КЕО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точке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одновременному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наружной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горизонтальной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создаваемой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полностью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открытого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небосвода,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выраженное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процентах.</w:t>
      </w:r>
    </w:p>
    <w:p w:rsidR="00401338" w:rsidRPr="00397DD8" w:rsidRDefault="00401338" w:rsidP="00397DD8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Характеристики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искусственных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(электрических)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источников</w:t>
      </w:r>
      <w:r w:rsidR="00397DD8" w:rsidRPr="00397DD8">
        <w:rPr>
          <w:b w:val="0"/>
          <w:sz w:val="28"/>
          <w:szCs w:val="28"/>
        </w:rPr>
        <w:t xml:space="preserve"> </w:t>
      </w:r>
      <w:r w:rsidRPr="00397DD8">
        <w:rPr>
          <w:b w:val="0"/>
          <w:sz w:val="28"/>
          <w:szCs w:val="28"/>
        </w:rPr>
        <w:t>света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применяемые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делят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группы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теплового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нагрева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вольфрамовой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нити.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оптического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диапазона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возникает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разряда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="00540D8F" w:rsidRPr="00397DD8">
        <w:rPr>
          <w:sz w:val="28"/>
          <w:szCs w:val="28"/>
        </w:rPr>
        <w:t>атмосфере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инертных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люминесценции,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невидимое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ультрафиолетовое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преобразует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теплового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(свет)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нагрева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вольфрамовой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нити.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возникает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разряда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атмосфере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инертных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заполняется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колба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называют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изнутри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покрыты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люминофором,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ультрафиолетового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излучаемого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разрядом,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светится,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преобразуя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самым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невидимое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ультрафиолетовое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широко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распространены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из-за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своей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простоты,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надежности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удобства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эксплуатации.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организациях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учреждениях,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меньшей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степени.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связано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недостатками: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низкой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светоотдачей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лм/Вт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(светоотдача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мощности);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небольшим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службы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2500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часов;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преобладанием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желтых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лучей,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отличает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спектральный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солнечного.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маркировке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буква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обозначает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вакуумные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газонаполненные,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криптоновым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наполнением,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биспиральные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Газоразрядные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наибольшее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распространение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организациях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учреждениях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прежде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из-за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светоотдачи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(40…110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лм/Вт)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службы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(8000…12000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часов).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Из-за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основном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улиц,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иллюминации,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рекламы.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Подбирая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сочетание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инертных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заполняющих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люминоформа,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практически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любого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спектрального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диапазона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красный,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зеленый,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желтый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т.д.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наибольшее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распространение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дневного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колба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заполнена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ртути.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излучаемый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близок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своему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солнечному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свету.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низкого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спектру: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белого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(ЛБ);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холодно-белого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(ЛХБ);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(ЛДЦ);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холодно-белого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(ЛХБЦ).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относятся: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дуговые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ртутные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исправленной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цветностью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(ДРЛ);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ксеноновые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(ДКсТ),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основанные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дугового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разряда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тяжелых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инертных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газах;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натриевые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(ДнаТ);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металлогалогенные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(ДРИ)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добавкой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йодидов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металлов.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ЛДЦ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предъявляются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ЛБ,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наиболее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экономичные.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рекомендуются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связана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цехах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машиностроительных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т.п.),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наружного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отдачу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цветность,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площади.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обладают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яркостью.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Максимальная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переносимая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наблюдении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составляет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7500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кд/м2.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Однако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наряду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обладают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существенными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недостатками,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ограничивают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распространение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быту.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пульсация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искажает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зрительное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восприятие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отрицательно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возникнуть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стробоскопический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заключающийся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неправильном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восприятии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скорости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движения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предметов.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стробоскопического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состоит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вращающиеся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механизмов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показаться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неподвижными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причиной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травматизма.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Пульсация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вредны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неподвижными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поверхностями,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вызывая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быстрое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утомление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головную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Ограничение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пульсации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безвредных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достигается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равномерным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чередованием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фаз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трехфазной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специальными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схемами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подключения.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Однако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усложняет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Поэтому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нашли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широкого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быту.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недостаткам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газоразрядных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относится: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длительность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разгорания,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работоспособности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температуры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окружающей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радиопомех.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Другой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причиной,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по-видимому,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обстоятельство.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Психологическое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отчасти</w:t>
      </w:r>
      <w:r w:rsidR="00397DD8">
        <w:rPr>
          <w:sz w:val="28"/>
          <w:szCs w:val="28"/>
        </w:rPr>
        <w:t xml:space="preserve"> </w:t>
      </w:r>
      <w:r w:rsidR="00540D8F" w:rsidRPr="00397DD8">
        <w:rPr>
          <w:sz w:val="28"/>
          <w:szCs w:val="28"/>
        </w:rPr>
        <w:t>физиологическое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воздействие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="00540D8F" w:rsidRPr="00397DD8">
        <w:rPr>
          <w:sz w:val="28"/>
          <w:szCs w:val="28"/>
        </w:rPr>
        <w:t>человека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несомненно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значительной</w:t>
      </w:r>
      <w:r w:rsidR="00397DD8">
        <w:rPr>
          <w:sz w:val="28"/>
          <w:szCs w:val="28"/>
        </w:rPr>
        <w:t xml:space="preserve"> </w:t>
      </w:r>
      <w:r w:rsidR="00540D8F" w:rsidRPr="00397DD8">
        <w:rPr>
          <w:sz w:val="28"/>
          <w:szCs w:val="28"/>
        </w:rPr>
        <w:t>степени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связано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человечество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приспособилось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время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своего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существования.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Далекое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холодное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голубое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небо,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создающее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дня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вечером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близкий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горячий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желто0красный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костер,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="00540D8F" w:rsidRPr="00397DD8">
        <w:rPr>
          <w:sz w:val="28"/>
          <w:szCs w:val="28"/>
        </w:rPr>
        <w:t>затем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пришедшие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смену,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аналогичные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сгорания»,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создающие,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однако,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низкие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-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таковы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режимы,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приспособлением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вероятно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объясняются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факты.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человека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наблюдается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работоспособное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состояние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днем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холодных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оттенков,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вечером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теплом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красноватом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лучше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отдыхать.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теплый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красновато-желтый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возбуждает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настраивает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работу.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применяемого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типа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правильность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цветопередачи.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темно-синяя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ткань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кажется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черной,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желтый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оттенок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грязно-белым,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искажают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правильную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цветопередачу.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Однако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предметы,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люди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привыкли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видеть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вечером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золотые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украшения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«естественнее»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выглядят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накаливания,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важна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правильность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цветопередачи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рисования,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полиграфической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промышленности,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картинных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галереях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лучше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естественное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недостаточности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искусственное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люминесцентных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Обычный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состоят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электромагнитных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длинами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волн,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каждое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соответствует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определенному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диапазону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Смешивая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красный,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желтый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голубой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большинство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видимых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включая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белый.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Наше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восприятие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предмета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того,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предмет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подразделяются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категории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излучают:</w:t>
      </w:r>
    </w:p>
    <w:p w:rsidR="00401338" w:rsidRPr="00397DD8" w:rsidRDefault="00401338" w:rsidP="00397DD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теплого»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красноватый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рекомендуется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жилых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помещений;</w:t>
      </w:r>
    </w:p>
    <w:p w:rsidR="00401338" w:rsidRPr="00397DD8" w:rsidRDefault="00401338" w:rsidP="00397DD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промежуточного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рекомендуется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мест;</w:t>
      </w:r>
    </w:p>
    <w:p w:rsidR="00401338" w:rsidRPr="00397DD8" w:rsidRDefault="00401338" w:rsidP="00397DD8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«холодного»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голубоватый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рекомендуется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выполнения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требующих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жаркого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климата.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разделить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группы,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температуры:</w:t>
      </w:r>
    </w:p>
    <w:p w:rsidR="00401338" w:rsidRPr="00397DD8" w:rsidRDefault="00401338" w:rsidP="00397DD8">
      <w:pPr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дневного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около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6000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B0"/>
      </w:r>
      <w:r w:rsidRPr="00397DD8">
        <w:rPr>
          <w:sz w:val="28"/>
          <w:szCs w:val="28"/>
        </w:rPr>
        <w:t>К;</w:t>
      </w:r>
    </w:p>
    <w:p w:rsidR="00401338" w:rsidRPr="00397DD8" w:rsidRDefault="00401338" w:rsidP="00397DD8">
      <w:pPr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нейтрально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около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4000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B0"/>
      </w:r>
      <w:r w:rsidRPr="00397DD8">
        <w:rPr>
          <w:sz w:val="28"/>
          <w:szCs w:val="28"/>
        </w:rPr>
        <w:t>К;</w:t>
      </w:r>
    </w:p>
    <w:p w:rsidR="00401338" w:rsidRPr="00397DD8" w:rsidRDefault="00401338" w:rsidP="00397DD8">
      <w:pPr>
        <w:numPr>
          <w:ilvl w:val="1"/>
          <w:numId w:val="3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теплый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белый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около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3000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B0"/>
      </w:r>
      <w:r w:rsidRPr="00397DD8">
        <w:rPr>
          <w:sz w:val="28"/>
          <w:szCs w:val="28"/>
        </w:rPr>
        <w:t>К.</w:t>
      </w:r>
    </w:p>
    <w:p w:rsidR="00540D8F" w:rsidRPr="00397DD8" w:rsidRDefault="00401338" w:rsidP="00397DD8">
      <w:pPr>
        <w:pStyle w:val="2"/>
        <w:keepNext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397DD8">
        <w:rPr>
          <w:b w:val="0"/>
          <w:sz w:val="28"/>
          <w:szCs w:val="28"/>
        </w:rPr>
        <w:t>Светильники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электрические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арматуре.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происходит,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находится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сета;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уменьшение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различать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предметы.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постоянно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подвергаются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ослеплению,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страдать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глазного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напряжения,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функциональных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расстройств,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хотя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осознают.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Ослепление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вызвано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нахождением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ярких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отражения.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Избежать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достаточно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просто,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сделать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несколькими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способами.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Одним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способов,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например,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является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также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охватывающие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диффузоры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параболические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рефлекторы,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направлять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туда,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нужно,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угла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зрения.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арматуры,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вряд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приемлемым,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система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почти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наверняка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неэкономичной.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случаях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людей,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находящихся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комнате,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значительно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снижена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из-за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бликов.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Арматура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называется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светильником.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регулирования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осветительной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арматуре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методы.</w:t>
      </w:r>
    </w:p>
    <w:p w:rsidR="00401338" w:rsidRPr="00397DD8" w:rsidRDefault="00401338" w:rsidP="00397DD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Ограничение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непрозрачном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корпусе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только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отверстием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выхода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очень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ограничено.</w:t>
      </w:r>
    </w:p>
    <w:p w:rsidR="00401338" w:rsidRPr="00397DD8" w:rsidRDefault="00401338" w:rsidP="00397DD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Отражение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могут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быть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самыми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разнообразными,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глубоко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матовых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сильно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зеркальных.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эффективен,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ограничение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концентрируется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направляется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зону,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освещение.</w:t>
      </w:r>
    </w:p>
    <w:p w:rsidR="00401338" w:rsidRPr="00397DD8" w:rsidRDefault="00401338" w:rsidP="00397DD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Рассеяние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Лампа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устанавливается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прозрачном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материале,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рассеивающим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создающим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диффузный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</w:t>
      </w:r>
      <w:r w:rsidR="00AC5B33" w:rsidRPr="00397DD8">
        <w:rPr>
          <w:sz w:val="28"/>
          <w:szCs w:val="28"/>
        </w:rPr>
        <w:t>рассеянный</w:t>
      </w:r>
      <w:r w:rsidRPr="00397DD8">
        <w:rPr>
          <w:sz w:val="28"/>
          <w:szCs w:val="28"/>
        </w:rPr>
        <w:t>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Диффузоры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поглощают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некоторое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количество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излучаемой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энергии,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полезного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однако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исключается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ослепляющее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света.</w:t>
      </w:r>
    </w:p>
    <w:p w:rsidR="00401338" w:rsidRPr="00397DD8" w:rsidRDefault="00401338" w:rsidP="00397DD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Рефракция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призмы,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обычно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стеклянный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пластмассовый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материал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призмы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«искривляет»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лучи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перенаправляет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очень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состоит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устранении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создания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диффузного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освещения.</w:t>
      </w:r>
    </w:p>
    <w:p w:rsidR="00401338" w:rsidRPr="00397DD8" w:rsidRDefault="00401338" w:rsidP="00397DD8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светильниках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использоваться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сочетание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описанных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методов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регулирования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распределению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подразделяются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светильники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прямого,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рассеянного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Светильники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прямого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направляют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80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%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нижнюю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полусферу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внутренней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отражающей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эмалевой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полированной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поверхности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(«Глубокоизлучитель»,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«Универсаль»,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«Альфа»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др.)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Светильники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рассеянного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полусферы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(«Молочный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шар»,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«люцетта»).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Светильники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80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%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направляют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вверх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потолок,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отражаемый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свет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вниз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зону.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Несмотря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гигиенические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(равномерность,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отсутствие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блеклости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др.),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применяются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редко,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высокий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отражения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потолка,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всегда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условиях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540D8F" w:rsidRPr="00397DD8">
        <w:rPr>
          <w:b/>
          <w:sz w:val="28"/>
          <w:szCs w:val="36"/>
        </w:rPr>
        <w:t>3.</w:t>
      </w:r>
      <w:r>
        <w:rPr>
          <w:b/>
          <w:sz w:val="28"/>
          <w:szCs w:val="36"/>
        </w:rPr>
        <w:t xml:space="preserve"> </w:t>
      </w:r>
      <w:r w:rsidR="00540D8F" w:rsidRPr="00397DD8">
        <w:rPr>
          <w:b/>
          <w:sz w:val="28"/>
          <w:szCs w:val="36"/>
        </w:rPr>
        <w:t>Задача</w:t>
      </w:r>
      <w:r>
        <w:rPr>
          <w:b/>
          <w:sz w:val="28"/>
          <w:szCs w:val="36"/>
        </w:rPr>
        <w:t xml:space="preserve"> </w:t>
      </w:r>
      <w:r w:rsidR="00540D8F" w:rsidRPr="00397DD8">
        <w:rPr>
          <w:b/>
          <w:sz w:val="28"/>
          <w:szCs w:val="36"/>
        </w:rPr>
        <w:t>№</w:t>
      </w:r>
      <w:r>
        <w:rPr>
          <w:b/>
          <w:sz w:val="28"/>
          <w:szCs w:val="36"/>
        </w:rPr>
        <w:t xml:space="preserve"> </w:t>
      </w:r>
      <w:r w:rsidR="00540D8F" w:rsidRPr="00397DD8">
        <w:rPr>
          <w:b/>
          <w:sz w:val="28"/>
          <w:szCs w:val="36"/>
        </w:rPr>
        <w:t>5.3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Условие: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Определите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находятся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f</w:t>
      </w:r>
      <w:r w:rsidRPr="00397DD8">
        <w:rPr>
          <w:sz w:val="28"/>
          <w:szCs w:val="28"/>
        </w:rPr>
        <w:t>.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6"/>
        <w:gridCol w:w="2410"/>
        <w:gridCol w:w="2108"/>
        <w:gridCol w:w="1861"/>
      </w:tblGrid>
      <w:tr w:rsidR="00401338" w:rsidRPr="00397DD8" w:rsidTr="00397DD8">
        <w:tc>
          <w:tcPr>
            <w:tcW w:w="212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Номер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варианта</w:t>
            </w:r>
          </w:p>
        </w:tc>
        <w:tc>
          <w:tcPr>
            <w:tcW w:w="241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7DD8">
              <w:rPr>
                <w:sz w:val="20"/>
                <w:szCs w:val="20"/>
                <w:lang w:val="en-US"/>
              </w:rPr>
              <w:t>L1?</w:t>
            </w:r>
            <w:r w:rsidR="00397DD8" w:rsidRPr="00397DD8">
              <w:rPr>
                <w:sz w:val="20"/>
                <w:szCs w:val="20"/>
                <w:lang w:val="en-US"/>
              </w:rPr>
              <w:t xml:space="preserve"> </w:t>
            </w:r>
            <w:r w:rsidRPr="00397DD8">
              <w:rPr>
                <w:sz w:val="20"/>
                <w:szCs w:val="20"/>
                <w:lang w:val="en-US"/>
              </w:rPr>
              <w:t>L&lt;</w:t>
            </w:r>
          </w:p>
        </w:tc>
        <w:tc>
          <w:tcPr>
            <w:tcW w:w="2108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  <w:lang w:val="en-US"/>
              </w:rPr>
              <w:t>F</w:t>
            </w:r>
            <w:r w:rsidRPr="00397DD8">
              <w:rPr>
                <w:sz w:val="20"/>
                <w:szCs w:val="20"/>
              </w:rPr>
              <w:t>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Гц</w:t>
            </w:r>
          </w:p>
        </w:tc>
        <w:tc>
          <w:tcPr>
            <w:tcW w:w="186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П</w:t>
            </w:r>
          </w:p>
        </w:tc>
      </w:tr>
      <w:tr w:rsidR="00401338" w:rsidRPr="00397DD8" w:rsidTr="00397DD8">
        <w:tc>
          <w:tcPr>
            <w:tcW w:w="212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5.3</w:t>
            </w:r>
          </w:p>
        </w:tc>
        <w:tc>
          <w:tcPr>
            <w:tcW w:w="241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1=</w:t>
            </w: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2=</w:t>
            </w: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3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=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70;</w:t>
            </w:r>
          </w:p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97DD8">
              <w:rPr>
                <w:sz w:val="20"/>
                <w:szCs w:val="20"/>
                <w:lang w:val="en-US"/>
              </w:rPr>
              <w:t>L4=L5</w:t>
            </w:r>
            <w:r w:rsidR="00397DD8" w:rsidRPr="00397DD8">
              <w:rPr>
                <w:sz w:val="20"/>
                <w:szCs w:val="20"/>
                <w:lang w:val="en-US"/>
              </w:rPr>
              <w:t xml:space="preserve"> </w:t>
            </w:r>
            <w:r w:rsidRPr="00397DD8">
              <w:rPr>
                <w:sz w:val="20"/>
                <w:szCs w:val="20"/>
                <w:lang w:val="en-US"/>
              </w:rPr>
              <w:t>=</w:t>
            </w:r>
            <w:r w:rsidR="00397DD8" w:rsidRPr="00397DD8">
              <w:rPr>
                <w:sz w:val="20"/>
                <w:szCs w:val="20"/>
                <w:lang w:val="en-US"/>
              </w:rPr>
              <w:t xml:space="preserve"> </w:t>
            </w:r>
            <w:r w:rsidRPr="00397DD8">
              <w:rPr>
                <w:sz w:val="20"/>
                <w:szCs w:val="20"/>
                <w:lang w:val="en-US"/>
              </w:rPr>
              <w:t>65;</w:t>
            </w:r>
          </w:p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6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=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75;</w:t>
            </w:r>
          </w:p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7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=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58.</w:t>
            </w:r>
          </w:p>
        </w:tc>
        <w:tc>
          <w:tcPr>
            <w:tcW w:w="2108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500</w:t>
            </w:r>
          </w:p>
        </w:tc>
        <w:tc>
          <w:tcPr>
            <w:tcW w:w="186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Операторская</w:t>
            </w:r>
          </w:p>
        </w:tc>
      </w:tr>
    </w:tbl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DD8">
        <w:rPr>
          <w:b/>
          <w:sz w:val="28"/>
          <w:szCs w:val="28"/>
        </w:rPr>
        <w:t>Решение: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Чтобы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рассчитывать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сравнить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нормой.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Предельно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приведены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таблице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1.</w:t>
      </w:r>
    </w:p>
    <w:p w:rsidR="00540D8F" w:rsidRPr="00397DD8" w:rsidRDefault="00540D8F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Таблица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1.Гигиенические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нормы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допустимых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уровней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рабочих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местах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</w:t>
      </w:r>
      <w:r w:rsidR="00397DD8" w:rsidRP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2.2.4/2.1.8.582-96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0"/>
        <w:gridCol w:w="709"/>
        <w:gridCol w:w="851"/>
        <w:gridCol w:w="723"/>
        <w:gridCol w:w="694"/>
        <w:gridCol w:w="851"/>
        <w:gridCol w:w="850"/>
        <w:gridCol w:w="851"/>
        <w:gridCol w:w="850"/>
      </w:tblGrid>
      <w:tr w:rsidR="00401338" w:rsidRPr="00397DD8" w:rsidTr="00397DD8">
        <w:trPr>
          <w:cantSplit/>
        </w:trPr>
        <w:tc>
          <w:tcPr>
            <w:tcW w:w="1701" w:type="dxa"/>
            <w:vMerge w:val="restart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Виды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трудовой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деятельности,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рабочее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место</w:t>
            </w:r>
          </w:p>
        </w:tc>
        <w:tc>
          <w:tcPr>
            <w:tcW w:w="7229" w:type="dxa"/>
            <w:gridSpan w:val="9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Уровни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звукового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давления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(</w:t>
            </w: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дБ)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в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октавных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полосах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со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среднегеометрическими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частотами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(</w:t>
            </w:r>
            <w:r w:rsidRPr="00397DD8">
              <w:rPr>
                <w:sz w:val="20"/>
                <w:szCs w:val="20"/>
                <w:lang w:val="en-US"/>
              </w:rPr>
              <w:t>f</w:t>
            </w:r>
            <w:r w:rsidRPr="00397DD8">
              <w:rPr>
                <w:sz w:val="20"/>
                <w:szCs w:val="20"/>
              </w:rPr>
              <w:t>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Гц)</w:t>
            </w:r>
          </w:p>
        </w:tc>
      </w:tr>
      <w:tr w:rsidR="00397DD8" w:rsidRPr="00397DD8" w:rsidTr="00397DD8">
        <w:trPr>
          <w:cantSplit/>
        </w:trPr>
        <w:tc>
          <w:tcPr>
            <w:tcW w:w="1701" w:type="dxa"/>
            <w:vMerge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31,5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125</w:t>
            </w:r>
          </w:p>
        </w:tc>
        <w:tc>
          <w:tcPr>
            <w:tcW w:w="72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2000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8000</w:t>
            </w:r>
          </w:p>
        </w:tc>
      </w:tr>
      <w:tr w:rsidR="00397DD8" w:rsidRPr="00397DD8" w:rsidTr="00397DD8">
        <w:tc>
          <w:tcPr>
            <w:tcW w:w="170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Творческая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деятельность,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конструирование,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проектирование,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программирование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т.п.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71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61</w:t>
            </w:r>
          </w:p>
        </w:tc>
        <w:tc>
          <w:tcPr>
            <w:tcW w:w="72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51</w:t>
            </w:r>
          </w:p>
        </w:tc>
        <w:tc>
          <w:tcPr>
            <w:tcW w:w="69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49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42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38</w:t>
            </w:r>
          </w:p>
        </w:tc>
      </w:tr>
      <w:tr w:rsidR="00397DD8" w:rsidRPr="00397DD8" w:rsidTr="00397DD8">
        <w:tc>
          <w:tcPr>
            <w:tcW w:w="170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Административно-управленческая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деятельность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т.п.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79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70</w:t>
            </w:r>
          </w:p>
        </w:tc>
        <w:tc>
          <w:tcPr>
            <w:tcW w:w="72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63</w:t>
            </w:r>
          </w:p>
        </w:tc>
        <w:tc>
          <w:tcPr>
            <w:tcW w:w="69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58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49</w:t>
            </w:r>
          </w:p>
        </w:tc>
      </w:tr>
      <w:tr w:rsidR="00397DD8" w:rsidRPr="00397DD8" w:rsidTr="00397DD8">
        <w:tc>
          <w:tcPr>
            <w:tcW w:w="170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Работа,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требующая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постоянного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слухового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контроля,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операторская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работа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и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т.п.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71</w:t>
            </w:r>
          </w:p>
        </w:tc>
        <w:tc>
          <w:tcPr>
            <w:tcW w:w="72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68</w:t>
            </w:r>
          </w:p>
        </w:tc>
        <w:tc>
          <w:tcPr>
            <w:tcW w:w="69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63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57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51</w:t>
            </w:r>
          </w:p>
        </w:tc>
      </w:tr>
      <w:tr w:rsidR="00397DD8" w:rsidRPr="00397DD8" w:rsidTr="00397DD8">
        <w:tc>
          <w:tcPr>
            <w:tcW w:w="170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Постоянные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рабочие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места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в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производственных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помещениях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107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95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87</w:t>
            </w:r>
          </w:p>
        </w:tc>
        <w:tc>
          <w:tcPr>
            <w:tcW w:w="72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82</w:t>
            </w:r>
          </w:p>
        </w:tc>
        <w:tc>
          <w:tcPr>
            <w:tcW w:w="69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78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75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71</w:t>
            </w:r>
          </w:p>
        </w:tc>
        <w:tc>
          <w:tcPr>
            <w:tcW w:w="85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69</w:t>
            </w:r>
          </w:p>
        </w:tc>
      </w:tr>
    </w:tbl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Шум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нормируется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предельному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(ПС),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излучаемого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ш</w:t>
      </w:r>
      <w:r w:rsidRPr="00397DD8">
        <w:rPr>
          <w:sz w:val="28"/>
          <w:szCs w:val="28"/>
        </w:rPr>
        <w:t>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</w:t>
      </w:r>
      <w:r w:rsidRPr="00397DD8">
        <w:rPr>
          <w:sz w:val="28"/>
          <w:szCs w:val="28"/>
          <w:lang w:val="en-US"/>
        </w:rPr>
        <w:t>f</w:t>
      </w:r>
      <w:r w:rsidRPr="00397DD8">
        <w:rPr>
          <w:sz w:val="28"/>
          <w:szCs w:val="28"/>
        </w:rPr>
        <w:t>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Гц).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Кроме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того,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нормировании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учитывается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деятельности,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поэтому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документе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представлено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несколько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предельных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спектров.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определяется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арифметически,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специальным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формулам:</w:t>
      </w:r>
    </w:p>
    <w:p w:rsidR="00401338" w:rsidRDefault="00401338" w:rsidP="00397DD8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одинаковые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т.е.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1=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2=……=</w:t>
      </w:r>
      <w:r w:rsidRPr="00397DD8">
        <w:rPr>
          <w:sz w:val="28"/>
          <w:szCs w:val="28"/>
          <w:lang w:val="en-US"/>
        </w:rPr>
        <w:t>Ln</w:t>
      </w:r>
      <w:r w:rsidRPr="00397DD8">
        <w:rPr>
          <w:sz w:val="28"/>
          <w:szCs w:val="28"/>
        </w:rPr>
        <w:t>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n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</w:p>
    <w:p w:rsidR="00397DD8" w:rsidRPr="00397DD8" w:rsidRDefault="00397DD8" w:rsidP="00397DD8">
      <w:pPr>
        <w:spacing w:line="360" w:lineRule="auto"/>
        <w:ind w:left="709"/>
        <w:jc w:val="both"/>
        <w:rPr>
          <w:sz w:val="28"/>
          <w:szCs w:val="28"/>
        </w:rPr>
      </w:pPr>
    </w:p>
    <w:p w:rsidR="00401338" w:rsidRPr="00397DD8" w:rsidRDefault="00987BDE" w:rsidP="00397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2.25pt">
            <v:imagedata r:id="rId8" o:title=""/>
          </v:shape>
        </w:pict>
      </w:r>
      <w:r w:rsidR="00401338" w:rsidRPr="00397DD8">
        <w:rPr>
          <w:sz w:val="28"/>
          <w:szCs w:val="28"/>
        </w:rPr>
        <w:tab/>
      </w:r>
      <w:r w:rsidR="00401338" w:rsidRPr="00397DD8">
        <w:rPr>
          <w:sz w:val="28"/>
          <w:szCs w:val="28"/>
        </w:rPr>
        <w:tab/>
      </w:r>
      <w:r w:rsidR="00401338" w:rsidRPr="00397DD8">
        <w:rPr>
          <w:sz w:val="28"/>
          <w:szCs w:val="28"/>
        </w:rPr>
        <w:tab/>
        <w:t>(1)</w:t>
      </w:r>
    </w:p>
    <w:p w:rsidR="00397DD8" w:rsidRDefault="00397DD8" w:rsidP="00397DD8">
      <w:pPr>
        <w:spacing w:line="360" w:lineRule="auto"/>
        <w:ind w:left="709"/>
        <w:jc w:val="both"/>
        <w:rPr>
          <w:sz w:val="28"/>
          <w:szCs w:val="28"/>
        </w:rPr>
      </w:pPr>
    </w:p>
    <w:p w:rsidR="00401338" w:rsidRDefault="00401338" w:rsidP="00397DD8">
      <w:pPr>
        <w:spacing w:line="360" w:lineRule="auto"/>
        <w:ind w:left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интенсивность</w:t>
      </w:r>
    </w:p>
    <w:p w:rsidR="00397DD8" w:rsidRPr="00397DD8" w:rsidRDefault="00397DD8" w:rsidP="00397DD8">
      <w:pPr>
        <w:spacing w:line="360" w:lineRule="auto"/>
        <w:ind w:left="709"/>
        <w:jc w:val="both"/>
        <w:rPr>
          <w:sz w:val="28"/>
          <w:szCs w:val="28"/>
        </w:rPr>
      </w:pPr>
    </w:p>
    <w:p w:rsidR="00401338" w:rsidRPr="00397DD8" w:rsidRDefault="00987BDE" w:rsidP="00397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48.5pt;height:31.5pt">
            <v:imagedata r:id="rId9" o:title=""/>
          </v:shape>
        </w:pict>
      </w:r>
      <w:r w:rsidR="00401338" w:rsidRPr="00397DD8">
        <w:rPr>
          <w:sz w:val="28"/>
          <w:szCs w:val="28"/>
        </w:rPr>
        <w:tab/>
      </w:r>
      <w:r w:rsidR="00540D8F" w:rsidRPr="00397DD8">
        <w:rPr>
          <w:sz w:val="28"/>
          <w:szCs w:val="28"/>
        </w:rPr>
        <w:t>,</w:t>
      </w:r>
      <w:r w:rsidR="00401338" w:rsidRPr="00397DD8">
        <w:rPr>
          <w:sz w:val="28"/>
          <w:szCs w:val="28"/>
        </w:rPr>
        <w:tab/>
        <w:t>(2)</w:t>
      </w:r>
    </w:p>
    <w:p w:rsid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Lmax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больший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двух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складываемых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уровней;</w:t>
      </w: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sym w:font="Symbol" w:char="F044"/>
      </w: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добавка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максимальному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значению,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двух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складываемых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(табл.2).</w:t>
      </w:r>
    </w:p>
    <w:p w:rsidR="00401338" w:rsidRP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01338" w:rsidRPr="00397DD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583"/>
        <w:gridCol w:w="584"/>
        <w:gridCol w:w="491"/>
        <w:gridCol w:w="466"/>
        <w:gridCol w:w="526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397DD8" w:rsidRPr="00397DD8" w:rsidTr="00397DD8">
        <w:tc>
          <w:tcPr>
            <w:tcW w:w="146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Разность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двух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складываемых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уровней,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дБ</w:t>
            </w:r>
          </w:p>
        </w:tc>
        <w:tc>
          <w:tcPr>
            <w:tcW w:w="58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</w:t>
            </w:r>
          </w:p>
        </w:tc>
        <w:tc>
          <w:tcPr>
            <w:tcW w:w="49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20</w:t>
            </w:r>
          </w:p>
        </w:tc>
      </w:tr>
      <w:tr w:rsidR="00397DD8" w:rsidRPr="00397DD8" w:rsidTr="00397DD8">
        <w:tc>
          <w:tcPr>
            <w:tcW w:w="1460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Добавка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к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более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высокому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значению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уровня,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  <w:lang w:val="en-US"/>
              </w:rPr>
              <w:sym w:font="Symbol" w:char="F044"/>
            </w:r>
            <w:r w:rsidRPr="00397DD8">
              <w:rPr>
                <w:sz w:val="20"/>
                <w:szCs w:val="20"/>
                <w:lang w:val="en-US"/>
              </w:rPr>
              <w:t>L</w:t>
            </w:r>
            <w:r w:rsidRPr="00397DD8">
              <w:rPr>
                <w:sz w:val="20"/>
                <w:szCs w:val="20"/>
              </w:rPr>
              <w:t>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дБ</w:t>
            </w:r>
          </w:p>
        </w:tc>
        <w:tc>
          <w:tcPr>
            <w:tcW w:w="583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3,0</w:t>
            </w:r>
          </w:p>
        </w:tc>
        <w:tc>
          <w:tcPr>
            <w:tcW w:w="584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2,5</w:t>
            </w:r>
          </w:p>
        </w:tc>
        <w:tc>
          <w:tcPr>
            <w:tcW w:w="491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2,0</w:t>
            </w:r>
          </w:p>
        </w:tc>
        <w:tc>
          <w:tcPr>
            <w:tcW w:w="46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1,8</w:t>
            </w:r>
          </w:p>
        </w:tc>
        <w:tc>
          <w:tcPr>
            <w:tcW w:w="526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1,2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1,0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0,8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0,6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0,4</w:t>
            </w:r>
          </w:p>
        </w:tc>
        <w:tc>
          <w:tcPr>
            <w:tcW w:w="567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0</w:t>
            </w:r>
          </w:p>
        </w:tc>
      </w:tr>
    </w:tbl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AC5B33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Следует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обратить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внимание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то,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разность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двух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складываемых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уровней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каждым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этапом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увеличивается,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а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добавка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  <w:lang w:val="en-US"/>
        </w:rPr>
        <w:sym w:font="Symbol" w:char="F044"/>
      </w:r>
      <w:r w:rsidR="00401338"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существенно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уменьшается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разности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20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более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  <w:lang w:val="en-US"/>
        </w:rPr>
        <w:sym w:font="Symbol" w:char="F044"/>
      </w:r>
      <w:r w:rsidR="00401338"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0.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нашем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используем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вторую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формулу,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т.к.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имеют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интенсивность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1=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2=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4=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6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75;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7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58).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Суммирование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разной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интенсивности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требует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последовательности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действий.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Во-первых,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располагают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порядке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убывания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максимального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значения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далее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уменьшения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величины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(75,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58).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Во-вторых,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суммируются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попарно,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начиная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Lmax</w:t>
      </w:r>
      <w:r w:rsidRPr="00397DD8">
        <w:rPr>
          <w:sz w:val="28"/>
          <w:szCs w:val="28"/>
        </w:rPr>
        <w:t>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Таким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суммирование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формуле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проводится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несколько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этапов,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зависит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количества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источников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шума.</w:t>
      </w:r>
    </w:p>
    <w:p w:rsidR="00401338" w:rsidRPr="00397DD8" w:rsidRDefault="00401338" w:rsidP="00397DD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6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75,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70.</w:t>
      </w:r>
    </w:p>
    <w:p w:rsidR="00401338" w:rsidRPr="00397DD8" w:rsidRDefault="00401338" w:rsidP="00397DD8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76,2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</w:p>
    <w:p w:rsidR="00401338" w:rsidRPr="00397DD8" w:rsidRDefault="00401338" w:rsidP="00397DD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70.</w:t>
      </w:r>
    </w:p>
    <w:p w:rsidR="00401338" w:rsidRPr="00397DD8" w:rsidRDefault="00401338" w:rsidP="00397DD8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</w:p>
    <w:p w:rsidR="00401338" w:rsidRPr="00397DD8" w:rsidRDefault="00401338" w:rsidP="00397DD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70.</w:t>
      </w:r>
    </w:p>
    <w:p w:rsidR="00401338" w:rsidRPr="00397DD8" w:rsidRDefault="00401338" w:rsidP="00397DD8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</w:p>
    <w:p w:rsidR="00401338" w:rsidRPr="00397DD8" w:rsidRDefault="00401338" w:rsidP="00397DD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4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65.</w:t>
      </w:r>
    </w:p>
    <w:p w:rsidR="00401338" w:rsidRPr="00397DD8" w:rsidRDefault="00401338" w:rsidP="00397DD8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</w:p>
    <w:p w:rsidR="00401338" w:rsidRPr="00397DD8" w:rsidRDefault="00401338" w:rsidP="00397DD8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звукового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давления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Pr="00397DD8">
        <w:rPr>
          <w:sz w:val="28"/>
          <w:szCs w:val="28"/>
        </w:rPr>
        <w:t>7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58.</w:t>
      </w:r>
    </w:p>
    <w:p w:rsidR="00401338" w:rsidRPr="00397DD8" w:rsidRDefault="00401338" w:rsidP="00397DD8">
      <w:pPr>
        <w:numPr>
          <w:ilvl w:val="1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65,8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Если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рассчитывать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среднее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арифметическое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чисел,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получим,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примерно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71,2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Ответ: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53"/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=71,2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Вывод: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задачи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операторская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преимущественная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f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500.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Допустимым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500Гц,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будет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(см.табл.1).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нашем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53"/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L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=71,2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дБ,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превышает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допустимый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звука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частоте.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Практическая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необходимость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проектирвании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промышленного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предприятия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состоит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том,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чтобы,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суммарный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уровень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агрегатов,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определить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деятельности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помещении,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где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шумовые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помехи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скажутся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качестве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работы.</w:t>
      </w: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 w:rsidRPr="00397DD8">
        <w:rPr>
          <w:b/>
          <w:sz w:val="28"/>
          <w:szCs w:val="28"/>
        </w:rPr>
        <w:t>4.</w:t>
      </w:r>
      <w:r w:rsidR="00AC5B33" w:rsidRPr="00397DD8">
        <w:rPr>
          <w:b/>
          <w:sz w:val="28"/>
          <w:szCs w:val="36"/>
        </w:rPr>
        <w:t>Задача</w:t>
      </w:r>
      <w:r w:rsidRPr="00397DD8">
        <w:rPr>
          <w:b/>
          <w:sz w:val="28"/>
          <w:szCs w:val="36"/>
        </w:rPr>
        <w:t xml:space="preserve"> </w:t>
      </w:r>
      <w:r w:rsidR="00AC5B33" w:rsidRPr="00397DD8">
        <w:rPr>
          <w:b/>
          <w:sz w:val="28"/>
          <w:szCs w:val="36"/>
        </w:rPr>
        <w:t>№</w:t>
      </w:r>
      <w:r w:rsidRPr="00397DD8">
        <w:rPr>
          <w:b/>
          <w:sz w:val="28"/>
          <w:szCs w:val="36"/>
        </w:rPr>
        <w:t xml:space="preserve"> </w:t>
      </w:r>
      <w:r w:rsidR="00AC5B33" w:rsidRPr="00397DD8">
        <w:rPr>
          <w:b/>
          <w:sz w:val="28"/>
          <w:szCs w:val="36"/>
        </w:rPr>
        <w:t>18.1</w:t>
      </w:r>
    </w:p>
    <w:p w:rsidR="00397DD8" w:rsidRDefault="00397DD8" w:rsidP="00397D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Условие:</w:t>
      </w:r>
      <w:r w:rsidR="00397DD8">
        <w:rPr>
          <w:b/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санитарно-гигиенических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(улучшение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вентиляционных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установок,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снижение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шума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вибрации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др.)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привело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сокращению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травматизма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производственно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обусловленной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заболеваемости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следствие,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повышению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производительности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Рассчитать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руда.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Исходные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численность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работающих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прирост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производительности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sym w:font="Symbol" w:char="F044"/>
      </w:r>
      <w:r w:rsidRPr="00397DD8">
        <w:rPr>
          <w:sz w:val="28"/>
          <w:szCs w:val="28"/>
        </w:rPr>
        <w:t>П,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среднедневная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заработная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плата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Зд,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среднесменная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выработка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продукции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единовременные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трудоохранные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текущие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расходы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С.</w:t>
      </w: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всех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вариантов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принять: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фонд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рабочего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времени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Фг=230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дней;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удельный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условно-постоянных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расходов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себестоимости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продукции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22%.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70"/>
        <w:gridCol w:w="1278"/>
        <w:gridCol w:w="1278"/>
        <w:gridCol w:w="1278"/>
        <w:gridCol w:w="1278"/>
        <w:gridCol w:w="1548"/>
        <w:gridCol w:w="1348"/>
      </w:tblGrid>
      <w:tr w:rsidR="00401338" w:rsidRPr="00397DD8" w:rsidTr="00397DD8">
        <w:trPr>
          <w:cantSplit/>
          <w:jc w:val="center"/>
        </w:trPr>
        <w:tc>
          <w:tcPr>
            <w:tcW w:w="117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Номер</w:t>
            </w:r>
          </w:p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варианта</w:t>
            </w:r>
          </w:p>
        </w:tc>
        <w:tc>
          <w:tcPr>
            <w:tcW w:w="80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Исходные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данные</w:t>
            </w:r>
          </w:p>
        </w:tc>
      </w:tr>
      <w:tr w:rsidR="00401338" w:rsidRPr="00397DD8" w:rsidTr="00397DD8">
        <w:trPr>
          <w:cantSplit/>
          <w:jc w:val="center"/>
        </w:trPr>
        <w:tc>
          <w:tcPr>
            <w:tcW w:w="11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Р,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чел.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sym w:font="Symbol" w:char="F044"/>
            </w:r>
            <w:r w:rsidRPr="00397DD8">
              <w:rPr>
                <w:sz w:val="20"/>
                <w:szCs w:val="20"/>
              </w:rPr>
              <w:t>П,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%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Зд,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руб.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Вс,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руб.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К,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тыс.руб.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С,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тыс.</w:t>
            </w:r>
            <w:r w:rsidR="00397DD8" w:rsidRPr="00397DD8">
              <w:rPr>
                <w:sz w:val="20"/>
                <w:szCs w:val="20"/>
              </w:rPr>
              <w:t xml:space="preserve"> </w:t>
            </w:r>
            <w:r w:rsidRPr="00397DD8">
              <w:rPr>
                <w:sz w:val="20"/>
                <w:szCs w:val="20"/>
              </w:rPr>
              <w:t>руб.</w:t>
            </w:r>
          </w:p>
        </w:tc>
      </w:tr>
      <w:tr w:rsidR="00401338" w:rsidRPr="00397DD8" w:rsidTr="00397DD8">
        <w:trPr>
          <w:jc w:val="center"/>
        </w:trPr>
        <w:tc>
          <w:tcPr>
            <w:tcW w:w="117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18.1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1,25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162,4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344,5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376,5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338" w:rsidRPr="00397DD8" w:rsidRDefault="00401338" w:rsidP="00397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97DD8">
              <w:rPr>
                <w:sz w:val="20"/>
                <w:szCs w:val="20"/>
              </w:rPr>
              <w:t>65,6</w:t>
            </w:r>
          </w:p>
        </w:tc>
      </w:tr>
    </w:tbl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Pr="00397DD8" w:rsidRDefault="00401338" w:rsidP="00397D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97DD8">
        <w:rPr>
          <w:b/>
          <w:sz w:val="28"/>
          <w:szCs w:val="28"/>
        </w:rPr>
        <w:t>Решение: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Экономическое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обоснование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повышению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производят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сопоставлением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полученных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результатов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(общей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экономии)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затратами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осуществление.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Эффективными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считаются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превышают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достигнутой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экономии.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оценки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трудоохранных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определяют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следующие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показатели:</w:t>
      </w:r>
    </w:p>
    <w:p w:rsidR="00401338" w:rsidRPr="00397DD8" w:rsidRDefault="00401338" w:rsidP="00397DD8">
      <w:pPr>
        <w:numPr>
          <w:ilvl w:val="1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годовой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Ээ,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тыс.руб.;</w:t>
      </w:r>
    </w:p>
    <w:p w:rsidR="00401338" w:rsidRPr="00397DD8" w:rsidRDefault="00401338" w:rsidP="00397DD8">
      <w:pPr>
        <w:numPr>
          <w:ilvl w:val="1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экономическую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расходов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Ээ</w:t>
      </w:r>
      <w:r w:rsidRPr="00397DD8">
        <w:rPr>
          <w:sz w:val="28"/>
          <w:szCs w:val="28"/>
        </w:rPr>
        <w:sym w:font="Symbol" w:char="F0B0"/>
      </w:r>
      <w:r w:rsidRPr="00397DD8">
        <w:rPr>
          <w:sz w:val="28"/>
          <w:szCs w:val="28"/>
        </w:rPr>
        <w:t>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руб./руб.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затрат;</w:t>
      </w:r>
    </w:p>
    <w:p w:rsidR="00401338" w:rsidRPr="00397DD8" w:rsidRDefault="00401338" w:rsidP="00397DD8">
      <w:pPr>
        <w:numPr>
          <w:ilvl w:val="1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срок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окупаемости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Тк,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Расчет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перечисленных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показателей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ведется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формулам: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Ээ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Ен*К)</w:t>
      </w:r>
    </w:p>
    <w:p w:rsidR="00401338" w:rsidRPr="00397DD8" w:rsidRDefault="00AC5B33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г</w:t>
      </w:r>
      <w:r w:rsidR="00401338" w:rsidRPr="00397DD8">
        <w:rPr>
          <w:sz w:val="28"/>
          <w:szCs w:val="28"/>
        </w:rPr>
        <w:t>де,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текущие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(эксплуатационные)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расходы,</w:t>
      </w:r>
      <w:r w:rsidR="00397DD8">
        <w:rPr>
          <w:sz w:val="28"/>
          <w:szCs w:val="28"/>
        </w:rPr>
        <w:t xml:space="preserve"> </w:t>
      </w:r>
      <w:r w:rsidR="00401338" w:rsidRPr="00397DD8">
        <w:rPr>
          <w:sz w:val="28"/>
          <w:szCs w:val="28"/>
        </w:rPr>
        <w:t>тыс.руб.;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(единовременные)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трудоохранные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тыс.руб.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коэффициент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эффективности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который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равен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0,08.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Ээ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442,1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(65,6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0,08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*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376,5)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442,1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95,72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246,48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Ээ</w:t>
      </w:r>
      <w:r w:rsidRPr="00397DD8">
        <w:rPr>
          <w:sz w:val="28"/>
          <w:szCs w:val="28"/>
        </w:rPr>
        <w:sym w:font="Symbol" w:char="F0B0"/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*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руб./руб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общих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затрат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Ээ</w:t>
      </w:r>
      <w:r w:rsidRPr="00397DD8">
        <w:rPr>
          <w:sz w:val="28"/>
          <w:szCs w:val="28"/>
        </w:rPr>
        <w:sym w:font="Symbol" w:char="F0B0"/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442.1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(65,6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+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0,08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*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376,5)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442,1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95,72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4,62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(Эо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лет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Тк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376,5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(442,1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65,6)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Полученный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окупаемости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сравнивают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нормативными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Тн.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трудоохранных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мероприятий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нормативный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окупаемости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установлен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уровне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12,5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лет.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Ответ:</w:t>
      </w:r>
      <w:r w:rsidR="00397DD8">
        <w:rPr>
          <w:sz w:val="28"/>
          <w:szCs w:val="28"/>
        </w:rPr>
        <w:t xml:space="preserve"> </w:t>
      </w:r>
      <w:r w:rsidR="00AC5B33" w:rsidRPr="00397DD8">
        <w:rPr>
          <w:sz w:val="28"/>
          <w:szCs w:val="28"/>
        </w:rPr>
        <w:t>Г</w:t>
      </w:r>
      <w:r w:rsidRPr="00397DD8">
        <w:rPr>
          <w:sz w:val="28"/>
          <w:szCs w:val="28"/>
        </w:rPr>
        <w:t>одовой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эффект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Ээ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346,48;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окупаемости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год.</w:t>
      </w:r>
    </w:p>
    <w:p w:rsidR="00401338" w:rsidRPr="00397DD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  <w:r w:rsidRPr="00397DD8">
        <w:rPr>
          <w:b/>
          <w:sz w:val="28"/>
          <w:szCs w:val="28"/>
        </w:rPr>
        <w:t>Вывод: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данным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расчетам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срок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окупаемости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капитальных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вложений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=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год.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нашем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примере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&lt;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  <w:lang w:val="en-US"/>
        </w:rPr>
        <w:t>T</w:t>
      </w:r>
      <w:r w:rsidRPr="00397DD8">
        <w:rPr>
          <w:sz w:val="28"/>
          <w:szCs w:val="28"/>
        </w:rPr>
        <w:t>н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(1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&lt;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12,5),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следовательно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капиталовложения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реализацию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предусмотренного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комплекса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мер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улучшению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условий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можно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считать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экономически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целесообразным.</w:t>
      </w:r>
    </w:p>
    <w:p w:rsidR="00401338" w:rsidRDefault="0040133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397DD8" w:rsidRPr="00397DD8" w:rsidRDefault="00397DD8" w:rsidP="00397DD8">
      <w:pPr>
        <w:spacing w:line="360" w:lineRule="auto"/>
        <w:ind w:firstLine="709"/>
        <w:jc w:val="both"/>
        <w:rPr>
          <w:sz w:val="28"/>
          <w:szCs w:val="28"/>
        </w:rPr>
      </w:pPr>
    </w:p>
    <w:p w:rsidR="0040133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  <w:r>
        <w:rPr>
          <w:sz w:val="28"/>
          <w:szCs w:val="28"/>
        </w:rPr>
        <w:br w:type="page"/>
      </w:r>
      <w:r w:rsidR="00401338" w:rsidRPr="00397DD8">
        <w:rPr>
          <w:b/>
          <w:sz w:val="28"/>
          <w:szCs w:val="36"/>
        </w:rPr>
        <w:t>Список</w:t>
      </w:r>
      <w:r>
        <w:rPr>
          <w:b/>
          <w:sz w:val="28"/>
          <w:szCs w:val="36"/>
        </w:rPr>
        <w:t xml:space="preserve"> </w:t>
      </w:r>
      <w:r w:rsidR="00401338" w:rsidRPr="00397DD8">
        <w:rPr>
          <w:b/>
          <w:sz w:val="28"/>
          <w:szCs w:val="36"/>
        </w:rPr>
        <w:t>используемой</w:t>
      </w:r>
      <w:r>
        <w:rPr>
          <w:b/>
          <w:sz w:val="28"/>
          <w:szCs w:val="36"/>
        </w:rPr>
        <w:t xml:space="preserve"> литературы</w:t>
      </w:r>
    </w:p>
    <w:p w:rsidR="00397DD8" w:rsidRPr="00397DD8" w:rsidRDefault="00397DD8" w:rsidP="00397DD8">
      <w:pPr>
        <w:spacing w:line="360" w:lineRule="auto"/>
        <w:ind w:firstLine="709"/>
        <w:jc w:val="both"/>
        <w:rPr>
          <w:b/>
          <w:sz w:val="28"/>
          <w:szCs w:val="36"/>
        </w:rPr>
      </w:pP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Безопасность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жизнедеятельности: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Учебник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вузов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А.В.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Ильницкая,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А.Ф.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Козьяков,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С.В.Белова.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Высш.шк.,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2005.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Безопасность</w:t>
      </w:r>
      <w:r w:rsidR="00101421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жизнедеятельности: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Учебник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ссузов.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5-е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изд.,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испр.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доп.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С.В.Белова.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М.: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Высш.шк..,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2004.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Бурашников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Ю.М.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пищевой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промышленности,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общественном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питании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торговле: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Учебник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нач.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проф.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Образования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Ю.М.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Бурашников,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А.С.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Максимов.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М.: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Академия,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2006.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Внутренние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санитарно-технические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устройства.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Ч.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3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Кн.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Вентиляция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кондиционирование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воздуха.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И.Г.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Староверова,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1990.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Основы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жизнедеятельности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Ю.Л.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Воробьева.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М.: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Астрель,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2005.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Производственная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охрана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труда: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Учебник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ссузов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П.П.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кукин,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В.Л.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Лапин,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Н.П.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Пономарев.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М.: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Высш.шк.,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2007.</w:t>
      </w:r>
    </w:p>
    <w:p w:rsidR="00AC5B33" w:rsidRPr="00397DD8" w:rsidRDefault="00AC5B33" w:rsidP="00397DD8">
      <w:pPr>
        <w:numPr>
          <w:ilvl w:val="0"/>
          <w:numId w:val="4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397DD8">
        <w:rPr>
          <w:sz w:val="28"/>
          <w:szCs w:val="28"/>
        </w:rPr>
        <w:t>Экология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и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безопасность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жизнедеятельности: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Учеб.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Пособие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для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вызов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/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Под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ред.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Л.А.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Муравья.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–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М.: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ЮНИТИ-ДАНА,</w:t>
      </w:r>
      <w:r w:rsidR="00397DD8">
        <w:rPr>
          <w:sz w:val="28"/>
          <w:szCs w:val="28"/>
        </w:rPr>
        <w:t xml:space="preserve"> </w:t>
      </w:r>
      <w:r w:rsidRPr="00397DD8">
        <w:rPr>
          <w:sz w:val="28"/>
          <w:szCs w:val="28"/>
        </w:rPr>
        <w:t>2005.</w:t>
      </w:r>
      <w:bookmarkStart w:id="0" w:name="_GoBack"/>
      <w:bookmarkEnd w:id="0"/>
    </w:p>
    <w:sectPr w:rsidR="00AC5B33" w:rsidRPr="00397DD8" w:rsidSect="00397DD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8BD" w:rsidRDefault="00E048BD" w:rsidP="00AC5B33">
      <w:r>
        <w:separator/>
      </w:r>
    </w:p>
  </w:endnote>
  <w:endnote w:type="continuationSeparator" w:id="0">
    <w:p w:rsidR="00E048BD" w:rsidRDefault="00E048BD" w:rsidP="00AC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8BD" w:rsidRDefault="00E048BD" w:rsidP="00AC5B33">
      <w:r>
        <w:separator/>
      </w:r>
    </w:p>
  </w:footnote>
  <w:footnote w:type="continuationSeparator" w:id="0">
    <w:p w:rsidR="00E048BD" w:rsidRDefault="00E048BD" w:rsidP="00AC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6496"/>
    <w:multiLevelType w:val="hybridMultilevel"/>
    <w:tmpl w:val="6FDA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506EA0">
      <w:numFmt w:val="bullet"/>
      <w:lvlText w:val="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C3044BE"/>
    <w:multiLevelType w:val="hybridMultilevel"/>
    <w:tmpl w:val="38208A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C4859B9"/>
    <w:multiLevelType w:val="hybridMultilevel"/>
    <w:tmpl w:val="C5B06E0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22842"/>
    <w:multiLevelType w:val="hybridMultilevel"/>
    <w:tmpl w:val="56485A1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0DE7051B"/>
    <w:multiLevelType w:val="hybridMultilevel"/>
    <w:tmpl w:val="0AA230B2"/>
    <w:lvl w:ilvl="0" w:tplc="F04635DE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34724D"/>
    <w:multiLevelType w:val="hybridMultilevel"/>
    <w:tmpl w:val="A28A2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17536A"/>
    <w:multiLevelType w:val="hybridMultilevel"/>
    <w:tmpl w:val="B468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B943397"/>
    <w:multiLevelType w:val="hybridMultilevel"/>
    <w:tmpl w:val="DC043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B861FE"/>
    <w:multiLevelType w:val="hybridMultilevel"/>
    <w:tmpl w:val="375C4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22C37EC"/>
    <w:multiLevelType w:val="hybridMultilevel"/>
    <w:tmpl w:val="225ED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72D2CD7"/>
    <w:multiLevelType w:val="hybridMultilevel"/>
    <w:tmpl w:val="B6880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297714"/>
    <w:multiLevelType w:val="hybridMultilevel"/>
    <w:tmpl w:val="80E8A306"/>
    <w:lvl w:ilvl="0" w:tplc="B34E59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2A9605D1"/>
    <w:multiLevelType w:val="hybridMultilevel"/>
    <w:tmpl w:val="9B28EEA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A60A214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22F6BCF"/>
    <w:multiLevelType w:val="hybridMultilevel"/>
    <w:tmpl w:val="49C0A0C8"/>
    <w:lvl w:ilvl="0" w:tplc="60E25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>
    <w:nsid w:val="3D511635"/>
    <w:multiLevelType w:val="hybridMultilevel"/>
    <w:tmpl w:val="5AC0C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2DF1993"/>
    <w:multiLevelType w:val="hybridMultilevel"/>
    <w:tmpl w:val="2E746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2B0B72"/>
    <w:multiLevelType w:val="hybridMultilevel"/>
    <w:tmpl w:val="92068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354E4B"/>
    <w:multiLevelType w:val="hybridMultilevel"/>
    <w:tmpl w:val="B26C65D6"/>
    <w:lvl w:ilvl="0" w:tplc="60E25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F966662"/>
    <w:multiLevelType w:val="hybridMultilevel"/>
    <w:tmpl w:val="404877E0"/>
    <w:lvl w:ilvl="0" w:tplc="60E25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4A60A214">
      <w:start w:val="2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9">
    <w:nsid w:val="4FD20264"/>
    <w:multiLevelType w:val="hybridMultilevel"/>
    <w:tmpl w:val="AFEC7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FE719D9"/>
    <w:multiLevelType w:val="hybridMultilevel"/>
    <w:tmpl w:val="AFB403A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0017A1A"/>
    <w:multiLevelType w:val="hybridMultilevel"/>
    <w:tmpl w:val="BD4E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2A288F"/>
    <w:multiLevelType w:val="hybridMultilevel"/>
    <w:tmpl w:val="8668C1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736703E"/>
    <w:multiLevelType w:val="hybridMultilevel"/>
    <w:tmpl w:val="89C6F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EA33B5"/>
    <w:multiLevelType w:val="hybridMultilevel"/>
    <w:tmpl w:val="A4C6C40C"/>
    <w:lvl w:ilvl="0" w:tplc="E2F8CBE4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A58274B"/>
    <w:multiLevelType w:val="hybridMultilevel"/>
    <w:tmpl w:val="1F10F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AB82005"/>
    <w:multiLevelType w:val="hybridMultilevel"/>
    <w:tmpl w:val="A5BCA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D554EC"/>
    <w:multiLevelType w:val="hybridMultilevel"/>
    <w:tmpl w:val="4AA64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4E111B"/>
    <w:multiLevelType w:val="hybridMultilevel"/>
    <w:tmpl w:val="E3D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FE3706"/>
    <w:multiLevelType w:val="hybridMultilevel"/>
    <w:tmpl w:val="BEAEB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13C786F"/>
    <w:multiLevelType w:val="hybridMultilevel"/>
    <w:tmpl w:val="DA44F3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2843BA6"/>
    <w:multiLevelType w:val="hybridMultilevel"/>
    <w:tmpl w:val="3550A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67C7FE0"/>
    <w:multiLevelType w:val="hybridMultilevel"/>
    <w:tmpl w:val="F50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A3A6F5C"/>
    <w:multiLevelType w:val="hybridMultilevel"/>
    <w:tmpl w:val="406CC8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C974F3"/>
    <w:multiLevelType w:val="hybridMultilevel"/>
    <w:tmpl w:val="96A608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C47F23"/>
    <w:multiLevelType w:val="hybridMultilevel"/>
    <w:tmpl w:val="5E44D040"/>
    <w:lvl w:ilvl="0" w:tplc="60E25B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76A43CDE"/>
    <w:multiLevelType w:val="hybridMultilevel"/>
    <w:tmpl w:val="4F36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6CD5D08"/>
    <w:multiLevelType w:val="hybridMultilevel"/>
    <w:tmpl w:val="6E68E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4C2067"/>
    <w:multiLevelType w:val="hybridMultilevel"/>
    <w:tmpl w:val="750CD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B090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152FE8"/>
    <w:multiLevelType w:val="hybridMultilevel"/>
    <w:tmpl w:val="4A16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0463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FE1221C"/>
    <w:multiLevelType w:val="hybridMultilevel"/>
    <w:tmpl w:val="8536F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8"/>
  </w:num>
  <w:num w:numId="3">
    <w:abstractNumId w:val="33"/>
  </w:num>
  <w:num w:numId="4">
    <w:abstractNumId w:val="26"/>
  </w:num>
  <w:num w:numId="5">
    <w:abstractNumId w:val="11"/>
  </w:num>
  <w:num w:numId="6">
    <w:abstractNumId w:val="18"/>
  </w:num>
  <w:num w:numId="7">
    <w:abstractNumId w:val="14"/>
  </w:num>
  <w:num w:numId="8">
    <w:abstractNumId w:val="24"/>
  </w:num>
  <w:num w:numId="9">
    <w:abstractNumId w:val="15"/>
  </w:num>
  <w:num w:numId="10">
    <w:abstractNumId w:val="10"/>
  </w:num>
  <w:num w:numId="11">
    <w:abstractNumId w:val="29"/>
  </w:num>
  <w:num w:numId="12">
    <w:abstractNumId w:val="30"/>
  </w:num>
  <w:num w:numId="13">
    <w:abstractNumId w:val="1"/>
  </w:num>
  <w:num w:numId="14">
    <w:abstractNumId w:val="34"/>
  </w:num>
  <w:num w:numId="15">
    <w:abstractNumId w:val="22"/>
  </w:num>
  <w:num w:numId="16">
    <w:abstractNumId w:val="36"/>
  </w:num>
  <w:num w:numId="17">
    <w:abstractNumId w:val="4"/>
  </w:num>
  <w:num w:numId="18">
    <w:abstractNumId w:val="20"/>
  </w:num>
  <w:num w:numId="19">
    <w:abstractNumId w:val="6"/>
  </w:num>
  <w:num w:numId="20">
    <w:abstractNumId w:val="8"/>
  </w:num>
  <w:num w:numId="21">
    <w:abstractNumId w:val="25"/>
  </w:num>
  <w:num w:numId="22">
    <w:abstractNumId w:val="31"/>
  </w:num>
  <w:num w:numId="23">
    <w:abstractNumId w:val="7"/>
  </w:num>
  <w:num w:numId="24">
    <w:abstractNumId w:val="32"/>
  </w:num>
  <w:num w:numId="25">
    <w:abstractNumId w:val="3"/>
  </w:num>
  <w:num w:numId="26">
    <w:abstractNumId w:val="19"/>
  </w:num>
  <w:num w:numId="27">
    <w:abstractNumId w:val="12"/>
  </w:num>
  <w:num w:numId="28">
    <w:abstractNumId w:val="27"/>
  </w:num>
  <w:num w:numId="29">
    <w:abstractNumId w:val="23"/>
  </w:num>
  <w:num w:numId="30">
    <w:abstractNumId w:val="39"/>
  </w:num>
  <w:num w:numId="31">
    <w:abstractNumId w:val="13"/>
  </w:num>
  <w:num w:numId="32">
    <w:abstractNumId w:val="5"/>
  </w:num>
  <w:num w:numId="33">
    <w:abstractNumId w:val="2"/>
  </w:num>
  <w:num w:numId="34">
    <w:abstractNumId w:val="40"/>
  </w:num>
  <w:num w:numId="35">
    <w:abstractNumId w:val="9"/>
  </w:num>
  <w:num w:numId="36">
    <w:abstractNumId w:val="17"/>
  </w:num>
  <w:num w:numId="37">
    <w:abstractNumId w:val="37"/>
  </w:num>
  <w:num w:numId="38">
    <w:abstractNumId w:val="28"/>
  </w:num>
  <w:num w:numId="39">
    <w:abstractNumId w:val="0"/>
  </w:num>
  <w:num w:numId="40">
    <w:abstractNumId w:val="35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338"/>
    <w:rsid w:val="00101421"/>
    <w:rsid w:val="003414F3"/>
    <w:rsid w:val="00397DD8"/>
    <w:rsid w:val="003D1C81"/>
    <w:rsid w:val="00401338"/>
    <w:rsid w:val="00540D8F"/>
    <w:rsid w:val="00733B9D"/>
    <w:rsid w:val="007A5B0D"/>
    <w:rsid w:val="00987BDE"/>
    <w:rsid w:val="00AC5B33"/>
    <w:rsid w:val="00B823C2"/>
    <w:rsid w:val="00C1437E"/>
    <w:rsid w:val="00E048BD"/>
    <w:rsid w:val="00F150D5"/>
    <w:rsid w:val="00F8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8A5AEB0-5B79-4F7F-BDA3-8EC290C0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firstLine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semiHidden/>
    <w:pPr>
      <w:ind w:firstLine="708"/>
    </w:pPr>
    <w:rPr>
      <w:b/>
      <w:bCs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C5B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AC5B33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AC5B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AC5B3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92C4-6A67-4F0A-93BC-CB0A1F510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5730</Words>
  <Characters>32663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STC "Drive Technique"</Company>
  <LinksUpToDate>false</LinksUpToDate>
  <CharactersWithSpaces>38317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KlyaginaI</dc:creator>
  <cp:keywords/>
  <dc:description/>
  <cp:lastModifiedBy>admin</cp:lastModifiedBy>
  <cp:revision>2</cp:revision>
  <cp:lastPrinted>2010-02-07T16:56:00Z</cp:lastPrinted>
  <dcterms:created xsi:type="dcterms:W3CDTF">2014-03-22T09:31:00Z</dcterms:created>
  <dcterms:modified xsi:type="dcterms:W3CDTF">2014-03-22T09:31:00Z</dcterms:modified>
</cp:coreProperties>
</file>