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2050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903" w:rsidRDefault="007B3903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903" w:rsidRDefault="007B3903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903" w:rsidRDefault="007B3903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903" w:rsidRDefault="007B3903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903" w:rsidRDefault="007B3903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903" w:rsidRDefault="007B3903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903" w:rsidRDefault="007B3903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903" w:rsidRDefault="007B3903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903" w:rsidRDefault="007B3903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903" w:rsidRDefault="007B3903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903" w:rsidRPr="00BD1CBD" w:rsidRDefault="007B3903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903" w:rsidRDefault="00E92050" w:rsidP="007B3903">
      <w:pPr>
        <w:suppressAutoHyphens w:val="0"/>
        <w:spacing w:line="360" w:lineRule="auto"/>
        <w:jc w:val="center"/>
        <w:rPr>
          <w:color w:val="000000"/>
          <w:sz w:val="28"/>
          <w:szCs w:val="28"/>
        </w:rPr>
      </w:pPr>
      <w:r w:rsidRPr="00BD1CBD">
        <w:rPr>
          <w:color w:val="000000"/>
          <w:sz w:val="28"/>
          <w:szCs w:val="28"/>
        </w:rPr>
        <w:t xml:space="preserve">Контрольная работа </w:t>
      </w:r>
    </w:p>
    <w:p w:rsidR="00E92050" w:rsidRPr="00BD1CBD" w:rsidRDefault="00E92050" w:rsidP="007B3903">
      <w:pPr>
        <w:suppressAutoHyphens w:val="0"/>
        <w:spacing w:line="360" w:lineRule="auto"/>
        <w:jc w:val="center"/>
        <w:rPr>
          <w:color w:val="000000"/>
          <w:sz w:val="28"/>
          <w:szCs w:val="28"/>
        </w:rPr>
      </w:pPr>
      <w:r w:rsidRPr="00BD1CBD">
        <w:rPr>
          <w:color w:val="000000"/>
          <w:sz w:val="28"/>
          <w:szCs w:val="28"/>
        </w:rPr>
        <w:t>«Обеспечение надежности инвестиционного решения»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2050" w:rsidRPr="007B3903" w:rsidRDefault="007B3903" w:rsidP="00BD1CBD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E92050" w:rsidRPr="007B3903">
        <w:rPr>
          <w:b/>
          <w:color w:val="000000"/>
          <w:sz w:val="28"/>
        </w:rPr>
        <w:t>1. Описание объекта исследования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Рассмотрим инвестиционный проект со следующими переменными:</w:t>
      </w:r>
    </w:p>
    <w:p w:rsidR="00E92050" w:rsidRPr="00BD1CBD" w:rsidRDefault="00E92050" w:rsidP="00BD1CBD">
      <w:pPr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 xml:space="preserve">Объем инвестиций </w:t>
      </w:r>
      <w:r w:rsidR="00BD1CBD">
        <w:rPr>
          <w:color w:val="000000"/>
          <w:sz w:val="28"/>
        </w:rPr>
        <w:t>–</w:t>
      </w:r>
      <w:r w:rsidR="00BD1CBD" w:rsidRPr="00BD1CBD">
        <w:rPr>
          <w:color w:val="000000"/>
          <w:sz w:val="28"/>
        </w:rPr>
        <w:t xml:space="preserve"> </w:t>
      </w:r>
      <w:r w:rsidRPr="00BD1CBD">
        <w:rPr>
          <w:color w:val="000000"/>
          <w:sz w:val="28"/>
        </w:rPr>
        <w:t xml:space="preserve">100 </w:t>
      </w:r>
      <w:r w:rsidR="00BD1CBD" w:rsidRPr="00BD1CBD">
        <w:rPr>
          <w:color w:val="000000"/>
          <w:sz w:val="28"/>
        </w:rPr>
        <w:t>у.</w:t>
      </w:r>
      <w:r w:rsidR="00BD1CBD">
        <w:rPr>
          <w:color w:val="000000"/>
          <w:sz w:val="28"/>
        </w:rPr>
        <w:t> </w:t>
      </w:r>
      <w:r w:rsidR="00BD1CBD" w:rsidRPr="00BD1CBD">
        <w:rPr>
          <w:color w:val="000000"/>
          <w:sz w:val="28"/>
        </w:rPr>
        <w:t>е</w:t>
      </w:r>
      <w:r w:rsidRPr="00BD1CBD">
        <w:rPr>
          <w:color w:val="000000"/>
          <w:sz w:val="28"/>
        </w:rPr>
        <w:t>. в 0</w:t>
      </w:r>
      <w:r w:rsidR="00BD1CBD">
        <w:rPr>
          <w:color w:val="000000"/>
          <w:sz w:val="28"/>
        </w:rPr>
        <w:noBreakHyphen/>
      </w:r>
      <w:r w:rsidR="00BD1CBD" w:rsidRPr="00BD1CBD">
        <w:rPr>
          <w:color w:val="000000"/>
          <w:sz w:val="28"/>
        </w:rPr>
        <w:t>м</w:t>
      </w:r>
      <w:r w:rsidRPr="00BD1CBD">
        <w:rPr>
          <w:color w:val="000000"/>
          <w:sz w:val="28"/>
        </w:rPr>
        <w:t xml:space="preserve"> периоде</w:t>
      </w:r>
    </w:p>
    <w:p w:rsidR="00E92050" w:rsidRPr="00BD1CBD" w:rsidRDefault="00E92050" w:rsidP="00BD1CBD">
      <w:pPr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Цена изделия</w:t>
      </w:r>
      <w:r w:rsidR="00BD1CBD">
        <w:rPr>
          <w:color w:val="000000"/>
          <w:sz w:val="28"/>
        </w:rPr>
        <w:t xml:space="preserve"> –</w:t>
      </w:r>
      <w:r w:rsidR="00BD1CBD" w:rsidRPr="00BD1CBD">
        <w:rPr>
          <w:color w:val="000000"/>
          <w:sz w:val="28"/>
        </w:rPr>
        <w:t xml:space="preserve"> </w:t>
      </w:r>
      <w:r w:rsidRPr="00BD1CBD">
        <w:rPr>
          <w:color w:val="000000"/>
          <w:sz w:val="28"/>
        </w:rPr>
        <w:t xml:space="preserve">10 </w:t>
      </w:r>
      <w:r w:rsidR="00BD1CBD" w:rsidRPr="00BD1CBD">
        <w:rPr>
          <w:color w:val="000000"/>
          <w:sz w:val="28"/>
        </w:rPr>
        <w:t>у.</w:t>
      </w:r>
      <w:r w:rsidR="00BD1CBD">
        <w:rPr>
          <w:color w:val="000000"/>
          <w:sz w:val="28"/>
        </w:rPr>
        <w:t> </w:t>
      </w:r>
      <w:r w:rsidR="00BD1CBD" w:rsidRPr="00BD1CBD">
        <w:rPr>
          <w:color w:val="000000"/>
          <w:sz w:val="28"/>
        </w:rPr>
        <w:t>е</w:t>
      </w:r>
      <w:r w:rsidRPr="00BD1CBD">
        <w:rPr>
          <w:color w:val="000000"/>
          <w:sz w:val="28"/>
        </w:rPr>
        <w:t>.</w:t>
      </w:r>
    </w:p>
    <w:p w:rsidR="00E92050" w:rsidRPr="00BD1CBD" w:rsidRDefault="00E92050" w:rsidP="00BD1CBD">
      <w:pPr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 xml:space="preserve">Постоянные затраты – 15 </w:t>
      </w:r>
      <w:r w:rsidR="00BD1CBD" w:rsidRPr="00BD1CBD">
        <w:rPr>
          <w:color w:val="000000"/>
          <w:sz w:val="28"/>
        </w:rPr>
        <w:t>у.</w:t>
      </w:r>
      <w:r w:rsidR="00BD1CBD">
        <w:rPr>
          <w:color w:val="000000"/>
          <w:sz w:val="28"/>
        </w:rPr>
        <w:t> </w:t>
      </w:r>
      <w:r w:rsidR="00BD1CBD" w:rsidRPr="00BD1CBD">
        <w:rPr>
          <w:color w:val="000000"/>
          <w:sz w:val="28"/>
        </w:rPr>
        <w:t>е</w:t>
      </w:r>
      <w:r w:rsidRPr="00BD1CBD">
        <w:rPr>
          <w:color w:val="000000"/>
          <w:sz w:val="28"/>
        </w:rPr>
        <w:t>.</w:t>
      </w:r>
    </w:p>
    <w:p w:rsidR="00E92050" w:rsidRPr="00BD1CBD" w:rsidRDefault="00E92050" w:rsidP="00BD1CBD">
      <w:pPr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Переменные затраты – 6</w:t>
      </w:r>
      <w:r w:rsidR="00BD1CBD" w:rsidRPr="00BD1CBD">
        <w:rPr>
          <w:color w:val="000000"/>
          <w:sz w:val="28"/>
        </w:rPr>
        <w:t>0</w:t>
      </w:r>
      <w:r w:rsidR="00BD1CBD">
        <w:rPr>
          <w:color w:val="000000"/>
          <w:sz w:val="28"/>
        </w:rPr>
        <w:t>%</w:t>
      </w:r>
      <w:r w:rsidRPr="00BD1CBD">
        <w:rPr>
          <w:color w:val="000000"/>
          <w:sz w:val="28"/>
        </w:rPr>
        <w:t xml:space="preserve"> от цены изделия (6 </w:t>
      </w:r>
      <w:r w:rsidR="00BD1CBD" w:rsidRPr="00BD1CBD">
        <w:rPr>
          <w:color w:val="000000"/>
          <w:sz w:val="28"/>
        </w:rPr>
        <w:t>у.</w:t>
      </w:r>
      <w:r w:rsidR="00BD1CBD">
        <w:rPr>
          <w:color w:val="000000"/>
          <w:sz w:val="28"/>
        </w:rPr>
        <w:t> </w:t>
      </w:r>
      <w:r w:rsidR="00BD1CBD" w:rsidRPr="00BD1CBD">
        <w:rPr>
          <w:color w:val="000000"/>
          <w:sz w:val="28"/>
        </w:rPr>
        <w:t>е</w:t>
      </w:r>
      <w:r w:rsidRPr="00BD1CBD">
        <w:rPr>
          <w:color w:val="000000"/>
          <w:sz w:val="28"/>
        </w:rPr>
        <w:t>. на ед)</w:t>
      </w:r>
    </w:p>
    <w:p w:rsidR="00E92050" w:rsidRPr="00BD1CBD" w:rsidRDefault="00E92050" w:rsidP="00BD1CBD">
      <w:pPr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 xml:space="preserve">Амортизация – 5 </w:t>
      </w:r>
      <w:r w:rsidR="00BD1CBD" w:rsidRPr="00BD1CBD">
        <w:rPr>
          <w:color w:val="000000"/>
          <w:sz w:val="28"/>
        </w:rPr>
        <w:t>у.</w:t>
      </w:r>
      <w:r w:rsidR="00BD1CBD">
        <w:rPr>
          <w:color w:val="000000"/>
          <w:sz w:val="28"/>
        </w:rPr>
        <w:t> </w:t>
      </w:r>
      <w:r w:rsidR="00BD1CBD" w:rsidRPr="00BD1CBD">
        <w:rPr>
          <w:color w:val="000000"/>
          <w:sz w:val="28"/>
        </w:rPr>
        <w:t>е</w:t>
      </w:r>
      <w:r w:rsidRPr="00BD1CBD">
        <w:rPr>
          <w:color w:val="000000"/>
          <w:sz w:val="28"/>
        </w:rPr>
        <w:t>. в год</w:t>
      </w:r>
    </w:p>
    <w:p w:rsidR="00E92050" w:rsidRPr="00BD1CBD" w:rsidRDefault="00E92050" w:rsidP="00BD1CBD">
      <w:pPr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Налог на прибыль – 2</w:t>
      </w:r>
      <w:r w:rsidR="00BD1CBD" w:rsidRPr="00BD1CBD">
        <w:rPr>
          <w:color w:val="000000"/>
          <w:sz w:val="28"/>
        </w:rPr>
        <w:t>0</w:t>
      </w:r>
      <w:r w:rsidR="00BD1CBD">
        <w:rPr>
          <w:color w:val="000000"/>
          <w:sz w:val="28"/>
        </w:rPr>
        <w:t>%</w:t>
      </w:r>
    </w:p>
    <w:p w:rsidR="00E92050" w:rsidRPr="00BD1CBD" w:rsidRDefault="00E92050" w:rsidP="00BD1CBD">
      <w:pPr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Ставка дисконтирования – 1</w:t>
      </w:r>
      <w:r w:rsidR="00BD1CBD" w:rsidRPr="00BD1CBD">
        <w:rPr>
          <w:color w:val="000000"/>
          <w:sz w:val="28"/>
        </w:rPr>
        <w:t>0</w:t>
      </w:r>
      <w:r w:rsidR="00BD1CBD">
        <w:rPr>
          <w:color w:val="000000"/>
          <w:sz w:val="28"/>
        </w:rPr>
        <w:t>%</w:t>
      </w:r>
    </w:p>
    <w:p w:rsidR="00E92050" w:rsidRPr="00BD1CBD" w:rsidRDefault="00E92050" w:rsidP="00BD1CBD">
      <w:pPr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 xml:space="preserve">Объем производства – 20 </w:t>
      </w:r>
      <w:r w:rsidR="00BD1CBD" w:rsidRPr="00BD1CBD">
        <w:rPr>
          <w:color w:val="000000"/>
          <w:sz w:val="28"/>
        </w:rPr>
        <w:t>шт</w:t>
      </w:r>
      <w:r w:rsidR="00BD1CBD">
        <w:rPr>
          <w:color w:val="000000"/>
          <w:sz w:val="28"/>
        </w:rPr>
        <w:t>.</w:t>
      </w:r>
      <w:r w:rsidR="00BD1CBD" w:rsidRPr="00BD1CBD">
        <w:rPr>
          <w:color w:val="000000"/>
          <w:sz w:val="28"/>
        </w:rPr>
        <w:t>/</w:t>
      </w:r>
      <w:r w:rsidRPr="00BD1CBD">
        <w:rPr>
          <w:color w:val="000000"/>
          <w:sz w:val="28"/>
        </w:rPr>
        <w:t>год</w:t>
      </w:r>
    </w:p>
    <w:p w:rsidR="00E92050" w:rsidRPr="00BD1CBD" w:rsidRDefault="00E92050" w:rsidP="00BD1CBD">
      <w:pPr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Срок жизни – 7 лет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7B3903" w:rsidRDefault="00E92050" w:rsidP="00BD1CBD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7B3903">
        <w:rPr>
          <w:b/>
          <w:color w:val="000000"/>
          <w:sz w:val="28"/>
        </w:rPr>
        <w:t>2. Выделени</w:t>
      </w:r>
      <w:r w:rsidR="007B3903" w:rsidRPr="007B3903">
        <w:rPr>
          <w:b/>
          <w:color w:val="000000"/>
          <w:sz w:val="28"/>
        </w:rPr>
        <w:t>е набора критических переменных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Выделяем набор критических переменных:</w:t>
      </w:r>
    </w:p>
    <w:p w:rsidR="00E92050" w:rsidRPr="00BD1CBD" w:rsidRDefault="00BD1CBD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92050" w:rsidRPr="00BD1CBD">
        <w:rPr>
          <w:color w:val="000000"/>
          <w:sz w:val="28"/>
        </w:rPr>
        <w:t>уменьшение объема реализации – 8 ед.</w:t>
      </w:r>
    </w:p>
    <w:p w:rsidR="00E92050" w:rsidRPr="00BD1CBD" w:rsidRDefault="00BD1CBD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92050" w:rsidRPr="00BD1CBD">
        <w:rPr>
          <w:color w:val="000000"/>
          <w:sz w:val="28"/>
        </w:rPr>
        <w:t>увеличение постоянных затрат –</w:t>
      </w:r>
      <w:r>
        <w:rPr>
          <w:color w:val="000000"/>
          <w:sz w:val="28"/>
        </w:rPr>
        <w:t xml:space="preserve"> </w:t>
      </w:r>
      <w:r w:rsidRPr="00BD1CBD">
        <w:rPr>
          <w:color w:val="000000"/>
          <w:sz w:val="28"/>
        </w:rPr>
        <w:t>65</w:t>
      </w:r>
      <w:r>
        <w:rPr>
          <w:color w:val="000000"/>
          <w:sz w:val="28"/>
        </w:rPr>
        <w:t> </w:t>
      </w:r>
      <w:r w:rsidRPr="00BD1CBD">
        <w:rPr>
          <w:color w:val="000000"/>
          <w:sz w:val="28"/>
        </w:rPr>
        <w:t>у.</w:t>
      </w:r>
      <w:r>
        <w:rPr>
          <w:color w:val="000000"/>
          <w:sz w:val="28"/>
        </w:rPr>
        <w:t> </w:t>
      </w:r>
      <w:r w:rsidRPr="00BD1CBD">
        <w:rPr>
          <w:color w:val="000000"/>
          <w:sz w:val="28"/>
        </w:rPr>
        <w:t>е</w:t>
      </w:r>
      <w:r w:rsidR="00E92050" w:rsidRPr="00BD1CBD">
        <w:rPr>
          <w:color w:val="000000"/>
          <w:sz w:val="28"/>
        </w:rPr>
        <w:t>. на ед.</w:t>
      </w:r>
    </w:p>
    <w:p w:rsidR="00E92050" w:rsidRPr="00BD1CBD" w:rsidRDefault="00BD1CBD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92050" w:rsidRPr="00BD1CBD">
        <w:rPr>
          <w:color w:val="000000"/>
          <w:sz w:val="28"/>
        </w:rPr>
        <w:t xml:space="preserve">увеличение переменных затрат – 8,5 </w:t>
      </w:r>
      <w:r w:rsidRPr="00BD1CBD">
        <w:rPr>
          <w:color w:val="000000"/>
          <w:sz w:val="28"/>
        </w:rPr>
        <w:t>у.</w:t>
      </w:r>
      <w:r>
        <w:rPr>
          <w:color w:val="000000"/>
          <w:sz w:val="28"/>
        </w:rPr>
        <w:t> </w:t>
      </w:r>
      <w:r w:rsidRPr="00BD1CBD">
        <w:rPr>
          <w:color w:val="000000"/>
          <w:sz w:val="28"/>
        </w:rPr>
        <w:t>е</w:t>
      </w:r>
      <w:r w:rsidR="00E92050" w:rsidRPr="00BD1CBD">
        <w:rPr>
          <w:color w:val="000000"/>
          <w:sz w:val="28"/>
        </w:rPr>
        <w:t>.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 xml:space="preserve">В результате расчетов определены количественные значения критических переменных, при которых </w:t>
      </w:r>
      <w:r w:rsidRPr="00BD1CBD">
        <w:rPr>
          <w:color w:val="000000"/>
          <w:sz w:val="28"/>
          <w:lang w:val="en-US"/>
        </w:rPr>
        <w:t>NPV</w:t>
      </w:r>
      <w:r w:rsidRPr="00BD1CBD">
        <w:rPr>
          <w:color w:val="000000"/>
          <w:sz w:val="28"/>
        </w:rPr>
        <w:t xml:space="preserve"> проекта стремиться к нулю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 xml:space="preserve">Определение предельного значения для объема производства, </w:t>
      </w:r>
      <w:r w:rsidR="00BD1CBD" w:rsidRPr="00BD1CBD">
        <w:rPr>
          <w:color w:val="000000"/>
          <w:sz w:val="28"/>
        </w:rPr>
        <w:t>у.</w:t>
      </w:r>
      <w:r w:rsidR="00BD1CBD">
        <w:rPr>
          <w:color w:val="000000"/>
          <w:sz w:val="28"/>
        </w:rPr>
        <w:t> </w:t>
      </w:r>
      <w:r w:rsidR="00BD1CBD" w:rsidRPr="00BD1CBD">
        <w:rPr>
          <w:color w:val="000000"/>
          <w:sz w:val="28"/>
        </w:rPr>
        <w:t>е</w:t>
      </w:r>
      <w:r w:rsidRPr="00BD1CBD">
        <w:rPr>
          <w:color w:val="000000"/>
          <w:sz w:val="28"/>
        </w:rPr>
        <w:t>.</w:t>
      </w:r>
    </w:p>
    <w:tbl>
      <w:tblPr>
        <w:tblW w:w="486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3904"/>
        <w:gridCol w:w="667"/>
        <w:gridCol w:w="714"/>
        <w:gridCol w:w="636"/>
        <w:gridCol w:w="636"/>
        <w:gridCol w:w="636"/>
        <w:gridCol w:w="636"/>
        <w:gridCol w:w="636"/>
        <w:gridCol w:w="464"/>
      </w:tblGrid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№</w:t>
            </w: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Наименование параметров</w:t>
            </w:r>
          </w:p>
        </w:tc>
        <w:tc>
          <w:tcPr>
            <w:tcW w:w="2695" w:type="pct"/>
            <w:gridSpan w:val="8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Интервалы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25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Цена</w:t>
            </w:r>
          </w:p>
        </w:tc>
        <w:tc>
          <w:tcPr>
            <w:tcW w:w="35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25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5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</w:t>
            </w:r>
          </w:p>
        </w:tc>
        <w:tc>
          <w:tcPr>
            <w:tcW w:w="25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Выручка от реализации</w:t>
            </w:r>
          </w:p>
        </w:tc>
        <w:tc>
          <w:tcPr>
            <w:tcW w:w="35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80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80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80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80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80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80</w:t>
            </w:r>
          </w:p>
        </w:tc>
        <w:tc>
          <w:tcPr>
            <w:tcW w:w="25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180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</w:t>
            </w: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Инвестиционные затраты</w:t>
            </w:r>
          </w:p>
        </w:tc>
        <w:tc>
          <w:tcPr>
            <w:tcW w:w="35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Коммерческая себестоимость, в т.ч.</w:t>
            </w:r>
          </w:p>
        </w:tc>
        <w:tc>
          <w:tcPr>
            <w:tcW w:w="35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63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63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63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63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63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63</w:t>
            </w:r>
          </w:p>
        </w:tc>
        <w:tc>
          <w:tcPr>
            <w:tcW w:w="25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63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Постоянные затраты</w:t>
            </w:r>
          </w:p>
        </w:tc>
        <w:tc>
          <w:tcPr>
            <w:tcW w:w="35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25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Амортизация</w:t>
            </w:r>
          </w:p>
        </w:tc>
        <w:tc>
          <w:tcPr>
            <w:tcW w:w="35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25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Ставка переменных затрат</w:t>
            </w:r>
          </w:p>
        </w:tc>
        <w:tc>
          <w:tcPr>
            <w:tcW w:w="35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25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Переменные затраты</w:t>
            </w:r>
          </w:p>
        </w:tc>
        <w:tc>
          <w:tcPr>
            <w:tcW w:w="35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48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48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48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48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48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48</w:t>
            </w:r>
          </w:p>
        </w:tc>
        <w:tc>
          <w:tcPr>
            <w:tcW w:w="25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48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</w:t>
            </w: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Валовая прибыль</w:t>
            </w:r>
          </w:p>
        </w:tc>
        <w:tc>
          <w:tcPr>
            <w:tcW w:w="35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17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17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17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17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17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17</w:t>
            </w:r>
          </w:p>
        </w:tc>
        <w:tc>
          <w:tcPr>
            <w:tcW w:w="25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17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Налог на прибыль 2</w:t>
            </w:r>
            <w:r w:rsidR="00BD1CBD" w:rsidRPr="00D01778">
              <w:rPr>
                <w:color w:val="000000"/>
                <w:sz w:val="20"/>
              </w:rPr>
              <w:t>0%</w:t>
            </w:r>
          </w:p>
        </w:tc>
        <w:tc>
          <w:tcPr>
            <w:tcW w:w="35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Чистая прибыль</w:t>
            </w:r>
          </w:p>
        </w:tc>
        <w:tc>
          <w:tcPr>
            <w:tcW w:w="35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</w:t>
            </w:r>
          </w:p>
        </w:tc>
        <w:tc>
          <w:tcPr>
            <w:tcW w:w="25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Чистый поток денежных средств</w:t>
            </w:r>
          </w:p>
        </w:tc>
        <w:tc>
          <w:tcPr>
            <w:tcW w:w="35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25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</w:t>
            </w: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Коэффициент приведения 1</w:t>
            </w:r>
            <w:r w:rsidR="00BD1CBD" w:rsidRPr="00D01778">
              <w:rPr>
                <w:color w:val="000000"/>
                <w:sz w:val="20"/>
              </w:rPr>
              <w:t>0%</w:t>
            </w:r>
          </w:p>
        </w:tc>
        <w:tc>
          <w:tcPr>
            <w:tcW w:w="35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0,9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0,81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0,73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0,66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0,59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0,53</w:t>
            </w:r>
          </w:p>
        </w:tc>
        <w:tc>
          <w:tcPr>
            <w:tcW w:w="25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0,48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9</w:t>
            </w: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Текущая стоимость потоков</w:t>
            </w:r>
          </w:p>
        </w:tc>
        <w:tc>
          <w:tcPr>
            <w:tcW w:w="35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17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17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16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25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21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209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Чистый доход проекта</w:t>
            </w:r>
          </w:p>
        </w:tc>
        <w:tc>
          <w:tcPr>
            <w:tcW w:w="35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-82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-65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-48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-32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-17</w:t>
            </w:r>
          </w:p>
        </w:tc>
        <w:tc>
          <w:tcPr>
            <w:tcW w:w="34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-2</w:t>
            </w:r>
          </w:p>
        </w:tc>
        <w:tc>
          <w:tcPr>
            <w:tcW w:w="25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</w:tr>
    </w:tbl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 xml:space="preserve">Определение предельного значения для постоянных затрат, </w:t>
      </w:r>
      <w:r w:rsidR="00BD1CBD" w:rsidRPr="00BD1CBD">
        <w:rPr>
          <w:color w:val="000000"/>
          <w:sz w:val="28"/>
        </w:rPr>
        <w:t>у.</w:t>
      </w:r>
      <w:r w:rsidR="00BD1CBD">
        <w:rPr>
          <w:color w:val="000000"/>
          <w:sz w:val="28"/>
        </w:rPr>
        <w:t> </w:t>
      </w:r>
      <w:r w:rsidR="00BD1CBD" w:rsidRPr="00BD1CBD">
        <w:rPr>
          <w:color w:val="000000"/>
          <w:sz w:val="28"/>
        </w:rPr>
        <w:t>е</w:t>
      </w:r>
      <w:r w:rsidRPr="00BD1CBD">
        <w:rPr>
          <w:color w:val="000000"/>
          <w:sz w:val="28"/>
        </w:rPr>
        <w:t>.</w:t>
      </w:r>
    </w:p>
    <w:tbl>
      <w:tblPr>
        <w:tblW w:w="487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6"/>
        <w:gridCol w:w="3877"/>
        <w:gridCol w:w="644"/>
        <w:gridCol w:w="695"/>
        <w:gridCol w:w="613"/>
        <w:gridCol w:w="614"/>
        <w:gridCol w:w="616"/>
        <w:gridCol w:w="616"/>
        <w:gridCol w:w="616"/>
        <w:gridCol w:w="614"/>
      </w:tblGrid>
      <w:tr w:rsidR="00E92050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№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Наименование параметров</w:t>
            </w:r>
          </w:p>
        </w:tc>
        <w:tc>
          <w:tcPr>
            <w:tcW w:w="2736" w:type="pct"/>
            <w:gridSpan w:val="8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Интервалы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Цена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Выручка от реализации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0,00</w:t>
            </w: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Инвестиционные затраты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Коммерческая себестоимость, в т.ч.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185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185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185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Постоянные затраты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65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65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65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Амортизация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Ставка переменных затрат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Переменные затраты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120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120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120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Валовая прибыль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Налог на прибыль 2</w:t>
            </w:r>
            <w:r w:rsidR="00BD1CBD" w:rsidRPr="00D01778">
              <w:rPr>
                <w:color w:val="000000"/>
                <w:sz w:val="20"/>
              </w:rPr>
              <w:t>0%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Чистая прибыль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Чистый поток денежных средств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Коэффициент приведения 1</w:t>
            </w:r>
            <w:r w:rsidR="00BD1CBD" w:rsidRPr="00D01778">
              <w:rPr>
                <w:color w:val="000000"/>
                <w:sz w:val="20"/>
              </w:rPr>
              <w:t>0%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0,9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0,81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0,73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0,66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0,59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0,53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0,48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9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Текущая стоимость потоков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16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16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13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Чистый доход проекта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-84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-68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-53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-39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-25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-12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</w:t>
            </w:r>
          </w:p>
        </w:tc>
      </w:tr>
    </w:tbl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 xml:space="preserve">Определение предельного значения для переменных затрат, </w:t>
      </w:r>
      <w:r w:rsidR="00BD1CBD" w:rsidRPr="00BD1CBD">
        <w:rPr>
          <w:color w:val="000000"/>
          <w:sz w:val="28"/>
        </w:rPr>
        <w:t>у.</w:t>
      </w:r>
      <w:r w:rsidR="00BD1CBD">
        <w:rPr>
          <w:color w:val="000000"/>
          <w:sz w:val="28"/>
        </w:rPr>
        <w:t> </w:t>
      </w:r>
      <w:r w:rsidR="00BD1CBD" w:rsidRPr="00BD1CBD">
        <w:rPr>
          <w:color w:val="000000"/>
          <w:sz w:val="28"/>
        </w:rPr>
        <w:t>е</w:t>
      </w:r>
      <w:r w:rsidRPr="00BD1CBD">
        <w:rPr>
          <w:color w:val="000000"/>
          <w:sz w:val="28"/>
        </w:rPr>
        <w:t>.</w:t>
      </w:r>
    </w:p>
    <w:tbl>
      <w:tblPr>
        <w:tblW w:w="488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6"/>
        <w:gridCol w:w="3883"/>
        <w:gridCol w:w="648"/>
        <w:gridCol w:w="697"/>
        <w:gridCol w:w="617"/>
        <w:gridCol w:w="617"/>
        <w:gridCol w:w="617"/>
        <w:gridCol w:w="617"/>
        <w:gridCol w:w="618"/>
        <w:gridCol w:w="618"/>
      </w:tblGrid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№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Наименование параметров</w:t>
            </w:r>
          </w:p>
        </w:tc>
        <w:tc>
          <w:tcPr>
            <w:tcW w:w="2780" w:type="pct"/>
            <w:gridSpan w:val="8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Интервалы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Цена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Выручка от реализации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Инвестиционные затраты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Коммерческая себестоимость, в т.ч.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185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185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Постоянные затраты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Амортизация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Ставка переменных затрат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8,5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8,5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8,5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8,5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8,5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8,5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8,5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Переменные затраты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170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170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170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170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170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170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170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Валовая прибыль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Налог на прибыль 2</w:t>
            </w:r>
            <w:r w:rsidR="00BD1CBD" w:rsidRPr="00D01778">
              <w:rPr>
                <w:color w:val="000000"/>
                <w:sz w:val="20"/>
              </w:rPr>
              <w:t>0%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Чистая прибыль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Чистый поток денежных средств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Коэффициент приведения 1</w:t>
            </w:r>
            <w:r w:rsidR="00BD1CBD" w:rsidRPr="00D01778">
              <w:rPr>
                <w:color w:val="000000"/>
                <w:sz w:val="20"/>
              </w:rPr>
              <w:t>0%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0,9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0,81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0,73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0,66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0,59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0,53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0,48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9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Текущая стоимость потоков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13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Чистый доход проекта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-84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-68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-53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-39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-25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-12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</w:t>
            </w:r>
          </w:p>
        </w:tc>
      </w:tr>
    </w:tbl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7B3903" w:rsidRDefault="00E92050" w:rsidP="00BD1CBD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7B3903">
        <w:rPr>
          <w:b/>
          <w:color w:val="000000"/>
          <w:sz w:val="28"/>
        </w:rPr>
        <w:t>3. Опреде</w:t>
      </w:r>
      <w:r w:rsidR="007B3903" w:rsidRPr="007B3903">
        <w:rPr>
          <w:b/>
          <w:color w:val="000000"/>
          <w:sz w:val="28"/>
        </w:rPr>
        <w:t>ление запаса надежности проекта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Величину запаса надежности инвестиционного решения можно рассчитать по формуле: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 xml:space="preserve">ЗН = ЧДД </w:t>
      </w:r>
      <w:r w:rsidR="00BD1CBD">
        <w:rPr>
          <w:color w:val="000000"/>
          <w:sz w:val="28"/>
        </w:rPr>
        <w:t>–</w:t>
      </w:r>
      <w:r w:rsidR="00BD1CBD" w:rsidRPr="00BD1CBD">
        <w:rPr>
          <w:color w:val="000000"/>
          <w:sz w:val="28"/>
        </w:rPr>
        <w:t xml:space="preserve"> </w:t>
      </w:r>
      <w:r w:rsidRPr="00BD1CBD">
        <w:rPr>
          <w:color w:val="000000"/>
          <w:sz w:val="28"/>
        </w:rPr>
        <w:t>∆ЧДД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В качестве критерия надежности используется следующий показатель: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 xml:space="preserve">Н = 1 </w:t>
      </w:r>
      <w:r w:rsidR="00BD1CBD">
        <w:rPr>
          <w:color w:val="000000"/>
          <w:sz w:val="28"/>
        </w:rPr>
        <w:t>–</w:t>
      </w:r>
      <w:r w:rsidR="00BD1CBD" w:rsidRPr="00BD1CBD">
        <w:rPr>
          <w:color w:val="000000"/>
          <w:sz w:val="28"/>
        </w:rPr>
        <w:t xml:space="preserve"> </w:t>
      </w:r>
      <w:r w:rsidRPr="00BD1CBD">
        <w:rPr>
          <w:color w:val="000000"/>
          <w:sz w:val="28"/>
        </w:rPr>
        <w:t>∆ЧДД/ЧДД</w:t>
      </w:r>
    </w:p>
    <w:p w:rsidR="00BD1CBD" w:rsidRDefault="00BD1CBD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Определение запаса надежности для критических переменных</w:t>
      </w:r>
    </w:p>
    <w:tbl>
      <w:tblPr>
        <w:tblW w:w="467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13"/>
        <w:gridCol w:w="1913"/>
        <w:gridCol w:w="1914"/>
        <w:gridCol w:w="1914"/>
        <w:gridCol w:w="1288"/>
      </w:tblGrid>
      <w:tr w:rsidR="00E92050" w:rsidRPr="00D01778" w:rsidTr="00D01778">
        <w:trPr>
          <w:cantSplit/>
          <w:jc w:val="center"/>
        </w:trPr>
        <w:tc>
          <w:tcPr>
            <w:tcW w:w="107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Критические переменные</w:t>
            </w:r>
          </w:p>
        </w:tc>
        <w:tc>
          <w:tcPr>
            <w:tcW w:w="107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Значение базовое</w:t>
            </w:r>
          </w:p>
        </w:tc>
        <w:tc>
          <w:tcPr>
            <w:tcW w:w="107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Значение расчетное</w:t>
            </w:r>
          </w:p>
        </w:tc>
        <w:tc>
          <w:tcPr>
            <w:tcW w:w="107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Запас надежности</w:t>
            </w:r>
          </w:p>
        </w:tc>
        <w:tc>
          <w:tcPr>
            <w:tcW w:w="72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Н</w:t>
            </w:r>
            <w:r w:rsidR="00BD1CBD" w:rsidRPr="00D01778">
              <w:rPr>
                <w:color w:val="000000"/>
                <w:sz w:val="20"/>
              </w:rPr>
              <w:t>, %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07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Объем реализации</w:t>
            </w:r>
          </w:p>
        </w:tc>
        <w:tc>
          <w:tcPr>
            <w:tcW w:w="107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107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</w:t>
            </w:r>
          </w:p>
        </w:tc>
        <w:tc>
          <w:tcPr>
            <w:tcW w:w="107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  <w:tc>
          <w:tcPr>
            <w:tcW w:w="72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60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07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Постоянные затраты</w:t>
            </w:r>
          </w:p>
        </w:tc>
        <w:tc>
          <w:tcPr>
            <w:tcW w:w="107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107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65</w:t>
            </w:r>
          </w:p>
        </w:tc>
        <w:tc>
          <w:tcPr>
            <w:tcW w:w="107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-50</w:t>
            </w:r>
          </w:p>
        </w:tc>
        <w:tc>
          <w:tcPr>
            <w:tcW w:w="72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-333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07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Переменные затраты</w:t>
            </w:r>
          </w:p>
        </w:tc>
        <w:tc>
          <w:tcPr>
            <w:tcW w:w="107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107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8,5</w:t>
            </w:r>
          </w:p>
        </w:tc>
        <w:tc>
          <w:tcPr>
            <w:tcW w:w="107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-2,5</w:t>
            </w:r>
          </w:p>
        </w:tc>
        <w:tc>
          <w:tcPr>
            <w:tcW w:w="72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-42</w:t>
            </w:r>
          </w:p>
        </w:tc>
      </w:tr>
    </w:tbl>
    <w:p w:rsidR="007B3903" w:rsidRDefault="007B3903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7B3903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92050" w:rsidRPr="00BD1CBD">
        <w:rPr>
          <w:color w:val="000000"/>
          <w:sz w:val="28"/>
        </w:rPr>
        <w:t>Положительные значения надежности характеризуют наличие у инвестиционного решения запаса надежности даже при развитии неблагоприятного сценария в ходе реализации инвестиций. Отрицательное значение показателя характеризует потерю дохода относительно доходности соответствующей ставки сравнения.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Предельным значением критической переменной будем называть такое ее значение, которое при сохранении неизменными всех других критических переменных за срок жизни инвестиционного решения обеспечивает нулевое значение чистого дисконтированного дохода.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7B3903" w:rsidRDefault="007B3903" w:rsidP="00BD1CBD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7B3903">
        <w:rPr>
          <w:b/>
          <w:color w:val="000000"/>
          <w:sz w:val="28"/>
        </w:rPr>
        <w:t>4. Анализ чувствительности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Анализ чувствительности позволяет рассмотреть влияние отдельных исходных факторов на конечный результат проекта. Проект с меньшей чувствительностью NPV считается наименее рискованным. Чувствительность инвестиционного решения к изменению критической переменной можно характеризовать изменением чистого дисконтированного дохода относительно запроектированного при единичном изменении этой переменной и сохранении постоянными других переменных. Для критических переменных, к изменению которых инвестиционное решение в наибольшей степени чувствительно, следует обеспечивать достаточный запас устойчивости.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Таблица для расчета показателя чувствительности к изменению</w:t>
      </w:r>
      <w:r w:rsidR="00BD1CBD">
        <w:rPr>
          <w:color w:val="000000"/>
          <w:sz w:val="28"/>
        </w:rPr>
        <w:t xml:space="preserve"> </w:t>
      </w:r>
      <w:r w:rsidRPr="00BD1CBD">
        <w:rPr>
          <w:color w:val="000000"/>
          <w:sz w:val="28"/>
        </w:rPr>
        <w:t>объема продукции</w:t>
      </w:r>
    </w:p>
    <w:tbl>
      <w:tblPr>
        <w:tblW w:w="488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6"/>
        <w:gridCol w:w="3883"/>
        <w:gridCol w:w="648"/>
        <w:gridCol w:w="697"/>
        <w:gridCol w:w="617"/>
        <w:gridCol w:w="617"/>
        <w:gridCol w:w="617"/>
        <w:gridCol w:w="617"/>
        <w:gridCol w:w="618"/>
        <w:gridCol w:w="618"/>
      </w:tblGrid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№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Наименование параметров</w:t>
            </w:r>
          </w:p>
        </w:tc>
        <w:tc>
          <w:tcPr>
            <w:tcW w:w="2780" w:type="pct"/>
            <w:gridSpan w:val="8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Интервалы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Цена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Выручка от реализации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180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180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Инвестиционные затраты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Коммерческая себестоимость, в т.ч.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123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123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Постоянные затраты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Амортизация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Ставка переменных затрат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Переменные затраты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108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108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108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108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108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108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108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Валовая прибыль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57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57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57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57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57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57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57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Налог на прибыль 2</w:t>
            </w:r>
            <w:r w:rsidR="00BD1CBD" w:rsidRPr="00D01778">
              <w:rPr>
                <w:color w:val="000000"/>
                <w:sz w:val="20"/>
              </w:rPr>
              <w:t>0%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11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11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Чистая прибыль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46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46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Чистый поток денежных средств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51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51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Коэффициент приведения 1</w:t>
            </w:r>
            <w:r w:rsidR="00BD1CBD" w:rsidRPr="00D01778">
              <w:rPr>
                <w:color w:val="000000"/>
                <w:sz w:val="20"/>
              </w:rPr>
              <w:t>0%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0,9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0,81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0,73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0,66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0,59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0,53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0,48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9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Текущая стоимость потоков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49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47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42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40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39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Чистый доход проекта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-51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-4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84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168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205</w:t>
            </w:r>
          </w:p>
        </w:tc>
      </w:tr>
    </w:tbl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Таблица для расчета показателя чувствительности к изменению постоянных затрат</w:t>
      </w:r>
    </w:p>
    <w:tbl>
      <w:tblPr>
        <w:tblW w:w="487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6"/>
        <w:gridCol w:w="3877"/>
        <w:gridCol w:w="644"/>
        <w:gridCol w:w="695"/>
        <w:gridCol w:w="613"/>
        <w:gridCol w:w="614"/>
        <w:gridCol w:w="616"/>
        <w:gridCol w:w="616"/>
        <w:gridCol w:w="616"/>
        <w:gridCol w:w="614"/>
      </w:tblGrid>
      <w:tr w:rsidR="00E92050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№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Наименование параметров</w:t>
            </w:r>
          </w:p>
        </w:tc>
        <w:tc>
          <w:tcPr>
            <w:tcW w:w="2736" w:type="pct"/>
            <w:gridSpan w:val="8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Интервалы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Цена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Выручка от реализации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0,00</w:t>
            </w: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Инвестиционные затраты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Коммерческая себестоимость, в т.ч.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136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136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136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136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136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136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136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Постоянные затраты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16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16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16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Амортизация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Ставка переменных затрат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Переменные затраты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120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120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120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Валовая прибыль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64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64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64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64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64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64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64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Налог на прибыль 2</w:t>
            </w:r>
            <w:r w:rsidR="00BD1CBD" w:rsidRPr="00D01778">
              <w:rPr>
                <w:color w:val="000000"/>
                <w:sz w:val="20"/>
              </w:rPr>
              <w:t>0%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13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13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13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13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13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13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13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Чистая прибыль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51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51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51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51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51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51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51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Чистый поток денежных средств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56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56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56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Коэффициент приведения 1</w:t>
            </w:r>
            <w:r w:rsidR="00BD1CBD" w:rsidRPr="00D01778">
              <w:rPr>
                <w:color w:val="000000"/>
                <w:sz w:val="20"/>
              </w:rPr>
              <w:t>0%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0,9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0,81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0,73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0,66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0,59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0,53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0,48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9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Текущая стоимость потоков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54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52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50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48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47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44</w:t>
            </w:r>
          </w:p>
        </w:tc>
      </w:tr>
      <w:tr w:rsidR="007B3903" w:rsidRPr="00D01778" w:rsidTr="00D01778">
        <w:trPr>
          <w:cantSplit/>
          <w:jc w:val="center"/>
        </w:trPr>
        <w:tc>
          <w:tcPr>
            <w:tcW w:w="179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208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Чистый доход проекта</w:t>
            </w:r>
          </w:p>
        </w:tc>
        <w:tc>
          <w:tcPr>
            <w:tcW w:w="351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78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-46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57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105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152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197</w:t>
            </w:r>
          </w:p>
        </w:tc>
        <w:tc>
          <w:tcPr>
            <w:tcW w:w="335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241</w:t>
            </w:r>
          </w:p>
        </w:tc>
      </w:tr>
    </w:tbl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7B3903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92050" w:rsidRPr="00BD1CBD">
        <w:rPr>
          <w:color w:val="000000"/>
          <w:sz w:val="28"/>
        </w:rPr>
        <w:t>Таблица для расчета показателя чувствительности к изменению</w:t>
      </w:r>
      <w:r w:rsidR="00BD1CBD">
        <w:rPr>
          <w:color w:val="000000"/>
          <w:sz w:val="28"/>
        </w:rPr>
        <w:t xml:space="preserve"> </w:t>
      </w:r>
      <w:r w:rsidR="00E92050" w:rsidRPr="00BD1CBD">
        <w:rPr>
          <w:color w:val="000000"/>
          <w:sz w:val="28"/>
        </w:rPr>
        <w:t>переменных затрат</w:t>
      </w:r>
    </w:p>
    <w:tbl>
      <w:tblPr>
        <w:tblW w:w="488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6"/>
        <w:gridCol w:w="3883"/>
        <w:gridCol w:w="648"/>
        <w:gridCol w:w="697"/>
        <w:gridCol w:w="617"/>
        <w:gridCol w:w="617"/>
        <w:gridCol w:w="617"/>
        <w:gridCol w:w="617"/>
        <w:gridCol w:w="618"/>
        <w:gridCol w:w="618"/>
      </w:tblGrid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№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Наименование параметров</w:t>
            </w:r>
          </w:p>
        </w:tc>
        <w:tc>
          <w:tcPr>
            <w:tcW w:w="2780" w:type="pct"/>
            <w:gridSpan w:val="8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Интервалы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Цена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Выручка от реализации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200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Инвестиционные затраты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Коммерческая себестоимость, в т.ч.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155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155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Постоянные затраты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15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Амортизация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Ставка переменных затрат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Переменные затраты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140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140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140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Валовая прибыль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45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45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Налог на прибыль 2</w:t>
            </w:r>
            <w:r w:rsidR="00BD1CBD" w:rsidRPr="00D01778">
              <w:rPr>
                <w:color w:val="000000"/>
                <w:sz w:val="20"/>
              </w:rPr>
              <w:t>0%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9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9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9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9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9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9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9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6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Чистая прибыль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36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36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Чистый поток денежных средств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41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41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Коэффициент приведения 1</w:t>
            </w:r>
            <w:r w:rsidR="00BD1CBD" w:rsidRPr="00D01778">
              <w:rPr>
                <w:color w:val="000000"/>
                <w:sz w:val="20"/>
              </w:rPr>
              <w:t>0%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0,9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0,81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0,73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0,66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0,59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0,53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0,48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9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Текущая стоимость потоков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39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37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35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33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32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30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29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3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</w:t>
            </w:r>
          </w:p>
        </w:tc>
        <w:tc>
          <w:tcPr>
            <w:tcW w:w="208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Чистый доход проекта</w:t>
            </w:r>
          </w:p>
        </w:tc>
        <w:tc>
          <w:tcPr>
            <w:tcW w:w="357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-100</w:t>
            </w:r>
          </w:p>
        </w:tc>
        <w:tc>
          <w:tcPr>
            <w:tcW w:w="383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-61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-24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44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76</w:t>
            </w:r>
          </w:p>
        </w:tc>
        <w:tc>
          <w:tcPr>
            <w:tcW w:w="340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106</w:t>
            </w:r>
          </w:p>
        </w:tc>
        <w:tc>
          <w:tcPr>
            <w:tcW w:w="342" w:type="pct"/>
            <w:shd w:val="clear" w:color="auto" w:fill="auto"/>
          </w:tcPr>
          <w:p w:rsidR="00E92050" w:rsidRPr="00D01778" w:rsidRDefault="00E92050" w:rsidP="00D0177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135</w:t>
            </w:r>
          </w:p>
        </w:tc>
      </w:tr>
    </w:tbl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7B3903" w:rsidRDefault="00E92050" w:rsidP="00BD1CBD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7B3903">
        <w:rPr>
          <w:b/>
          <w:color w:val="000000"/>
          <w:sz w:val="28"/>
        </w:rPr>
        <w:t>5. О</w:t>
      </w:r>
      <w:r w:rsidR="007B3903" w:rsidRPr="007B3903">
        <w:rPr>
          <w:b/>
          <w:color w:val="000000"/>
          <w:sz w:val="28"/>
        </w:rPr>
        <w:t>пределение точки безубыточности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Анализ условий надежности предусматривает определение точки безубыточности, в которой поступления от продаж уравновешивают издержки на реализованную продукцию. Эту точку следует определять для расчетов минимальной производственной программы и загрузки производственных мощностей, обеспечивающих безубыточную работу предприятия при заданном значении отпускных цен. В случае, когда известны объемы выпуска в натуральном выражении, точка безубыточности позволит определить минимальный уровень отпускных цен на продукцию, обеспечивающих при существующей структуре издержек доходность инвестиционного решения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При анализе приняты следующие допущения</w:t>
      </w:r>
    </w:p>
    <w:p w:rsidR="00E92050" w:rsidRPr="00BD1CBD" w:rsidRDefault="00E92050" w:rsidP="00BD1CBD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постоянные издержки не меняются</w:t>
      </w:r>
    </w:p>
    <w:p w:rsidR="00E92050" w:rsidRPr="00BD1CBD" w:rsidRDefault="00E92050" w:rsidP="00BD1CBD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переменные издержки меняются пропорционально объему производства</w:t>
      </w:r>
    </w:p>
    <w:p w:rsidR="00E92050" w:rsidRPr="00BD1CBD" w:rsidRDefault="00E92050" w:rsidP="00BD1CBD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отпускные цены не меняются при изменении объемов реализации</w:t>
      </w:r>
    </w:p>
    <w:p w:rsidR="00E92050" w:rsidRPr="00BD1CBD" w:rsidRDefault="00E92050" w:rsidP="00BD1CBD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объемы производства соответствуют объему</w:t>
      </w:r>
      <w:r w:rsidR="00BD1CBD">
        <w:rPr>
          <w:color w:val="000000"/>
          <w:sz w:val="28"/>
        </w:rPr>
        <w:t xml:space="preserve"> </w:t>
      </w:r>
      <w:r w:rsidRPr="00BD1CBD">
        <w:rPr>
          <w:color w:val="000000"/>
          <w:sz w:val="28"/>
        </w:rPr>
        <w:t>продаж</w:t>
      </w:r>
    </w:p>
    <w:p w:rsidR="00E92050" w:rsidRPr="00BD1CBD" w:rsidRDefault="00E92050" w:rsidP="00BD1CBD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в случае много номенклатурного производства соотношение между объемами производства различных изделий не изменяется.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Поскольку в дисконтируемые потоки издержки финансирования не включаются,</w:t>
      </w:r>
      <w:r w:rsidR="00BD1CBD">
        <w:rPr>
          <w:color w:val="000000"/>
          <w:sz w:val="28"/>
        </w:rPr>
        <w:t xml:space="preserve"> </w:t>
      </w:r>
      <w:r w:rsidRPr="00BD1CBD">
        <w:rPr>
          <w:color w:val="000000"/>
          <w:sz w:val="28"/>
        </w:rPr>
        <w:t>определение точки безубыточности является обязательным требованием при обосновании инвестиций.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7B3903" w:rsidRDefault="007B3903" w:rsidP="00BD1CBD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7B3903">
        <w:rPr>
          <w:b/>
          <w:color w:val="000000"/>
          <w:sz w:val="28"/>
        </w:rPr>
        <w:t>6</w:t>
      </w:r>
      <w:r w:rsidR="00E92050" w:rsidRPr="007B3903">
        <w:rPr>
          <w:b/>
          <w:color w:val="000000"/>
          <w:sz w:val="28"/>
        </w:rPr>
        <w:t>. Оценка вероятности и</w:t>
      </w:r>
      <w:r w:rsidRPr="007B3903">
        <w:rPr>
          <w:b/>
          <w:color w:val="000000"/>
          <w:sz w:val="28"/>
        </w:rPr>
        <w:t>зменений критических переменных</w:t>
      </w:r>
    </w:p>
    <w:p w:rsidR="00E92050" w:rsidRPr="007B3903" w:rsidRDefault="00E92050" w:rsidP="00BD1CBD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Анализ критических переменных должен учитывать вероятность их изменений относительно спроектированных значений. При таком подходе к анализу инвестирования самым сложным является выделить среди переменных независимые и определить доверительный интервал, в пределах которого эти переменные можно считать случайной величиной.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Рассчитаем значения взвешенной по вероятности величины запаса надежности инвестиционного решения, рассматриваемого в примере, для принятых независимых критических переменных.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482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74"/>
        <w:gridCol w:w="2056"/>
        <w:gridCol w:w="1943"/>
        <w:gridCol w:w="2054"/>
      </w:tblGrid>
      <w:tr w:rsidR="00E92050" w:rsidRPr="00D01778" w:rsidTr="00D01778">
        <w:trPr>
          <w:cantSplit/>
          <w:jc w:val="center"/>
        </w:trPr>
        <w:tc>
          <w:tcPr>
            <w:tcW w:w="172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Критические переменной</w:t>
            </w:r>
          </w:p>
        </w:tc>
        <w:tc>
          <w:tcPr>
            <w:tcW w:w="1114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Вероятность</w:t>
            </w:r>
          </w:p>
        </w:tc>
        <w:tc>
          <w:tcPr>
            <w:tcW w:w="1053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Запас надежности</w:t>
            </w:r>
          </w:p>
        </w:tc>
        <w:tc>
          <w:tcPr>
            <w:tcW w:w="1113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Взвешенный запас надежности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72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Уменьшение объема реализации</w:t>
            </w:r>
          </w:p>
        </w:tc>
        <w:tc>
          <w:tcPr>
            <w:tcW w:w="1114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0,5</w:t>
            </w:r>
          </w:p>
        </w:tc>
        <w:tc>
          <w:tcPr>
            <w:tcW w:w="1053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12</w:t>
            </w:r>
          </w:p>
        </w:tc>
        <w:tc>
          <w:tcPr>
            <w:tcW w:w="1113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24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72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Увеличение переменных затрат</w:t>
            </w:r>
          </w:p>
        </w:tc>
        <w:tc>
          <w:tcPr>
            <w:tcW w:w="1114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0,3</w:t>
            </w:r>
          </w:p>
        </w:tc>
        <w:tc>
          <w:tcPr>
            <w:tcW w:w="1053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2,5</w:t>
            </w:r>
          </w:p>
        </w:tc>
        <w:tc>
          <w:tcPr>
            <w:tcW w:w="1113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8,3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72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Увеличение постоянных затрат</w:t>
            </w:r>
          </w:p>
        </w:tc>
        <w:tc>
          <w:tcPr>
            <w:tcW w:w="1114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0.2</w:t>
            </w:r>
          </w:p>
        </w:tc>
        <w:tc>
          <w:tcPr>
            <w:tcW w:w="1053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50</w:t>
            </w:r>
          </w:p>
        </w:tc>
        <w:tc>
          <w:tcPr>
            <w:tcW w:w="1113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250</w:t>
            </w:r>
          </w:p>
        </w:tc>
      </w:tr>
      <w:tr w:rsidR="00E92050" w:rsidRPr="00D01778" w:rsidTr="00D01778">
        <w:trPr>
          <w:cantSplit/>
          <w:jc w:val="center"/>
        </w:trPr>
        <w:tc>
          <w:tcPr>
            <w:tcW w:w="1720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ИТОГО</w:t>
            </w:r>
          </w:p>
        </w:tc>
        <w:tc>
          <w:tcPr>
            <w:tcW w:w="1114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01778">
              <w:rPr>
                <w:color w:val="000000"/>
                <w:sz w:val="20"/>
              </w:rPr>
              <w:t>1</w:t>
            </w:r>
          </w:p>
        </w:tc>
        <w:tc>
          <w:tcPr>
            <w:tcW w:w="1053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13" w:type="pct"/>
            <w:shd w:val="clear" w:color="auto" w:fill="auto"/>
          </w:tcPr>
          <w:p w:rsidR="00E92050" w:rsidRPr="00D01778" w:rsidRDefault="00E92050" w:rsidP="00D01778">
            <w:pPr>
              <w:pStyle w:val="a9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Данные таблицы показывают, что снижение вероятности изменения независимых критических переменных относительно их запланированного проявления увеличивает взвешенный по вероятности запас надежности инвестиционного решения.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Выделив наиболее значимые критические переменные среды окружения и задав их изменения, можно выбрать по критериям доходности и надежности наиболее подходящую стратегию приспособления объекта инвестирования к возможным изменениям среды окружения. При этом базовое состояние объекта следует дополнить средствами и способами, обеспечивающими удовлетворительное сочетание показателей доходности и надежности для принятых переменных среды окружения. Целью стратегии приспособления объекта является обеспечение требуемого сочетания показателей доходности и надежности инвестиционного решения. Для разных инвесторов это сочетание носит индивидуальный характер и определяется их склонностью к риску.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7B3903" w:rsidRDefault="00E92050" w:rsidP="00BD1CBD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7B3903">
        <w:rPr>
          <w:b/>
          <w:color w:val="000000"/>
          <w:sz w:val="28"/>
        </w:rPr>
        <w:t>7. Способы компенсации последствий для участнико</w:t>
      </w:r>
      <w:r w:rsidR="007B3903" w:rsidRPr="007B3903">
        <w:rPr>
          <w:b/>
          <w:color w:val="000000"/>
          <w:sz w:val="28"/>
        </w:rPr>
        <w:t>в инвестиционного проекта</w:t>
      </w: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2050" w:rsidRPr="00BD1CBD" w:rsidRDefault="00E92050" w:rsidP="00BD1CB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Надежность инвестирования существенно повышается, если его участники выполняют принятые на себя обязательства и ответственность за риски, вызванные собственными действиями или бездействием, последствия которых проявляются ущербом для других участников инвестиционного решения. На наш взгляд, такой принцип должен лежать в основе распределения внутренних рисков между участниками инвестиционного процесса.</w:t>
      </w:r>
    </w:p>
    <w:p w:rsidR="00E92050" w:rsidRPr="00BD1CBD" w:rsidRDefault="00E92050" w:rsidP="00BD1CBD">
      <w:pPr>
        <w:numPr>
          <w:ilvl w:val="0"/>
          <w:numId w:val="3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для обеспечения надежности и устойчивости в случаях непредвиденных ситуаций инвестиционные решения должны обладать достаточным количеством резервов. Под резервами понимается потенциал ресурсов, который может быть использован для обеспечения целей инвестирования при проявлении инвестиционных рисков.</w:t>
      </w:r>
    </w:p>
    <w:p w:rsidR="00E92050" w:rsidRPr="00BD1CBD" w:rsidRDefault="00E92050" w:rsidP="00BD1CBD">
      <w:pPr>
        <w:numPr>
          <w:ilvl w:val="0"/>
          <w:numId w:val="3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Гарантии должны предоставляться надежными субъектами хозяйственных отношений с высокой деловой репутацией. При этом ответственность поручителя ограничивается только теми обязательствами, которые признает должник. Поэтому заемщик может противопоставить кредиторам контраргументы, оспаривающие их притязания, а поручитель, вплоть до суда, уклониться от принятых обязательств. Гарантия представляет самостоятельное обязательство гаранта, поэтому этот вид обеспечения более надежен для кредиторов.</w:t>
      </w:r>
    </w:p>
    <w:p w:rsidR="00E92050" w:rsidRPr="00BD1CBD" w:rsidRDefault="00E92050" w:rsidP="00BD1CBD">
      <w:pPr>
        <w:numPr>
          <w:ilvl w:val="0"/>
          <w:numId w:val="3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Страхование риска может осуществляться с привлечением страховой организации и распределением риска между участниками инвестирования или с помощью операций на рынке капиталов. Страховщик формирует специальные денежные фонды (резервы) за счет выплачиваемых страхователями страховых премий для последующей выплаты страховых сумм и страховых возмещений по договорам страхования. В договорах страхования указываются страховые случаи, страховая сумма, страховое возмещение, страховой взнос, срок страхования.</w:t>
      </w:r>
    </w:p>
    <w:p w:rsidR="00E92050" w:rsidRPr="00BD1CBD" w:rsidRDefault="00E92050" w:rsidP="00BD1CBD">
      <w:pPr>
        <w:numPr>
          <w:ilvl w:val="0"/>
          <w:numId w:val="3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BD1CBD">
        <w:rPr>
          <w:color w:val="000000"/>
          <w:sz w:val="28"/>
        </w:rPr>
        <w:t>Для своевременного принятия решений по компенсации действия факторов риска, оперативного приспособления к меняющейся среде окружения необходимы достоверные источники информации и последующий ее анализ для своевременного принятия решений по управлению объектом.</w:t>
      </w:r>
      <w:bookmarkStart w:id="0" w:name="_GoBack"/>
      <w:bookmarkEnd w:id="0"/>
    </w:p>
    <w:sectPr w:rsidR="00E92050" w:rsidRPr="00BD1CBD" w:rsidSect="00BD1CBD"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B2C"/>
    <w:rsid w:val="00166CCF"/>
    <w:rsid w:val="003B4CE2"/>
    <w:rsid w:val="00406D8D"/>
    <w:rsid w:val="007154C2"/>
    <w:rsid w:val="007B3903"/>
    <w:rsid w:val="00941B2C"/>
    <w:rsid w:val="00BD1CBD"/>
    <w:rsid w:val="00D01778"/>
    <w:rsid w:val="00E9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E22B65-AFC9-4DF9-8697-3E275797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1">
    <w:name w:val="Основной шрифт абзаца1"/>
    <w:uiPriority w:val="99"/>
  </w:style>
  <w:style w:type="character" w:customStyle="1" w:styleId="a3">
    <w:name w:val="Символ нумерации"/>
    <w:uiPriority w:val="99"/>
  </w:style>
  <w:style w:type="character" w:customStyle="1" w:styleId="a4">
    <w:name w:val="Маркеры списка"/>
    <w:uiPriority w:val="99"/>
    <w:rPr>
      <w:rFonts w:ascii="OpenSymbol" w:eastAsia="Times New Roman" w:hAnsi="OpenSymbol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hAnsi="Arial" w:cs="Albany AMT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  <w:lang w:eastAsia="ar-SA"/>
    </w:rPr>
  </w:style>
  <w:style w:type="paragraph" w:styleId="a8">
    <w:name w:val="List"/>
    <w:basedOn w:val="a6"/>
    <w:uiPriority w:val="99"/>
    <w:rPr>
      <w:rFonts w:ascii="Arial" w:hAnsi="Arial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1">
    <w:name w:val="Указатель1"/>
    <w:basedOn w:val="a"/>
    <w:uiPriority w:val="99"/>
    <w:pPr>
      <w:suppressLineNumbers/>
    </w:pPr>
    <w:rPr>
      <w:rFonts w:ascii="Arial" w:hAnsi="Arial"/>
    </w:rPr>
  </w:style>
  <w:style w:type="paragraph" w:styleId="2">
    <w:name w:val="toc 2"/>
    <w:basedOn w:val="a"/>
    <w:next w:val="a"/>
    <w:uiPriority w:val="99"/>
    <w:semiHidden/>
    <w:pPr>
      <w:ind w:left="240"/>
    </w:pPr>
  </w:style>
  <w:style w:type="paragraph" w:customStyle="1" w:styleId="12">
    <w:name w:val="Перечень рисунков1"/>
    <w:basedOn w:val="2"/>
    <w:next w:val="a"/>
    <w:uiPriority w:val="99"/>
  </w:style>
  <w:style w:type="paragraph" w:customStyle="1" w:styleId="a9">
    <w:name w:val="Содержимое таблицы"/>
    <w:basedOn w:val="a"/>
    <w:uiPriority w:val="99"/>
    <w:pPr>
      <w:suppressLineNumbers/>
    </w:pPr>
  </w:style>
  <w:style w:type="paragraph" w:customStyle="1" w:styleId="aa">
    <w:name w:val="Заголовок таблицы"/>
    <w:basedOn w:val="a9"/>
    <w:uiPriority w:val="99"/>
    <w:pPr>
      <w:jc w:val="center"/>
    </w:pPr>
    <w:rPr>
      <w:b/>
      <w:bCs/>
    </w:rPr>
  </w:style>
  <w:style w:type="table" w:styleId="13">
    <w:name w:val="Table Grid 1"/>
    <w:basedOn w:val="a1"/>
    <w:uiPriority w:val="99"/>
    <w:rsid w:val="00BD1CBD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Acer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2014-04-24T09:17:00Z</dcterms:created>
  <dcterms:modified xsi:type="dcterms:W3CDTF">2014-04-24T09:17:00Z</dcterms:modified>
</cp:coreProperties>
</file>