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09" w:rsidRPr="000F132D" w:rsidRDefault="00887F09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ГОУ ВПО</w:t>
      </w:r>
    </w:p>
    <w:p w:rsidR="00887F09" w:rsidRPr="000F132D" w:rsidRDefault="00887F09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ВСЕРОССИЙСКИЙ ЗАОЧНЫЙ</w:t>
      </w:r>
      <w:r w:rsidR="000F132D">
        <w:rPr>
          <w:rFonts w:ascii="Times New Roman" w:hAnsi="Times New Roman"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</w:rPr>
        <w:t>ФИНАНСОВО - ЭКОНОМИЧЕСКИЙ ИНСТИТУТ</w:t>
      </w:r>
    </w:p>
    <w:p w:rsidR="00887F09" w:rsidRPr="000F132D" w:rsidRDefault="00887F09" w:rsidP="00252D56">
      <w:pPr>
        <w:pStyle w:val="western"/>
        <w:keepNext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F132D">
        <w:rPr>
          <w:sz w:val="28"/>
          <w:szCs w:val="28"/>
        </w:rPr>
        <w:t>КАФЕДРА ФИНАНСОВОГО МЕНЕДЖМЕНТА</w:t>
      </w:r>
    </w:p>
    <w:p w:rsidR="00887F09" w:rsidRPr="000F132D" w:rsidRDefault="00887F09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7F09" w:rsidRDefault="00887F09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D56" w:rsidRDefault="00252D56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D56" w:rsidRDefault="00252D56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D56" w:rsidRDefault="00252D56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D56" w:rsidRDefault="00252D56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D56" w:rsidRDefault="00252D56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D56" w:rsidRDefault="00252D56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D56" w:rsidRDefault="00252D56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D56" w:rsidRDefault="00252D56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D56" w:rsidRPr="000F132D" w:rsidRDefault="00252D56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7F09" w:rsidRPr="000F132D" w:rsidRDefault="00887F09" w:rsidP="00252D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32D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887F09" w:rsidRPr="000F132D" w:rsidRDefault="00887F09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по дисциплине: «Теория финансового менеджмента»</w:t>
      </w:r>
    </w:p>
    <w:p w:rsidR="00887F09" w:rsidRPr="000F132D" w:rsidRDefault="00887F09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Вариант № 1</w:t>
      </w:r>
    </w:p>
    <w:p w:rsidR="00887F09" w:rsidRPr="000F132D" w:rsidRDefault="00887F09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7F09" w:rsidRPr="000F132D" w:rsidRDefault="00887F09" w:rsidP="00252D56">
      <w:pPr>
        <w:spacing w:after="0" w:line="360" w:lineRule="auto"/>
        <w:ind w:left="4111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Исполнитель: Лебедева С.А.</w:t>
      </w:r>
    </w:p>
    <w:p w:rsidR="00887F09" w:rsidRPr="000F132D" w:rsidRDefault="00887F09" w:rsidP="00252D56">
      <w:pPr>
        <w:spacing w:after="0" w:line="360" w:lineRule="auto"/>
        <w:ind w:left="4111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Факультет: Финансово-кредитный</w:t>
      </w:r>
    </w:p>
    <w:p w:rsidR="00887F09" w:rsidRPr="000F132D" w:rsidRDefault="00887F09" w:rsidP="00252D56">
      <w:pPr>
        <w:spacing w:after="0" w:line="360" w:lineRule="auto"/>
        <w:ind w:left="4111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Специальность: Финансы и кредит</w:t>
      </w:r>
    </w:p>
    <w:p w:rsidR="00887F09" w:rsidRPr="000F132D" w:rsidRDefault="00887F09" w:rsidP="00252D56">
      <w:pPr>
        <w:spacing w:after="0" w:line="360" w:lineRule="auto"/>
        <w:ind w:left="4111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 xml:space="preserve">Руководитель: доцент </w:t>
      </w:r>
      <w:r w:rsidR="00634CF3" w:rsidRPr="000F132D">
        <w:rPr>
          <w:rFonts w:ascii="Times New Roman" w:hAnsi="Times New Roman"/>
          <w:sz w:val="28"/>
          <w:szCs w:val="28"/>
        </w:rPr>
        <w:t xml:space="preserve">кафедры </w:t>
      </w:r>
      <w:r w:rsidRPr="000F132D">
        <w:rPr>
          <w:rFonts w:ascii="Times New Roman" w:hAnsi="Times New Roman"/>
          <w:sz w:val="28"/>
          <w:szCs w:val="28"/>
        </w:rPr>
        <w:t>Зинин В.А.</w:t>
      </w:r>
    </w:p>
    <w:p w:rsidR="00887F09" w:rsidRPr="000F132D" w:rsidRDefault="00887F09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7F09" w:rsidRPr="000F132D" w:rsidRDefault="00887F09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7F09" w:rsidRDefault="00887F09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D56" w:rsidRDefault="00252D56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7F09" w:rsidRDefault="00887F09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Владимир 2010</w:t>
      </w:r>
    </w:p>
    <w:p w:rsidR="00252D56" w:rsidRDefault="00252D56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A7B18" w:rsidRDefault="00252D56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A7B18" w:rsidRPr="000F13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одержание</w:t>
      </w:r>
    </w:p>
    <w:p w:rsidR="00252D56" w:rsidRPr="000F132D" w:rsidRDefault="00252D56" w:rsidP="00252D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A7B18" w:rsidRPr="000F132D" w:rsidRDefault="00AA7B18" w:rsidP="00252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1. Тест 1</w:t>
      </w:r>
    </w:p>
    <w:p w:rsidR="00AA7B18" w:rsidRPr="000F132D" w:rsidRDefault="00AA7B18" w:rsidP="00252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2. Тест 2</w:t>
      </w:r>
    </w:p>
    <w:p w:rsidR="00AA7B18" w:rsidRPr="000F132D" w:rsidRDefault="00AA7B18" w:rsidP="00252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3. Тест 3</w:t>
      </w:r>
    </w:p>
    <w:p w:rsidR="00AA7B18" w:rsidRPr="000F132D" w:rsidRDefault="00AA7B18" w:rsidP="00252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4. Задача</w:t>
      </w:r>
    </w:p>
    <w:p w:rsidR="00AA7B18" w:rsidRPr="000F132D" w:rsidRDefault="00AA7B18" w:rsidP="00252D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 xml:space="preserve">Список </w:t>
      </w:r>
      <w:r w:rsidR="0098008D" w:rsidRPr="000F132D">
        <w:rPr>
          <w:rFonts w:ascii="Times New Roman" w:hAnsi="Times New Roman"/>
          <w:sz w:val="28"/>
          <w:szCs w:val="28"/>
        </w:rPr>
        <w:t xml:space="preserve">использованной </w:t>
      </w:r>
      <w:r w:rsidRPr="000F132D">
        <w:rPr>
          <w:rFonts w:ascii="Times New Roman" w:hAnsi="Times New Roman"/>
          <w:sz w:val="28"/>
          <w:szCs w:val="28"/>
        </w:rPr>
        <w:t>литературы</w:t>
      </w:r>
      <w:r w:rsidR="000F132D">
        <w:rPr>
          <w:rFonts w:ascii="Times New Roman" w:hAnsi="Times New Roman"/>
          <w:sz w:val="28"/>
          <w:szCs w:val="28"/>
        </w:rPr>
        <w:t xml:space="preserve"> </w:t>
      </w:r>
    </w:p>
    <w:p w:rsidR="00252D56" w:rsidRDefault="00252D56" w:rsidP="000F132D">
      <w:pPr>
        <w:pStyle w:val="a3"/>
        <w:spacing w:before="0" w:line="360" w:lineRule="auto"/>
        <w:ind w:firstLine="709"/>
        <w:rPr>
          <w:sz w:val="28"/>
          <w:szCs w:val="28"/>
        </w:rPr>
      </w:pPr>
    </w:p>
    <w:p w:rsidR="00AA7B18" w:rsidRPr="000F132D" w:rsidRDefault="00AA7B18" w:rsidP="00252D56">
      <w:pPr>
        <w:pStyle w:val="a3"/>
        <w:spacing w:before="0" w:line="360" w:lineRule="auto"/>
        <w:ind w:firstLine="709"/>
        <w:jc w:val="center"/>
        <w:rPr>
          <w:bCs/>
          <w:sz w:val="28"/>
          <w:szCs w:val="28"/>
        </w:rPr>
      </w:pPr>
      <w:r w:rsidRPr="000F132D">
        <w:rPr>
          <w:sz w:val="28"/>
          <w:szCs w:val="28"/>
        </w:rPr>
        <w:br w:type="page"/>
      </w:r>
      <w:r w:rsidR="00252D56">
        <w:rPr>
          <w:sz w:val="28"/>
          <w:szCs w:val="28"/>
        </w:rPr>
        <w:t xml:space="preserve">1. </w:t>
      </w:r>
      <w:r w:rsidRPr="000F132D">
        <w:rPr>
          <w:bCs/>
          <w:sz w:val="28"/>
          <w:szCs w:val="28"/>
        </w:rPr>
        <w:t>Тест 1</w:t>
      </w:r>
    </w:p>
    <w:p w:rsidR="00252D56" w:rsidRDefault="00252D56" w:rsidP="000F132D">
      <w:pPr>
        <w:pStyle w:val="a3"/>
        <w:spacing w:before="0" w:line="360" w:lineRule="auto"/>
        <w:ind w:firstLine="709"/>
        <w:rPr>
          <w:bCs/>
          <w:sz w:val="28"/>
          <w:szCs w:val="28"/>
        </w:rPr>
      </w:pPr>
    </w:p>
    <w:p w:rsidR="00AA7B18" w:rsidRPr="000F132D" w:rsidRDefault="00AA7B18" w:rsidP="000F132D">
      <w:pPr>
        <w:pStyle w:val="a3"/>
        <w:spacing w:before="0" w:line="360" w:lineRule="auto"/>
        <w:ind w:firstLine="709"/>
        <w:rPr>
          <w:sz w:val="28"/>
          <w:szCs w:val="28"/>
        </w:rPr>
      </w:pPr>
      <w:r w:rsidRPr="000F132D">
        <w:rPr>
          <w:bCs/>
          <w:sz w:val="28"/>
          <w:szCs w:val="28"/>
        </w:rPr>
        <w:t>1. Стоимость предприятия как действующего в отличие от его ликвидационной стоимости предполагает оценку рыночной стоимости: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А. Фирмы, продолжающей операции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Б. Ненарушенного в своей целостности имущественного комплекса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В. А или Б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Г. Иное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Ответ:</w:t>
      </w:r>
      <w:r w:rsidR="000F132D">
        <w:rPr>
          <w:color w:val="auto"/>
          <w:sz w:val="28"/>
          <w:szCs w:val="28"/>
        </w:rPr>
        <w:t xml:space="preserve"> </w:t>
      </w:r>
      <w:r w:rsidRPr="000F132D">
        <w:rPr>
          <w:color w:val="auto"/>
          <w:sz w:val="28"/>
          <w:szCs w:val="28"/>
        </w:rPr>
        <w:t>А.</w:t>
      </w:r>
    </w:p>
    <w:p w:rsidR="00AA7B18" w:rsidRPr="000F132D" w:rsidRDefault="00AA7B18" w:rsidP="000F132D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132D">
        <w:rPr>
          <w:rFonts w:ascii="Times New Roman" w:hAnsi="Times New Roman"/>
          <w:color w:val="auto"/>
          <w:sz w:val="28"/>
          <w:szCs w:val="28"/>
        </w:rPr>
        <w:t>Наиболее характерные особенности концепции оценки предприятия как действующего:</w:t>
      </w:r>
    </w:p>
    <w:p w:rsidR="00AA7B18" w:rsidRPr="000F132D" w:rsidRDefault="00CE7CF7" w:rsidP="000F132D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132D">
        <w:rPr>
          <w:rFonts w:ascii="Times New Roman" w:hAnsi="Times New Roman"/>
          <w:color w:val="auto"/>
          <w:sz w:val="28"/>
          <w:szCs w:val="28"/>
        </w:rPr>
        <w:t>- с</w:t>
      </w:r>
      <w:r w:rsidR="00AA7B18" w:rsidRPr="000F132D">
        <w:rPr>
          <w:rFonts w:ascii="Times New Roman" w:hAnsi="Times New Roman"/>
          <w:color w:val="auto"/>
          <w:sz w:val="28"/>
          <w:szCs w:val="28"/>
        </w:rPr>
        <w:t>тоимость предприятия как действующего - отдельный вид стоимости, который определяет стоимость предприятия для конкретного пользователя, что отражает его не</w:t>
      </w:r>
      <w:r w:rsidRPr="000F132D">
        <w:rPr>
          <w:rFonts w:ascii="Times New Roman" w:hAnsi="Times New Roman"/>
          <w:color w:val="auto"/>
          <w:sz w:val="28"/>
          <w:szCs w:val="28"/>
        </w:rPr>
        <w:t>рыночный характер;</w:t>
      </w:r>
    </w:p>
    <w:p w:rsidR="00AA7B18" w:rsidRPr="000F132D" w:rsidRDefault="00CE7CF7" w:rsidP="000F132D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132D">
        <w:rPr>
          <w:rFonts w:ascii="Times New Roman" w:hAnsi="Times New Roman"/>
          <w:color w:val="auto"/>
          <w:sz w:val="28"/>
          <w:szCs w:val="28"/>
        </w:rPr>
        <w:t>- о</w:t>
      </w:r>
      <w:r w:rsidR="00AA7B18" w:rsidRPr="000F132D">
        <w:rPr>
          <w:rFonts w:ascii="Times New Roman" w:hAnsi="Times New Roman"/>
          <w:color w:val="auto"/>
          <w:sz w:val="28"/>
          <w:szCs w:val="28"/>
        </w:rPr>
        <w:t>ценка стоимости предприятия как действующего предполагает оценку продолжающего действовать предприятия, имеющего благоприятные перспективы развития с сохранением суще</w:t>
      </w:r>
      <w:r w:rsidRPr="000F132D">
        <w:rPr>
          <w:rFonts w:ascii="Times New Roman" w:hAnsi="Times New Roman"/>
          <w:color w:val="auto"/>
          <w:sz w:val="28"/>
          <w:szCs w:val="28"/>
        </w:rPr>
        <w:t>ствующего использования активов;</w:t>
      </w:r>
    </w:p>
    <w:p w:rsidR="00AA7B18" w:rsidRPr="000F132D" w:rsidRDefault="00CE7CF7" w:rsidP="000F132D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132D">
        <w:rPr>
          <w:rFonts w:ascii="Times New Roman" w:hAnsi="Times New Roman"/>
          <w:color w:val="auto"/>
          <w:sz w:val="28"/>
          <w:szCs w:val="28"/>
        </w:rPr>
        <w:t>- к</w:t>
      </w:r>
      <w:r w:rsidR="00AA7B18" w:rsidRPr="000F132D">
        <w:rPr>
          <w:rFonts w:ascii="Times New Roman" w:hAnsi="Times New Roman"/>
          <w:color w:val="auto"/>
          <w:sz w:val="28"/>
          <w:szCs w:val="28"/>
        </w:rPr>
        <w:t>онцепция оценки стоимости предприятия как действующего предполагает определение стоимости предприятия как действующего путем капитализации его дохода; общий показатель стоимости при этом можно распределить по составным частям в соответствии с их вкладом в целое, однако сама по себе не одна из этих компонент рыночной стоимости не образует.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Оценка предприятия изначально зависит от того, в расчете на какой сценарий его развития она делается. Поэтому грамотный подход к бизнесу</w:t>
      </w:r>
      <w:r w:rsidR="00805489" w:rsidRPr="000F132D">
        <w:rPr>
          <w:color w:val="auto"/>
          <w:sz w:val="28"/>
          <w:szCs w:val="28"/>
        </w:rPr>
        <w:t xml:space="preserve"> </w:t>
      </w:r>
      <w:r w:rsidRPr="000F132D">
        <w:rPr>
          <w:color w:val="auto"/>
          <w:sz w:val="28"/>
          <w:szCs w:val="28"/>
        </w:rPr>
        <w:t>однозначно требует</w:t>
      </w:r>
      <w:r w:rsidR="00914A28" w:rsidRPr="000F132D">
        <w:rPr>
          <w:color w:val="auto"/>
          <w:sz w:val="28"/>
          <w:szCs w:val="28"/>
        </w:rPr>
        <w:t xml:space="preserve"> того</w:t>
      </w:r>
      <w:r w:rsidRPr="000F132D">
        <w:rPr>
          <w:color w:val="auto"/>
          <w:sz w:val="28"/>
          <w:szCs w:val="28"/>
        </w:rPr>
        <w:t>, чтобы любая его оценка делалась в расчете на изначально указываемые определения стоимости предприятия, которых в принципе может быть два (с учетом промежуточных решений):</w:t>
      </w:r>
    </w:p>
    <w:p w:rsidR="00AA7B18" w:rsidRPr="000F132D" w:rsidRDefault="00AA7B18" w:rsidP="000F132D">
      <w:pPr>
        <w:pStyle w:val="11"/>
        <w:numPr>
          <w:ilvl w:val="0"/>
          <w:numId w:val="2"/>
        </w:numPr>
        <w:tabs>
          <w:tab w:val="clear" w:pos="2216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оценка предприятия как действующего;</w:t>
      </w:r>
    </w:p>
    <w:p w:rsidR="00AA7B18" w:rsidRPr="000F132D" w:rsidRDefault="00AA7B18" w:rsidP="000F132D">
      <w:pPr>
        <w:pStyle w:val="11"/>
        <w:numPr>
          <w:ilvl w:val="0"/>
          <w:numId w:val="2"/>
        </w:numPr>
        <w:tabs>
          <w:tab w:val="clear" w:pos="2216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оценка ликвидационной стоимости предприятия (в расчете на его ликвидацию, подразумевающую прекращение бизнеса).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Если предприятие действующее (сохраняющее рабочие места), то его следует оценивать в рамках доходного подхода, предполагающего, что рыночная стоимость бизнеса определяется будущими доходами, которые можно получить, продолжая бизнес. При этом на оценку рыночной стоимости предприятия не должна влиять (не должна в ней учитываться) стоимость того имущества, которое имеется на предприятии и является необходимым для продолжения бизнеса и жизни предприятия как действующего.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</w:p>
    <w:p w:rsidR="00AA7B18" w:rsidRPr="000F132D" w:rsidRDefault="00252D56" w:rsidP="00252D56">
      <w:pPr>
        <w:pStyle w:val="11"/>
        <w:spacing w:line="360" w:lineRule="auto"/>
        <w:ind w:firstLine="709"/>
        <w:jc w:val="center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AA7B18" w:rsidRPr="000F132D">
        <w:rPr>
          <w:bCs/>
          <w:color w:val="auto"/>
          <w:sz w:val="28"/>
          <w:szCs w:val="28"/>
        </w:rPr>
        <w:t>Тест 2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bCs/>
          <w:color w:val="auto"/>
          <w:sz w:val="28"/>
          <w:szCs w:val="28"/>
        </w:rPr>
      </w:pP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bCs/>
          <w:color w:val="auto"/>
          <w:sz w:val="28"/>
          <w:szCs w:val="28"/>
        </w:rPr>
        <w:t>2. Что регулируют общепринятые международные стандарты стоимости предприятия?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А. Требования к информации, используемой для оценки бизнеса любым из существующих методов оценки</w:t>
      </w:r>
      <w:r w:rsidR="000E5B02" w:rsidRPr="000F132D">
        <w:rPr>
          <w:color w:val="auto"/>
          <w:sz w:val="28"/>
          <w:szCs w:val="28"/>
        </w:rPr>
        <w:t>;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Б. Методику оценки бизнеса согласно отдельным принятым подходам к оценке</w:t>
      </w:r>
    </w:p>
    <w:p w:rsidR="00AA7B18" w:rsidRPr="000F132D" w:rsidRDefault="00AA7B18" w:rsidP="000F13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Ответ:</w:t>
      </w:r>
      <w:r w:rsidR="000F132D">
        <w:rPr>
          <w:rFonts w:ascii="Times New Roman" w:hAnsi="Times New Roman"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</w:rPr>
        <w:t>Б.</w:t>
      </w:r>
    </w:p>
    <w:p w:rsidR="00AA7B18" w:rsidRPr="000F132D" w:rsidRDefault="00AA7B18" w:rsidP="000F13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В общих понятиях и принципах оценки</w:t>
      </w:r>
      <w:r w:rsidR="000F132D">
        <w:rPr>
          <w:rFonts w:ascii="Times New Roman" w:hAnsi="Times New Roman"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</w:rPr>
        <w:t>международных стандартов, согласно</w:t>
      </w:r>
      <w:r w:rsidR="000F132D">
        <w:rPr>
          <w:rFonts w:ascii="Times New Roman" w:hAnsi="Times New Roman"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</w:rPr>
        <w:t>пункту</w:t>
      </w:r>
      <w:r w:rsidR="000F132D">
        <w:rPr>
          <w:rFonts w:ascii="Times New Roman" w:hAnsi="Times New Roman"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</w:rPr>
        <w:t>9.1 говорится, что «оценки любого типа, проводимые ли для расчета рыночной стоимости или</w:t>
      </w:r>
      <w:r w:rsidR="000F132D">
        <w:rPr>
          <w:rFonts w:ascii="Times New Roman" w:hAnsi="Times New Roman"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</w:rPr>
        <w:t>нерыночной стоимости, имеющей определение, требуют, чтобы Оценщик применял один или большее число подходов к оценке. Термин подход к оценке означает общепринятые аналитические методологии, имеющие широкое распространение. В некоторых странах эти подходы могут называться методами оценки».</w:t>
      </w:r>
    </w:p>
    <w:p w:rsidR="00AA7B18" w:rsidRPr="000F132D" w:rsidRDefault="00AA7B18" w:rsidP="000F13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Местное законодательство и экономическая обстановка могут в некоторых случаях требовать особых подходов к оценке (иногда предусматривающих ограничения), однако основные положения, касающиеся методов и способов оценки во всем мире, как правило, одинаковы. Задача</w:t>
      </w:r>
      <w:r w:rsidR="000F132D">
        <w:rPr>
          <w:rFonts w:ascii="Times New Roman" w:hAnsi="Times New Roman"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</w:rPr>
        <w:t>Международного комитета по стандартам оценки состоит именно в том, чтобы формулировать эти основные положения и содействовать их усвоению.</w:t>
      </w:r>
    </w:p>
    <w:p w:rsidR="00AA7B18" w:rsidRPr="000F132D" w:rsidRDefault="00AA7B18" w:rsidP="000F13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Существуют подходы к оценке предприятия, в разной мере соответствующие тому или иному определению стоимости бизнеса:</w:t>
      </w:r>
    </w:p>
    <w:p w:rsidR="00AA7B18" w:rsidRPr="000F132D" w:rsidRDefault="00B04C92" w:rsidP="000F132D">
      <w:pPr>
        <w:numPr>
          <w:ilvl w:val="1"/>
          <w:numId w:val="3"/>
        </w:numPr>
        <w:tabs>
          <w:tab w:val="clear" w:pos="214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доходный;</w:t>
      </w:r>
    </w:p>
    <w:p w:rsidR="00AA7B18" w:rsidRPr="000F132D" w:rsidRDefault="00B04C92" w:rsidP="000F132D">
      <w:pPr>
        <w:numPr>
          <w:ilvl w:val="1"/>
          <w:numId w:val="3"/>
        </w:numPr>
        <w:tabs>
          <w:tab w:val="clear" w:pos="214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рыночный;</w:t>
      </w:r>
    </w:p>
    <w:p w:rsidR="00AA7B18" w:rsidRPr="000F132D" w:rsidRDefault="00AA7B18" w:rsidP="000F132D">
      <w:pPr>
        <w:numPr>
          <w:ilvl w:val="1"/>
          <w:numId w:val="3"/>
        </w:numPr>
        <w:tabs>
          <w:tab w:val="clear" w:pos="214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имущественный (затратный).</w:t>
      </w:r>
    </w:p>
    <w:p w:rsidR="00AA7B18" w:rsidRPr="000F132D" w:rsidRDefault="00AA7B18" w:rsidP="000F13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Если предприятие действующее (сохраняющее рабочие места), то его следует оценивать в рамках доходного подхода, предполагающего, что рыночная стоимость бизнеса определяется будущими доходами, которые можно получить, продолжая бизнес. При этом на оценку рыночной стоимости предприятия не должна влиять (не должна в ней учитываться) стоимость того имущества, которое имеется на предприятии и является необходимым для продолжения бизнеса и жизни предприятия как действующего. Оценка предприятия как действующего реализуется в рамках рыночного подхода, для оценки рыночной стоимости закрытой или не имеющей размещенных на фондовом рынке акций открытой компании среди открытых компаний с достаточно ликвидными акциями находят компанию-аналог (той же отрасли, того же размера, использующую ту же систему бухгалтерского учета в части методов учета товарно-материальных ценностей и методов амортизации, того же «возраста» и пр.), которую оценивает сам фондовый рынок, и с соответствующими корректировками, переносят эту оценку на рассматриваемое предприятие.</w:t>
      </w:r>
    </w:p>
    <w:p w:rsidR="00AA7B18" w:rsidRPr="000F132D" w:rsidRDefault="00AA7B18" w:rsidP="000F13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Ликвидационную стоимость предприятия оценивают преимущественно в рамках имущественного (затратного) подхода. Его содержание заключается в оценке рыночной стоимости чистых, за вычетом задолженности, активов предприятия и отталкивается от оценки рыночной стоимости всех активов (имущества) предприятия – материальных (реальных и финансовых) и нематериальных, независимо от того, как они отражены (и отражены ли вообще, что касается нематериальных активов) в бухгалтерском балансе предприятия. Это естественный подход для оценки предприятия, который будет закрываться с распродажей имущества по его рыночной стоимости.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</w:p>
    <w:p w:rsidR="00AA7B18" w:rsidRPr="000F132D" w:rsidRDefault="00252D56" w:rsidP="00252D56">
      <w:pPr>
        <w:pStyle w:val="11"/>
        <w:spacing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AA7B18" w:rsidRPr="000F132D">
        <w:rPr>
          <w:color w:val="auto"/>
          <w:sz w:val="28"/>
          <w:szCs w:val="28"/>
        </w:rPr>
        <w:t>Тест 3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bCs/>
          <w:color w:val="auto"/>
          <w:sz w:val="28"/>
          <w:szCs w:val="28"/>
        </w:rPr>
        <w:t>3. Является ли реструктуризация дебиторской задолженности менее реалистичной альтернативой по сравнению с истребованием долга через суд либо с вероятной потерей соответствующих средств?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А. Да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Б. Нет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В. Нельзя сказать определенно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Ответ: В.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 xml:space="preserve">При осуществлении предпринимательской и иной хозяйственной деятельности организациям часто приходится сталкиваться с недобросовестным поведением контрагента, ненадлежащим образом исполняющего свои обязательства по договору. Такое поведение может быть вызвано рядом факторов: временными финансовыми трудностями контрагента, его </w:t>
      </w:r>
      <w:bookmarkStart w:id="0" w:name="l1"/>
      <w:bookmarkEnd w:id="0"/>
      <w:r w:rsidRPr="000F132D">
        <w:rPr>
          <w:color w:val="auto"/>
          <w:sz w:val="28"/>
          <w:szCs w:val="28"/>
        </w:rPr>
        <w:t>изначальной недобросовестностью и другими подобными обстоятельствами. В результате ненадлежащего исполнения контрагентом своих обязательств возможно возникновение как денежной задолженности, так и обязательств по исполнению условий договора, не связанных с выплатой денежных средств.</w:t>
      </w:r>
    </w:p>
    <w:p w:rsid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Рассмотрим проблемы взыскания денежного долга с контрагента.</w:t>
      </w:r>
    </w:p>
    <w:p w:rsid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Данный долг может состоять из следующих сумм: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1.</w:t>
      </w:r>
      <w:r w:rsidRPr="000F132D">
        <w:rPr>
          <w:iCs/>
          <w:color w:val="auto"/>
          <w:sz w:val="28"/>
          <w:szCs w:val="28"/>
        </w:rPr>
        <w:t xml:space="preserve"> </w:t>
      </w:r>
      <w:r w:rsidR="00B04C92" w:rsidRPr="000F132D">
        <w:rPr>
          <w:iCs/>
          <w:color w:val="auto"/>
          <w:sz w:val="28"/>
          <w:szCs w:val="28"/>
        </w:rPr>
        <w:t>суммы основного долга;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 xml:space="preserve">2. </w:t>
      </w:r>
      <w:r w:rsidR="00B04C92" w:rsidRPr="000F132D">
        <w:rPr>
          <w:color w:val="auto"/>
          <w:sz w:val="28"/>
          <w:szCs w:val="28"/>
        </w:rPr>
        <w:t>с</w:t>
      </w:r>
      <w:r w:rsidRPr="000F132D">
        <w:rPr>
          <w:iCs/>
          <w:color w:val="auto"/>
          <w:sz w:val="28"/>
          <w:szCs w:val="28"/>
        </w:rPr>
        <w:t xml:space="preserve">уммы убытков </w:t>
      </w:r>
      <w:r w:rsidR="00B04C92" w:rsidRPr="000F132D">
        <w:rPr>
          <w:color w:val="auto"/>
          <w:sz w:val="28"/>
          <w:szCs w:val="28"/>
        </w:rPr>
        <w:t>(упущенная выгода);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 xml:space="preserve">3. </w:t>
      </w:r>
      <w:r w:rsidR="00B04C92" w:rsidRPr="000F132D">
        <w:rPr>
          <w:color w:val="auto"/>
          <w:sz w:val="28"/>
          <w:szCs w:val="28"/>
        </w:rPr>
        <w:t>с</w:t>
      </w:r>
      <w:r w:rsidRPr="000F132D">
        <w:rPr>
          <w:iCs/>
          <w:color w:val="auto"/>
          <w:sz w:val="28"/>
          <w:szCs w:val="28"/>
        </w:rPr>
        <w:t>уммы штрафных санкций, начисленных за ненадлежащее исполнение договора.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bookmarkStart w:id="1" w:name="l5"/>
      <w:bookmarkEnd w:id="1"/>
      <w:r w:rsidRPr="000F132D">
        <w:rPr>
          <w:color w:val="auto"/>
          <w:sz w:val="28"/>
          <w:szCs w:val="28"/>
        </w:rPr>
        <w:t xml:space="preserve">В соответствии со </w:t>
      </w:r>
      <w:r w:rsidRPr="007B1AC7">
        <w:rPr>
          <w:color w:val="auto"/>
          <w:sz w:val="28"/>
          <w:szCs w:val="28"/>
        </w:rPr>
        <w:t>ст. 330</w:t>
      </w:r>
      <w:r w:rsidRPr="000F132D">
        <w:rPr>
          <w:color w:val="auto"/>
          <w:sz w:val="28"/>
          <w:szCs w:val="28"/>
        </w:rPr>
        <w:t xml:space="preserve"> ГК РФ в случае неисполнения или просрочки исполнения одной из сторон своих обязательств по договору другая сторона имеет право на взыскание неустойки (штрафов, пеней), установленной законом или договором.</w:t>
      </w:r>
    </w:p>
    <w:p w:rsidR="00B04C92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 xml:space="preserve">Однако при взыскании перечисленных сумм (суммы основного долга, убытков, штрафных санкций) возникает ряд проблем. Если с доказыванием суммы основного долга все </w:t>
      </w:r>
      <w:bookmarkStart w:id="2" w:name="l36"/>
      <w:bookmarkEnd w:id="2"/>
      <w:r w:rsidRPr="000F132D">
        <w:rPr>
          <w:color w:val="auto"/>
          <w:sz w:val="28"/>
          <w:szCs w:val="28"/>
        </w:rPr>
        <w:t xml:space="preserve">более-менее понятно (контрагент в некоторых случаях и сам не отрицает задолженности), то взыскание убытков и штрафных санкций сопряжено с гораздо, большими трудностями. </w:t>
      </w:r>
      <w:bookmarkStart w:id="3" w:name="l7"/>
      <w:bookmarkEnd w:id="3"/>
      <w:r w:rsidRPr="000F132D">
        <w:rPr>
          <w:color w:val="auto"/>
          <w:sz w:val="28"/>
          <w:szCs w:val="28"/>
        </w:rPr>
        <w:t>Во-первых, контрагент чрезвычайно редко в добровольном порядке возмещает убытки и уплачивает штрафные санкции. Следовательно, убытки и неустойку необходимо будет взыскивать в судебном порядке. При этом доказать причиненные убытки достаточно сложно, так как они должны быть документально обоснованны, должна быть также доказана причинно-следственная связь между неисполнением обязательства должником и возникновением</w:t>
      </w:r>
      <w:r w:rsidR="00B04C92" w:rsidRPr="000F132D">
        <w:rPr>
          <w:color w:val="auto"/>
          <w:sz w:val="28"/>
          <w:szCs w:val="28"/>
        </w:rPr>
        <w:t xml:space="preserve"> </w:t>
      </w:r>
      <w:r w:rsidRPr="000F132D">
        <w:rPr>
          <w:color w:val="auto"/>
          <w:sz w:val="28"/>
          <w:szCs w:val="28"/>
        </w:rPr>
        <w:t>убытков.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bookmarkStart w:id="4" w:name="l37"/>
      <w:bookmarkEnd w:id="4"/>
      <w:r w:rsidRPr="000F132D">
        <w:rPr>
          <w:color w:val="auto"/>
          <w:sz w:val="28"/>
          <w:szCs w:val="28"/>
        </w:rPr>
        <w:t xml:space="preserve">При взыскании неустойки суды активно пользуются своим правом на уменьшение размера неустойки, предусмотренным </w:t>
      </w:r>
      <w:r w:rsidRPr="007B1AC7">
        <w:rPr>
          <w:color w:val="auto"/>
          <w:sz w:val="28"/>
          <w:szCs w:val="28"/>
        </w:rPr>
        <w:t>ст. 333</w:t>
      </w:r>
      <w:r w:rsidRPr="000F132D">
        <w:rPr>
          <w:color w:val="auto"/>
          <w:sz w:val="28"/>
          <w:szCs w:val="28"/>
        </w:rPr>
        <w:t xml:space="preserve"> ГК РФ: </w:t>
      </w:r>
      <w:r w:rsidRPr="000F132D">
        <w:rPr>
          <w:iCs/>
          <w:color w:val="auto"/>
          <w:sz w:val="28"/>
          <w:szCs w:val="28"/>
        </w:rPr>
        <w:t xml:space="preserve">«Если подлежащая уплате неустойка явно </w:t>
      </w:r>
      <w:bookmarkStart w:id="5" w:name="l8"/>
      <w:bookmarkEnd w:id="5"/>
      <w:r w:rsidRPr="000F132D">
        <w:rPr>
          <w:iCs/>
          <w:color w:val="auto"/>
          <w:sz w:val="28"/>
          <w:szCs w:val="28"/>
        </w:rPr>
        <w:t>несоразмерна последствиям нарушения обязательства, суд вправе уменьшить неустойку»</w:t>
      </w:r>
      <w:r w:rsidRPr="000F132D">
        <w:rPr>
          <w:color w:val="auto"/>
          <w:sz w:val="28"/>
          <w:szCs w:val="28"/>
        </w:rPr>
        <w:t>. При этом уменьшение размера неустойки может быть весьма существенным.</w:t>
      </w:r>
    </w:p>
    <w:p w:rsid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Таким образом, сумма, которая теоретически может быть взыскана с должника, в процессе судебного разбирательства может быть существенно уменьшена. Например, суд вправе отказать во взыскании убытков в связи с их недоказанностью, а также существенно уменьшить размер взыскиваемой неустойки, как явно несоразмерной последствиям нарушения обязательства.</w:t>
      </w:r>
    </w:p>
    <w:p w:rsid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Теперь рассмотрим состав расходов, которые возможно придется произвести взыскателю при истребовании суммы долга.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bookmarkStart w:id="6" w:name="l39"/>
      <w:bookmarkEnd w:id="6"/>
      <w:r w:rsidRPr="000F132D">
        <w:rPr>
          <w:color w:val="auto"/>
          <w:sz w:val="28"/>
          <w:szCs w:val="28"/>
        </w:rPr>
        <w:t>1.</w:t>
      </w:r>
      <w:r w:rsidRPr="000F132D">
        <w:rPr>
          <w:iCs/>
          <w:color w:val="auto"/>
          <w:sz w:val="28"/>
          <w:szCs w:val="28"/>
        </w:rPr>
        <w:t xml:space="preserve"> Расходы по уплате пошлин и сборов за рассмотрение дела в суде.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 xml:space="preserve">Размеры государственной пошлины при рассмотрении арбитражным судом иска о взыскании денежных средств установлены </w:t>
      </w:r>
      <w:r w:rsidRPr="007B1AC7">
        <w:rPr>
          <w:color w:val="auto"/>
          <w:sz w:val="28"/>
          <w:szCs w:val="28"/>
        </w:rPr>
        <w:t>ст. 333.21</w:t>
      </w:r>
      <w:r w:rsidRPr="000F132D">
        <w:rPr>
          <w:color w:val="auto"/>
          <w:sz w:val="28"/>
          <w:szCs w:val="28"/>
        </w:rPr>
        <w:t xml:space="preserve"> НК РФ. Размер государственной пошлины составляет от 500 до 100 000 руб. в зависимости от цены иска.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2</w:t>
      </w:r>
      <w:r w:rsidRPr="000F132D">
        <w:rPr>
          <w:iCs/>
          <w:color w:val="auto"/>
          <w:sz w:val="28"/>
          <w:szCs w:val="28"/>
        </w:rPr>
        <w:t>. Расходы на юридические услуги.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3</w:t>
      </w:r>
      <w:r w:rsidRPr="000F132D">
        <w:rPr>
          <w:iCs/>
          <w:color w:val="auto"/>
          <w:sz w:val="28"/>
          <w:szCs w:val="28"/>
        </w:rPr>
        <w:t>. Иные судебные издержки.</w:t>
      </w:r>
    </w:p>
    <w:p w:rsid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В процессе судебного разбирательства взыскатель может понести ряд дополнительных расходов в виде, например, денежных сумм, подлежащих выплате экспертам, свидетелям, переводчикам, нотариусам и т.п.</w:t>
      </w:r>
    </w:p>
    <w:p w:rsid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Исходя из изложенного, можно сделать вывод о том, что при взыскании долга с контрагента взыскатель должен быть готов понести соответствующие расходы, размер которых может быть достаточно велик.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 xml:space="preserve">Кроме того, взыскатель должен представлять сроки, в течение которых он фактически будет взыскивать долг с контрагента. В соответствии со ст. </w:t>
      </w:r>
      <w:r w:rsidRPr="007B1AC7">
        <w:rPr>
          <w:color w:val="auto"/>
          <w:sz w:val="28"/>
          <w:szCs w:val="28"/>
        </w:rPr>
        <w:t>134</w:t>
      </w:r>
      <w:r w:rsidRPr="000F132D">
        <w:rPr>
          <w:color w:val="auto"/>
          <w:sz w:val="28"/>
          <w:szCs w:val="28"/>
        </w:rPr>
        <w:t xml:space="preserve">, </w:t>
      </w:r>
      <w:r w:rsidRPr="007B1AC7">
        <w:rPr>
          <w:color w:val="auto"/>
          <w:sz w:val="28"/>
          <w:szCs w:val="28"/>
        </w:rPr>
        <w:t>152</w:t>
      </w:r>
      <w:r w:rsidRPr="000F132D">
        <w:rPr>
          <w:color w:val="auto"/>
          <w:sz w:val="28"/>
          <w:szCs w:val="28"/>
        </w:rPr>
        <w:t xml:space="preserve">, </w:t>
      </w:r>
      <w:r w:rsidRPr="007B1AC7">
        <w:rPr>
          <w:color w:val="auto"/>
          <w:sz w:val="28"/>
          <w:szCs w:val="28"/>
        </w:rPr>
        <w:t xml:space="preserve">158 </w:t>
      </w:r>
      <w:r w:rsidRPr="000F132D">
        <w:rPr>
          <w:color w:val="auto"/>
          <w:sz w:val="28"/>
          <w:szCs w:val="28"/>
        </w:rPr>
        <w:t xml:space="preserve">АПК РФ срок рассмотрения дела в суде первой инстанции составляет от 3 до 4 месяцев. Исполнительный лист на практике выдается через 45 дней после принятия решения судом первой инстанции при условии, что решение не обжаловано в апелляционном порядке. В том случае, если решение в пользу взыскателя получено, но ответчиком подана апелляционная жалоба, срок </w:t>
      </w:r>
      <w:bookmarkStart w:id="7" w:name="l13"/>
      <w:bookmarkEnd w:id="7"/>
      <w:r w:rsidRPr="000F132D">
        <w:rPr>
          <w:color w:val="auto"/>
          <w:sz w:val="28"/>
          <w:szCs w:val="28"/>
        </w:rPr>
        <w:t xml:space="preserve">получения исполнительного листа отодвигается на срок от 1 до 2 месяцев. Кроме того, ответчик может предпринимать действия, направленные на затягивание сроков рассмотрения дела, – не являться в судебное заседание, не представлять документы, заявлять ходатайства об отложении судебного заседания, о приостановлении производства по делу и т.п. Таким </w:t>
      </w:r>
      <w:bookmarkStart w:id="8" w:name="l41"/>
      <w:bookmarkEnd w:id="8"/>
      <w:r w:rsidRPr="000F132D">
        <w:rPr>
          <w:color w:val="auto"/>
          <w:sz w:val="28"/>
          <w:szCs w:val="28"/>
        </w:rPr>
        <w:t>образом, сроки получения взыскателем положительного судебного решения и исполнительного листа могут быть весьма значительными.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Однако получением исполнительного листа проблемы взыскателя не заканчиваются. Достаточно распространена ситуация, когда у ответчика нет средств на счетах и нет ликвидного имущества, на которое может быть обращено взыскание. В таком случае реальное получение денег от ответчика становится практически невозможным.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Из этого следует что, «простить долг» с наименьшими налоговыми последствиями кредитор сможет в случае, если дождется истечения срока исковой давности и спишет просроченную дебиторскую задолженность во внереализационные расходы.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</w:p>
    <w:p w:rsidR="00AA7B18" w:rsidRPr="000F132D" w:rsidRDefault="00252D56" w:rsidP="00252D56">
      <w:pPr>
        <w:pStyle w:val="11"/>
        <w:spacing w:line="360" w:lineRule="auto"/>
        <w:ind w:firstLine="709"/>
        <w:jc w:val="center"/>
        <w:rPr>
          <w:bCs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="00AA7B18" w:rsidRPr="000F132D">
        <w:rPr>
          <w:bCs/>
          <w:iCs/>
          <w:color w:val="auto"/>
          <w:sz w:val="28"/>
          <w:szCs w:val="28"/>
        </w:rPr>
        <w:t>Задача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Какой из двух предложенных ниже вариантов финансового оздоровления и повышения стоимости предприятия более предпочтителен?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Коэффициент текущей ликвидности предприятия равен 0,7.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Краткосрочная задолженность фирмы составляет 500 000 руб. и не меняется со временем в обоих вариантах.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А. Продажа недвижимости и оборудования с вероятной выручкой от этого на сумму в 600 000 руб.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Б. В течение того же времени освоение новой, имеющей спрос продукции и получение от продаж чистой прибыли в 400 000 руб. При этом необходимые для освоения продукции инвестиции равны 200 000 руб. и финансируются из выручки от продаж избыточных для выпуска данной продукции недвижимости и оборудования.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iCs/>
          <w:color w:val="auto"/>
          <w:sz w:val="28"/>
          <w:szCs w:val="28"/>
        </w:rPr>
        <w:t>Примечание</w:t>
      </w:r>
      <w:r w:rsidRPr="000F132D">
        <w:rPr>
          <w:color w:val="auto"/>
          <w:sz w:val="28"/>
          <w:szCs w:val="28"/>
        </w:rPr>
        <w:t>. Оба варианта позволяют пополнить собственные оборотные средства предприятия.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Решение: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 xml:space="preserve">1) </w:t>
      </w:r>
      <w:r w:rsidRPr="000F132D">
        <w:rPr>
          <w:bCs/>
          <w:color w:val="auto"/>
          <w:sz w:val="28"/>
          <w:szCs w:val="28"/>
        </w:rPr>
        <w:t>Рассчитаем коэффициент текущей ликвидности предприятия</w:t>
      </w:r>
      <w:r w:rsidR="00E96E98" w:rsidRPr="000F132D">
        <w:rPr>
          <w:bCs/>
          <w:color w:val="auto"/>
          <w:sz w:val="28"/>
          <w:szCs w:val="28"/>
        </w:rPr>
        <w:t>,</w:t>
      </w:r>
      <w:r w:rsidRPr="000F132D">
        <w:rPr>
          <w:bCs/>
          <w:color w:val="auto"/>
          <w:sz w:val="28"/>
          <w:szCs w:val="28"/>
        </w:rPr>
        <w:t xml:space="preserve"> применяя данные предложенные в варианте «А»: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bCs/>
          <w:color w:val="auto"/>
          <w:sz w:val="28"/>
          <w:szCs w:val="28"/>
        </w:rPr>
      </w:pPr>
      <w:r w:rsidRPr="000F132D">
        <w:rPr>
          <w:bCs/>
          <w:color w:val="auto"/>
          <w:sz w:val="28"/>
          <w:szCs w:val="28"/>
        </w:rPr>
        <w:t>Ктл = 600000/500000= 1,9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bCs/>
          <w:color w:val="auto"/>
          <w:sz w:val="28"/>
          <w:szCs w:val="28"/>
        </w:rPr>
        <w:t>Следовательно: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iCs/>
          <w:color w:val="auto"/>
          <w:sz w:val="28"/>
          <w:szCs w:val="28"/>
        </w:rPr>
        <w:t>Вариант А</w:t>
      </w:r>
      <w:r w:rsidRPr="000F132D">
        <w:rPr>
          <w:color w:val="auto"/>
          <w:sz w:val="28"/>
          <w:szCs w:val="28"/>
        </w:rPr>
        <w:t>. Обещает увеличение собственных оборотных средств на 600000 руб., что повысит коэффициент текущей ликвидности на 1,2 , доведя его до 1,9. Однако эта величина с точки зрения Федеральной службы России по финансовому оздоровлению и банкротству не достаточна (меньше 2 ) и не позволяет сделать вывод об избежани</w:t>
      </w:r>
      <w:r w:rsidR="00E96E98" w:rsidRPr="000F132D">
        <w:rPr>
          <w:color w:val="auto"/>
          <w:sz w:val="28"/>
          <w:szCs w:val="28"/>
        </w:rPr>
        <w:t>е</w:t>
      </w:r>
      <w:r w:rsidR="000F132D">
        <w:rPr>
          <w:color w:val="auto"/>
          <w:sz w:val="28"/>
          <w:szCs w:val="28"/>
        </w:rPr>
        <w:t xml:space="preserve"> </w:t>
      </w:r>
      <w:r w:rsidRPr="000F132D">
        <w:rPr>
          <w:color w:val="auto"/>
          <w:sz w:val="28"/>
          <w:szCs w:val="28"/>
        </w:rPr>
        <w:t>угрозы банкротства.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Далее рассчитаем текущую ликвидность с применением данных для варианта «Б»: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Ктл = 600000+400000/500000+200000= 1,9.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Из этого следует, что: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iCs/>
          <w:color w:val="auto"/>
          <w:sz w:val="28"/>
          <w:szCs w:val="28"/>
        </w:rPr>
        <w:t>Вариант Б.</w:t>
      </w:r>
      <w:r w:rsidRPr="000F132D">
        <w:rPr>
          <w:color w:val="auto"/>
          <w:sz w:val="28"/>
          <w:szCs w:val="28"/>
        </w:rPr>
        <w:t xml:space="preserve"> Позволяет увеличить коэффициент текущей ликвидности предприятия за счет капитализации дополнительной чистой прибыли до 0,9 , что меньше, чем в варианте «А». Однако появление в этом варианте потока дополнительной прибыли повышает</w:t>
      </w:r>
      <w:r w:rsidR="000F132D">
        <w:rPr>
          <w:color w:val="auto"/>
          <w:sz w:val="28"/>
          <w:szCs w:val="28"/>
        </w:rPr>
        <w:t xml:space="preserve"> </w:t>
      </w:r>
      <w:r w:rsidRPr="000F132D">
        <w:rPr>
          <w:color w:val="auto"/>
          <w:sz w:val="28"/>
          <w:szCs w:val="28"/>
        </w:rPr>
        <w:t>коэффициент платежеспособности предприятия и позволяет</w:t>
      </w:r>
      <w:r w:rsidR="000F132D">
        <w:rPr>
          <w:color w:val="auto"/>
          <w:sz w:val="28"/>
          <w:szCs w:val="28"/>
        </w:rPr>
        <w:t xml:space="preserve"> </w:t>
      </w:r>
      <w:r w:rsidRPr="000F132D">
        <w:rPr>
          <w:color w:val="auto"/>
          <w:sz w:val="28"/>
          <w:szCs w:val="28"/>
        </w:rPr>
        <w:t>рассчитывать на то, что арбитражный суд не вынесет постановления о банкротстве.</w:t>
      </w:r>
    </w:p>
    <w:p w:rsidR="00AA7B18" w:rsidRPr="000F132D" w:rsidRDefault="00AA7B18" w:rsidP="000F132D">
      <w:pPr>
        <w:pStyle w:val="11"/>
        <w:spacing w:line="360" w:lineRule="auto"/>
        <w:ind w:firstLine="709"/>
        <w:rPr>
          <w:color w:val="auto"/>
          <w:sz w:val="28"/>
          <w:szCs w:val="28"/>
        </w:rPr>
      </w:pPr>
      <w:r w:rsidRPr="000F132D">
        <w:rPr>
          <w:color w:val="auto"/>
          <w:sz w:val="28"/>
          <w:szCs w:val="28"/>
        </w:rPr>
        <w:t>Следовательно,</w:t>
      </w:r>
      <w:r w:rsidR="000F132D">
        <w:rPr>
          <w:color w:val="auto"/>
          <w:sz w:val="28"/>
          <w:szCs w:val="28"/>
        </w:rPr>
        <w:t xml:space="preserve"> </w:t>
      </w:r>
      <w:r w:rsidRPr="000F132D">
        <w:rPr>
          <w:color w:val="auto"/>
          <w:sz w:val="28"/>
          <w:szCs w:val="28"/>
        </w:rPr>
        <w:t>из двух предложенных возможных развитий, проведения мероприятий по финансовому оздоровлению организации, наиболее предпочтителен вариант «Б».</w:t>
      </w:r>
    </w:p>
    <w:p w:rsidR="00AA7B18" w:rsidRPr="000F132D" w:rsidRDefault="00AA7B18" w:rsidP="000F13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B18" w:rsidRPr="000F132D" w:rsidRDefault="00252D56" w:rsidP="00252D5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A7B18" w:rsidRPr="000F132D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963214" w:rsidRPr="000F132D" w:rsidRDefault="00963214" w:rsidP="000F13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B18" w:rsidRPr="000F132D" w:rsidRDefault="00AA7B18" w:rsidP="00252D56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Гараникова, Л.Ф. Оценка стоимости предприятия: учебное пособие / Л.Ф. Гараникова. Изд. 1-е. Тверь: ТГТУ, 2007. 140 с.</w:t>
      </w:r>
      <w:r w:rsidR="00140D3E" w:rsidRPr="000F132D">
        <w:rPr>
          <w:rFonts w:ascii="Times New Roman" w:hAnsi="Times New Roman"/>
          <w:sz w:val="28"/>
          <w:szCs w:val="28"/>
        </w:rPr>
        <w:t>;</w:t>
      </w:r>
    </w:p>
    <w:p w:rsidR="00AA7B18" w:rsidRPr="000F132D" w:rsidRDefault="00AA7B18" w:rsidP="00252D56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132D">
        <w:rPr>
          <w:rStyle w:val="a9"/>
          <w:rFonts w:ascii="Times New Roman" w:hAnsi="Times New Roman"/>
          <w:b w:val="0"/>
          <w:sz w:val="28"/>
          <w:szCs w:val="28"/>
        </w:rPr>
        <w:t>Международные стандарты оценки МСО</w:t>
      </w:r>
      <w:r w:rsidRPr="000F132D">
        <w:rPr>
          <w:rFonts w:ascii="Times New Roman" w:hAnsi="Times New Roman"/>
          <w:b/>
          <w:sz w:val="28"/>
          <w:szCs w:val="28"/>
        </w:rPr>
        <w:t xml:space="preserve"> -</w:t>
      </w:r>
      <w:r w:rsidRPr="000F132D">
        <w:rPr>
          <w:rFonts w:ascii="Times New Roman" w:hAnsi="Times New Roman"/>
          <w:sz w:val="28"/>
          <w:szCs w:val="28"/>
        </w:rPr>
        <w:t>1</w:t>
      </w:r>
      <w:r w:rsidRPr="000F132D">
        <w:rPr>
          <w:rFonts w:ascii="Times New Roman" w:hAnsi="Times New Roman"/>
          <w:b/>
          <w:sz w:val="28"/>
          <w:szCs w:val="28"/>
        </w:rPr>
        <w:t xml:space="preserve">. </w:t>
      </w:r>
      <w:r w:rsidRPr="000F132D">
        <w:rPr>
          <w:rStyle w:val="a9"/>
          <w:rFonts w:ascii="Times New Roman" w:hAnsi="Times New Roman"/>
          <w:b w:val="0"/>
          <w:sz w:val="28"/>
          <w:szCs w:val="28"/>
        </w:rPr>
        <w:t>МСО</w:t>
      </w:r>
      <w:r w:rsidRPr="000F132D">
        <w:rPr>
          <w:rFonts w:ascii="Times New Roman" w:hAnsi="Times New Roman"/>
          <w:b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</w:rPr>
        <w:t>– 2.</w:t>
      </w:r>
      <w:r w:rsidR="00140D3E" w:rsidRPr="000F132D">
        <w:rPr>
          <w:rFonts w:ascii="Times New Roman" w:hAnsi="Times New Roman"/>
          <w:sz w:val="28"/>
          <w:szCs w:val="28"/>
        </w:rPr>
        <w:t>;</w:t>
      </w:r>
    </w:p>
    <w:p w:rsidR="00AA7B18" w:rsidRPr="000F132D" w:rsidRDefault="00AA7B18" w:rsidP="00252D56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Теория финансового менеджмента. Методические указания и задания для выполнения контрольной работы для студентов</w:t>
      </w:r>
      <w:r w:rsidR="000F132D">
        <w:rPr>
          <w:rFonts w:ascii="Times New Roman" w:hAnsi="Times New Roman"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  <w:lang w:val="en-US"/>
        </w:rPr>
        <w:t>V</w:t>
      </w:r>
      <w:r w:rsidR="000F132D">
        <w:rPr>
          <w:rFonts w:ascii="Times New Roman" w:hAnsi="Times New Roman"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</w:rPr>
        <w:t>курса специальности 060400 - "Финансы и кредит"</w:t>
      </w:r>
      <w:r w:rsidR="000F132D">
        <w:rPr>
          <w:rFonts w:ascii="Times New Roman" w:hAnsi="Times New Roman"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</w:rPr>
        <w:t>(первое и второе высшее образование) для студентов</w:t>
      </w:r>
      <w:r w:rsidR="000F132D">
        <w:rPr>
          <w:rFonts w:ascii="Times New Roman" w:hAnsi="Times New Roman"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  <w:lang w:val="en-US"/>
        </w:rPr>
        <w:t>IV</w:t>
      </w:r>
      <w:r w:rsidR="000F132D">
        <w:rPr>
          <w:rFonts w:ascii="Times New Roman" w:hAnsi="Times New Roman"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</w:rPr>
        <w:t xml:space="preserve">курса специальности 060500 - "Бухгалтерский учет и аудит" (первое и второе высшее образование)– М.: </w:t>
      </w:r>
      <w:r w:rsidR="00140D3E" w:rsidRPr="000F132D">
        <w:rPr>
          <w:rFonts w:ascii="Times New Roman" w:hAnsi="Times New Roman"/>
          <w:sz w:val="28"/>
          <w:szCs w:val="28"/>
        </w:rPr>
        <w:t>ВЗФЭИ, 2009;</w:t>
      </w:r>
    </w:p>
    <w:p w:rsidR="00140D3E" w:rsidRPr="000F132D" w:rsidRDefault="00140D3E" w:rsidP="00252D56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Лукасевич И.Я. Финансовый менеджмент. М.: ЭКСМО, 2009</w:t>
      </w:r>
      <w:r w:rsidR="004558FA" w:rsidRPr="000F132D">
        <w:rPr>
          <w:rFonts w:ascii="Times New Roman" w:hAnsi="Times New Roman"/>
          <w:sz w:val="28"/>
          <w:szCs w:val="28"/>
        </w:rPr>
        <w:t>;</w:t>
      </w:r>
    </w:p>
    <w:p w:rsidR="00140D3E" w:rsidRPr="000F132D" w:rsidRDefault="00140D3E" w:rsidP="00252D56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 xml:space="preserve">Бригхем Ю., Гапенски Л. Финансовый менеджмент: Полный курс: В 2-х т. </w:t>
      </w:r>
      <w:r w:rsidR="004558FA" w:rsidRPr="000F132D">
        <w:rPr>
          <w:rFonts w:ascii="Times New Roman" w:hAnsi="Times New Roman"/>
          <w:sz w:val="28"/>
          <w:szCs w:val="28"/>
        </w:rPr>
        <w:t>;</w:t>
      </w:r>
      <w:r w:rsidRPr="000F132D">
        <w:rPr>
          <w:rFonts w:ascii="Times New Roman" w:hAnsi="Times New Roman"/>
          <w:sz w:val="28"/>
          <w:szCs w:val="28"/>
        </w:rPr>
        <w:t xml:space="preserve"> Пер. с англ. под ред. В.В.Ковалева. СПб.: Экономическая школа, 2004.-497 с.</w:t>
      </w:r>
      <w:r w:rsidR="004558FA" w:rsidRPr="000F132D">
        <w:rPr>
          <w:rFonts w:ascii="Times New Roman" w:hAnsi="Times New Roman"/>
          <w:sz w:val="28"/>
          <w:szCs w:val="28"/>
        </w:rPr>
        <w:t>;</w:t>
      </w:r>
    </w:p>
    <w:p w:rsidR="00140D3E" w:rsidRPr="000F132D" w:rsidRDefault="00140D3E" w:rsidP="00252D56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Ван Хорн, Джеймс, К., Вахович</w:t>
      </w:r>
      <w:r w:rsidR="000F132D">
        <w:rPr>
          <w:rFonts w:ascii="Times New Roman" w:hAnsi="Times New Roman"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</w:rPr>
        <w:t>Основы финансового менеджмента, 11-е издание.: Пер. с англ. – М.: Издательский дом «Вильямс», 2007, 992с.</w:t>
      </w:r>
      <w:r w:rsidR="004558FA" w:rsidRPr="000F132D">
        <w:rPr>
          <w:rFonts w:ascii="Times New Roman" w:hAnsi="Times New Roman"/>
          <w:sz w:val="28"/>
          <w:szCs w:val="28"/>
        </w:rPr>
        <w:t>;</w:t>
      </w:r>
    </w:p>
    <w:p w:rsidR="00140D3E" w:rsidRPr="000F132D" w:rsidRDefault="00140D3E" w:rsidP="00252D56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Коупленд Том, Коллер Тим, Мурин Джек. Стоимость компаний: оценка и управление / Пер. с англ. – М.: ЗАО «Олимп-Бизнес», 2007. – 576 с.</w:t>
      </w:r>
      <w:r w:rsidR="004558FA" w:rsidRPr="000F132D">
        <w:rPr>
          <w:rFonts w:ascii="Times New Roman" w:hAnsi="Times New Roman"/>
          <w:sz w:val="28"/>
          <w:szCs w:val="28"/>
        </w:rPr>
        <w:t>;</w:t>
      </w:r>
    </w:p>
    <w:p w:rsidR="00140D3E" w:rsidRPr="000F132D" w:rsidRDefault="00140D3E" w:rsidP="00252D56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Мазур И.И., Шапиро В.Д. Реструктуризация предприятий и компаний. – М.: Высшая школа, 2000. – 587</w:t>
      </w:r>
      <w:r w:rsidR="004558FA" w:rsidRPr="000F132D">
        <w:rPr>
          <w:rFonts w:ascii="Times New Roman" w:hAnsi="Times New Roman"/>
          <w:sz w:val="28"/>
          <w:szCs w:val="28"/>
        </w:rPr>
        <w:t>;</w:t>
      </w:r>
    </w:p>
    <w:p w:rsidR="00140D3E" w:rsidRPr="000F132D" w:rsidRDefault="00140D3E" w:rsidP="00252D56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Модильяни Ф, Миллер М. Сколько стоит фирма. Теорема ММ.: Пер. с англ.- М.:Дело, 2001. – 272 с.</w:t>
      </w:r>
      <w:r w:rsidR="004558FA" w:rsidRPr="000F132D">
        <w:rPr>
          <w:rFonts w:ascii="Times New Roman" w:hAnsi="Times New Roman"/>
          <w:sz w:val="28"/>
          <w:szCs w:val="28"/>
        </w:rPr>
        <w:t>;</w:t>
      </w:r>
    </w:p>
    <w:p w:rsidR="00140D3E" w:rsidRPr="000F132D" w:rsidRDefault="00140D3E" w:rsidP="00252D56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Оценка</w:t>
      </w:r>
      <w:r w:rsidR="000F132D">
        <w:rPr>
          <w:rFonts w:ascii="Times New Roman" w:hAnsi="Times New Roman"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</w:rPr>
        <w:t>бизнеса: Учебник/ Под ред А.Г.Грязновой, М.А.Федотовой. – М.: Финансы и статистикап, 2007, - 512 с.</w:t>
      </w:r>
      <w:r w:rsidR="004558FA" w:rsidRPr="000F132D">
        <w:rPr>
          <w:rFonts w:ascii="Times New Roman" w:hAnsi="Times New Roman"/>
          <w:sz w:val="28"/>
          <w:szCs w:val="28"/>
        </w:rPr>
        <w:t>;</w:t>
      </w:r>
    </w:p>
    <w:p w:rsidR="00140D3E" w:rsidRPr="000F132D" w:rsidRDefault="00140D3E" w:rsidP="00252D56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Скотт М. Факторы стоимости: Руководство для менеджеров по</w:t>
      </w:r>
      <w:r w:rsidR="000F132D">
        <w:rPr>
          <w:rFonts w:ascii="Times New Roman" w:hAnsi="Times New Roman"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</w:rPr>
        <w:t>выявлению рычагов</w:t>
      </w:r>
      <w:r w:rsidR="000F132D">
        <w:rPr>
          <w:rFonts w:ascii="Times New Roman" w:hAnsi="Times New Roman"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</w:rPr>
        <w:t>создания стоимости / Пер. с англ. – М.: ЗАО</w:t>
      </w:r>
      <w:r w:rsidR="000F132D">
        <w:rPr>
          <w:rFonts w:ascii="Times New Roman" w:hAnsi="Times New Roman"/>
          <w:sz w:val="28"/>
          <w:szCs w:val="28"/>
        </w:rPr>
        <w:t xml:space="preserve"> </w:t>
      </w:r>
      <w:r w:rsidRPr="000F132D">
        <w:rPr>
          <w:rFonts w:ascii="Times New Roman" w:hAnsi="Times New Roman"/>
          <w:sz w:val="28"/>
          <w:szCs w:val="28"/>
        </w:rPr>
        <w:t>«Олимп-Бизнес», 2000. – 432 с.</w:t>
      </w:r>
      <w:r w:rsidR="004558FA" w:rsidRPr="000F132D">
        <w:rPr>
          <w:rFonts w:ascii="Times New Roman" w:hAnsi="Times New Roman"/>
          <w:sz w:val="28"/>
          <w:szCs w:val="28"/>
        </w:rPr>
        <w:t>;</w:t>
      </w:r>
    </w:p>
    <w:p w:rsidR="004E4A3A" w:rsidRPr="000F132D" w:rsidRDefault="004E4A3A" w:rsidP="00252D56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Лимитовский М., Нуреев С. Эффективен ли российский рынок акций?// РЦБ. 2005. № 8;</w:t>
      </w:r>
    </w:p>
    <w:p w:rsidR="004E4A3A" w:rsidRPr="000F132D" w:rsidRDefault="004E4A3A" w:rsidP="00252D56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Моисеев С. Гипотеза эффективного рынка // Валютный спекулянт 2003. №10 с.28-31;</w:t>
      </w:r>
    </w:p>
    <w:p w:rsidR="004E4A3A" w:rsidRPr="000F132D" w:rsidRDefault="004E4A3A" w:rsidP="00252D56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Наливайский В. Ю., Иванченко И. С. Исследование степени эффективности российского фондового рынка//РЦБ. 2004. №15. c.46-48;</w:t>
      </w:r>
    </w:p>
    <w:p w:rsidR="004E4A3A" w:rsidRPr="000F132D" w:rsidRDefault="004E4A3A" w:rsidP="00252D56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132D">
        <w:rPr>
          <w:rFonts w:ascii="Times New Roman" w:hAnsi="Times New Roman"/>
          <w:sz w:val="28"/>
          <w:szCs w:val="28"/>
        </w:rPr>
        <w:t>http://www.cbonds.ru;</w:t>
      </w:r>
    </w:p>
    <w:p w:rsidR="00AA7B18" w:rsidRPr="00252D56" w:rsidRDefault="004E4A3A" w:rsidP="00252D56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1AC7">
        <w:rPr>
          <w:rFonts w:ascii="Times New Roman" w:hAnsi="Times New Roman"/>
          <w:sz w:val="28"/>
          <w:szCs w:val="28"/>
        </w:rPr>
        <w:t>http://www.fcsm.ru</w:t>
      </w:r>
      <w:bookmarkStart w:id="9" w:name="_GoBack"/>
      <w:bookmarkEnd w:id="9"/>
    </w:p>
    <w:sectPr w:rsidR="00AA7B18" w:rsidRPr="00252D56" w:rsidSect="000F132D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49" w:rsidRDefault="009F2F49">
      <w:r>
        <w:separator/>
      </w:r>
    </w:p>
  </w:endnote>
  <w:endnote w:type="continuationSeparator" w:id="0">
    <w:p w:rsidR="009F2F49" w:rsidRDefault="009F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49" w:rsidRDefault="009F2F49">
      <w:r>
        <w:separator/>
      </w:r>
    </w:p>
  </w:footnote>
  <w:footnote w:type="continuationSeparator" w:id="0">
    <w:p w:rsidR="009F2F49" w:rsidRDefault="009F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3580"/>
    <w:multiLevelType w:val="hybridMultilevel"/>
    <w:tmpl w:val="43A8D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C8472B"/>
    <w:multiLevelType w:val="hybridMultilevel"/>
    <w:tmpl w:val="1C38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FD5666"/>
    <w:multiLevelType w:val="hybridMultilevel"/>
    <w:tmpl w:val="9626A59C"/>
    <w:lvl w:ilvl="0" w:tplc="307A0E38">
      <w:start w:val="1"/>
      <w:numFmt w:val="bullet"/>
      <w:lvlText w:val="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3">
    <w:nsid w:val="27E70F92"/>
    <w:multiLevelType w:val="hybridMultilevel"/>
    <w:tmpl w:val="7FF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AF6810"/>
    <w:multiLevelType w:val="hybridMultilevel"/>
    <w:tmpl w:val="8D6AA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DF3E6C"/>
    <w:multiLevelType w:val="hybridMultilevel"/>
    <w:tmpl w:val="F15E6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9E7D87"/>
    <w:multiLevelType w:val="hybridMultilevel"/>
    <w:tmpl w:val="DC80D0C2"/>
    <w:lvl w:ilvl="0" w:tplc="307A0E38">
      <w:start w:val="1"/>
      <w:numFmt w:val="bullet"/>
      <w:lvlText w:val="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B18"/>
    <w:rsid w:val="00003CE9"/>
    <w:rsid w:val="000743E3"/>
    <w:rsid w:val="000E5B02"/>
    <w:rsid w:val="000F132D"/>
    <w:rsid w:val="00133BC4"/>
    <w:rsid w:val="00140D3E"/>
    <w:rsid w:val="00252D56"/>
    <w:rsid w:val="002A122D"/>
    <w:rsid w:val="002D1E6C"/>
    <w:rsid w:val="00306477"/>
    <w:rsid w:val="003335B5"/>
    <w:rsid w:val="00433EDC"/>
    <w:rsid w:val="004558FA"/>
    <w:rsid w:val="004E4A3A"/>
    <w:rsid w:val="00566AAE"/>
    <w:rsid w:val="00634CF3"/>
    <w:rsid w:val="00695A0D"/>
    <w:rsid w:val="006B6CE4"/>
    <w:rsid w:val="006C5AC1"/>
    <w:rsid w:val="007579E5"/>
    <w:rsid w:val="00770611"/>
    <w:rsid w:val="007B1AC7"/>
    <w:rsid w:val="007B2905"/>
    <w:rsid w:val="00805489"/>
    <w:rsid w:val="00887F09"/>
    <w:rsid w:val="008A096D"/>
    <w:rsid w:val="00914A28"/>
    <w:rsid w:val="0092080C"/>
    <w:rsid w:val="00923E52"/>
    <w:rsid w:val="00963214"/>
    <w:rsid w:val="0098008D"/>
    <w:rsid w:val="009B235F"/>
    <w:rsid w:val="009C3101"/>
    <w:rsid w:val="009F2F49"/>
    <w:rsid w:val="00A053AB"/>
    <w:rsid w:val="00A622D1"/>
    <w:rsid w:val="00A65A28"/>
    <w:rsid w:val="00AA7B18"/>
    <w:rsid w:val="00B04C92"/>
    <w:rsid w:val="00BB6EFD"/>
    <w:rsid w:val="00C118DE"/>
    <w:rsid w:val="00CE7CF7"/>
    <w:rsid w:val="00DD33F1"/>
    <w:rsid w:val="00E96E98"/>
    <w:rsid w:val="00EB651F"/>
    <w:rsid w:val="00F17D4F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163089-FD53-4871-BA15-F9F99F3F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1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D1E6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Отступ"/>
    <w:basedOn w:val="11"/>
    <w:rsid w:val="00AA7B18"/>
    <w:pPr>
      <w:spacing w:before="119"/>
    </w:pPr>
    <w:rPr>
      <w:color w:val="auto"/>
    </w:rPr>
  </w:style>
  <w:style w:type="paragraph" w:customStyle="1" w:styleId="11">
    <w:name w:val="Стиль1"/>
    <w:rsid w:val="00AA7B18"/>
    <w:pPr>
      <w:autoSpaceDE w:val="0"/>
      <w:autoSpaceDN w:val="0"/>
      <w:adjustRightInd w:val="0"/>
      <w:ind w:firstLine="198"/>
      <w:jc w:val="both"/>
    </w:pPr>
    <w:rPr>
      <w:color w:val="000000"/>
      <w:sz w:val="21"/>
      <w:szCs w:val="21"/>
    </w:rPr>
  </w:style>
  <w:style w:type="character" w:styleId="a4">
    <w:name w:val="Strong"/>
    <w:uiPriority w:val="22"/>
    <w:qFormat/>
    <w:rsid w:val="00AA7B18"/>
    <w:rPr>
      <w:rFonts w:cs="Times New Roman"/>
      <w:b/>
      <w:bCs/>
    </w:rPr>
  </w:style>
  <w:style w:type="character" w:styleId="a5">
    <w:name w:val="Hyperlink"/>
    <w:uiPriority w:val="99"/>
    <w:rsid w:val="00AA7B18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AA7B18"/>
    <w:pPr>
      <w:spacing w:after="167" w:line="240" w:lineRule="auto"/>
    </w:pPr>
    <w:rPr>
      <w:rFonts w:ascii="Verdana" w:hAnsi="Verdana"/>
      <w:color w:val="000000"/>
      <w:sz w:val="18"/>
      <w:szCs w:val="18"/>
    </w:rPr>
  </w:style>
  <w:style w:type="paragraph" w:styleId="a7">
    <w:name w:val="header"/>
    <w:basedOn w:val="a"/>
    <w:link w:val="a8"/>
    <w:uiPriority w:val="99"/>
    <w:rsid w:val="00AA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AA7B18"/>
    <w:rPr>
      <w:rFonts w:ascii="Calibri" w:hAnsi="Calibri" w:cs="Times New Roman"/>
      <w:sz w:val="22"/>
      <w:szCs w:val="22"/>
      <w:lang w:val="ru-RU" w:eastAsia="ru-RU" w:bidi="ar-SA"/>
    </w:rPr>
  </w:style>
  <w:style w:type="character" w:styleId="a9">
    <w:name w:val="Emphasis"/>
    <w:uiPriority w:val="20"/>
    <w:qFormat/>
    <w:rsid w:val="00AA7B18"/>
    <w:rPr>
      <w:rFonts w:cs="Times New Roman"/>
      <w:b/>
      <w:bCs/>
    </w:rPr>
  </w:style>
  <w:style w:type="paragraph" w:customStyle="1" w:styleId="western">
    <w:name w:val="western"/>
    <w:basedOn w:val="a"/>
    <w:rsid w:val="00887F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2D1E6C"/>
    <w:pPr>
      <w:spacing w:after="0" w:line="360" w:lineRule="auto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c">
    <w:name w:val="Table Grid"/>
    <w:basedOn w:val="a1"/>
    <w:uiPriority w:val="59"/>
    <w:rsid w:val="002D1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0F13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0F132D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admin</cp:lastModifiedBy>
  <cp:revision>2</cp:revision>
  <dcterms:created xsi:type="dcterms:W3CDTF">2014-03-12T18:58:00Z</dcterms:created>
  <dcterms:modified xsi:type="dcterms:W3CDTF">2014-03-12T18:58:00Z</dcterms:modified>
</cp:coreProperties>
</file>