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B2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5A5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5A5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5A5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5A5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15A5" w:rsidRPr="00451FD0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50B2" w:rsidRPr="00451FD0" w:rsidRDefault="00FE50B2" w:rsidP="007215A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451FD0">
        <w:rPr>
          <w:rFonts w:ascii="Times New Roman" w:hAnsi="Times New Roman" w:cs="Times New Roman"/>
          <w:b/>
          <w:bCs/>
          <w:color w:val="000000"/>
          <w:sz w:val="28"/>
          <w:szCs w:val="32"/>
        </w:rPr>
        <w:t>КОНТРОЛЬНАЯ РАБОТА</w:t>
      </w:r>
    </w:p>
    <w:p w:rsidR="00FE50B2" w:rsidRPr="00451FD0" w:rsidRDefault="00FE50B2" w:rsidP="007215A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51F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32"/>
        </w:rPr>
        <w:t>На тему:</w:t>
      </w:r>
      <w:r w:rsidRPr="00451FD0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="007215A5">
        <w:rPr>
          <w:rFonts w:ascii="Times New Roman" w:hAnsi="Times New Roman" w:cs="Times New Roman"/>
          <w:b/>
          <w:bCs/>
          <w:color w:val="000000"/>
          <w:sz w:val="28"/>
          <w:szCs w:val="32"/>
        </w:rPr>
        <w:t>"</w:t>
      </w:r>
      <w:r w:rsidR="00A438E5" w:rsidRPr="00451FD0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Охрана и </w:t>
      </w:r>
      <w:r w:rsidRPr="00451FD0">
        <w:rPr>
          <w:rFonts w:ascii="Times New Roman" w:hAnsi="Times New Roman" w:cs="Times New Roman"/>
          <w:b/>
          <w:bCs/>
          <w:color w:val="000000"/>
          <w:sz w:val="28"/>
          <w:szCs w:val="32"/>
        </w:rPr>
        <w:t>р</w:t>
      </w:r>
      <w:r w:rsidR="00A438E5" w:rsidRPr="00451FD0">
        <w:rPr>
          <w:rFonts w:ascii="Times New Roman" w:hAnsi="Times New Roman" w:cs="Times New Roman"/>
          <w:b/>
          <w:bCs/>
          <w:color w:val="000000"/>
          <w:sz w:val="28"/>
          <w:szCs w:val="32"/>
        </w:rPr>
        <w:t>ациональное использование лесов</w:t>
      </w:r>
      <w:r w:rsidR="007215A5">
        <w:rPr>
          <w:rFonts w:ascii="Times New Roman" w:hAnsi="Times New Roman" w:cs="Times New Roman"/>
          <w:b/>
          <w:bCs/>
          <w:color w:val="000000"/>
          <w:sz w:val="28"/>
          <w:szCs w:val="32"/>
        </w:rPr>
        <w:t>"</w:t>
      </w: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4364C9" w:rsidRPr="00451FD0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="004364C9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4364C9" w:rsidRPr="00451FD0" w:rsidRDefault="004364C9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64C9" w:rsidRPr="007215A5" w:rsidRDefault="004364C9" w:rsidP="007215A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Введение</w:t>
      </w:r>
    </w:p>
    <w:p w:rsidR="00BA6D1E" w:rsidRPr="007215A5" w:rsidRDefault="007215A5" w:rsidP="007215A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A6D1E"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. Понятие леса и земельных участков</w:t>
      </w:r>
    </w:p>
    <w:p w:rsidR="000057C8" w:rsidRPr="007215A5" w:rsidRDefault="007215A5" w:rsidP="007215A5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6386B"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. Правовое регулирование о</w:t>
      </w:r>
      <w:r w:rsidR="000057C8"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бъектов лесопользования</w:t>
      </w:r>
    </w:p>
    <w:p w:rsidR="00BA6D1E" w:rsidRPr="007215A5" w:rsidRDefault="007215A5" w:rsidP="007215A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BA6D1E"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. Охрана и защита лесов</w:t>
      </w:r>
    </w:p>
    <w:p w:rsidR="004364C9" w:rsidRPr="007215A5" w:rsidRDefault="004364C9" w:rsidP="007215A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Заключение</w:t>
      </w:r>
    </w:p>
    <w:p w:rsidR="00BA6D1E" w:rsidRPr="007215A5" w:rsidRDefault="00BA6D1E" w:rsidP="007215A5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5A5">
        <w:rPr>
          <w:rFonts w:ascii="Times New Roman" w:hAnsi="Times New Roman" w:cs="Times New Roman"/>
          <w:bCs/>
          <w:color w:val="000000"/>
          <w:sz w:val="28"/>
          <w:szCs w:val="28"/>
        </w:rPr>
        <w:t>Список используемой литературы</w:t>
      </w:r>
    </w:p>
    <w:p w:rsidR="00FE50B2" w:rsidRPr="00451FD0" w:rsidRDefault="00FE50B2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0C12" w:rsidRPr="00451FD0" w:rsidRDefault="00610C12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0553" w:rsidRPr="00451FD0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51FD0">
        <w:rPr>
          <w:rFonts w:ascii="Times New Roman" w:hAnsi="Times New Roman" w:cs="Times New Roman"/>
          <w:b/>
          <w:bCs/>
          <w:color w:val="000000"/>
          <w:sz w:val="28"/>
        </w:rPr>
        <w:t>Введение</w:t>
      </w:r>
    </w:p>
    <w:p w:rsidR="0065778C" w:rsidRPr="00451FD0" w:rsidRDefault="0065778C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 право – предмет имеет комплексный многослойный характер и включает:</w:t>
      </w:r>
    </w:p>
    <w:p w:rsid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1) собственно природоохранное право (нормы федеральных законов об охране окружающей среды, об экологической экспертизе, о радиационной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безопасности населения, об отходах производства и потребления и др.);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2) природоресурсное право (Земельный, Водный, Лесной кодексы РФ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3) экологизированные нормы других отраслей права (гл. 26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кологические преступления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УК РФ, ст. 8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дминистративные правонарушения в области охраны окружающей среды и природопользования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КоАП РФ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общества за период своего существования воздействовало на окружающую природную среду, преобразовывало ее. Нежелательные последствия для природы, а также для человека потребовали развития определенного спектра знаний, направленных на изучение вопросов восстановления, сохранения, рационального использования и охраны окружающей природной среды, закономерностей обеспечения природных условий жизни человека и др. Термин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кология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возник в конце XIX в. Впервые в научную терминологию слово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кология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было введено немецким ученым-биологом Геккелем в 1886 г. и имело сферу своего применения только в рамках науки биологии. Слово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кология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в переводе с греческого означает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аука о доме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(oikos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дом, жилище, logos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учение).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Сначала экология развивалась как часть биологии.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узком смысле экология (биоэкология)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одна из биологических наук, изучающая отношения организмов (особей, популяций, сообществ) между собой и окружающей средой. Предметом изучения биоэкологии (общей экологии) являются объекты организменного, популяционно-видового, биоценотического и биосферного уровней организации в их взаимодействии с окружающей средой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широком смысле экология (глобальная экология)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комплексная (междисциплинарная) наука, синтезирующая данные естественных и общественных наук о природе и взаимодействии природы и общества. Задачи глобальной экологии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изучение законов взаимодействия природы и общества и оптимизация этого взаимодействия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1"/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2FB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Так или иначе любые общественные отношения должны осуществляться посредством правового регулирования. И сегодня экологическое право является самостоятельной юридической дисциплиной, одной из отраслей права, прошедшей свой этап формирования и развития. Экологическое право можно определить как совокупность правовых норм, регулирующих общественные (экологические) отношения в сфере взаимодействия общества и природы в интересах сохранения и рационального использования окружающей природной среды для настоящих и будущих поколений</w:t>
      </w:r>
      <w:r w:rsidR="00DE62FB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62FB"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2"/>
      </w:r>
      <w:r w:rsidR="00DE62FB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Предметом экологического права являются общественные отношения в области взаимодействия общества и окружающей среды. Данные общественные отношения, таким образом, и сам предмет экологического права делятся на три составные части:</w:t>
      </w:r>
    </w:p>
    <w:p w:rsidR="005F3852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1) природоохранное право (или природоохранительное право),</w:t>
      </w:r>
    </w:p>
    <w:p w:rsidR="005F3852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2) природоресурсное право,</w:t>
      </w:r>
    </w:p>
    <w:p w:rsidR="00551C23" w:rsidRPr="00451FD0" w:rsidRDefault="00551C2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3) нормы других самостоятельных отраслей права,</w:t>
      </w:r>
      <w:r w:rsidR="005F3852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нормы административного права, уголовного права, нормы международного права).</w:t>
      </w:r>
    </w:p>
    <w:p w:rsidR="004D3937" w:rsidRPr="00451FD0" w:rsidRDefault="007C0BC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Леса покрывают свыше 3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суши Земли. В Российской Федерации земли, покрытые лесной растительностью, занимают около 800 млн. га. Вопросами охраны растительного мира занимается не только внутригосударственное законодательство, но и международное. По официальным данным, за последние 50 лет планета Земля уже потеряла половину своего лесного массива. Но одних норм законодательства для сохранения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егких планеты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недостаточно. Следует активно развивать экологическое воспитание и образование населения. А приоритеты хозяйственной деятельности и охраны окружающей среды должны быть соотнесены без ущерба богатству народного достояния и доведены до сознания каждого, и в первую очередь лиц, осуществляющих эксплуатацию природных ресурсов в любых формах и для любых целей. На сегодня именно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сознанное знание неправомерности собственных действий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без желания их прекращения, сопровождающееся превышением собственных потребностей, является причиной экологического бедствия.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Объем промышленного прироста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древесины составляет около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700 млн куб. метров в год, то утвержденная лесосека в лесах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500 млн куб. метров, а заготавливается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лишь 120 млн куб. метров,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менее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25 процентов.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объясняется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не столько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слабым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правовым регулированием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заготовки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древесины,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неравномерным расположением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лесистых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неразвитостью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лесной инфраструктуры.</w:t>
      </w:r>
    </w:p>
    <w:p w:rsidR="00451FD0" w:rsidRDefault="009D13C9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8 ноября 2006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. Государственной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Думой РФ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AC4133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. Советом Федерации РФ одобрен, 4 декабря 2006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Президентом РФ подписан и 8 декабря в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оссийской газете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официально опубликован текст Лесного кодекса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(ЛК РФ),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заменившего собой Лесной кодекс РФ 1997 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Новый к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одекс вступил в действие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1 января 2007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D3937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045" w:rsidRPr="00451FD0" w:rsidRDefault="002C1045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045" w:rsidRPr="00451FD0" w:rsidRDefault="002C1045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C1045" w:rsidRPr="00451FD0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Pr="007215A5">
        <w:rPr>
          <w:rFonts w:ascii="Times New Roman" w:hAnsi="Times New Roman" w:cs="Times New Roman"/>
          <w:b/>
          <w:color w:val="000000"/>
          <w:sz w:val="28"/>
        </w:rPr>
        <w:t>1</w:t>
      </w:r>
      <w:r w:rsidR="002C1045" w:rsidRPr="0072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C1045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Понятие леса и земель</w:t>
      </w:r>
      <w:r w:rsidR="005F3852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участков</w:t>
      </w:r>
    </w:p>
    <w:p w:rsidR="007215A5" w:rsidRDefault="007215A5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6CA" w:rsidRPr="00451FD0" w:rsidRDefault="002C66CA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Леса обладают средообразующими, водоохранными, защитными, санитарно-гигиеническими, оздоровительными и иными полезными природными свойствами. Так, леса создают почву, смягчают климат, предотвращают наводнения, сохраняют влагу, противодействуя засухам, уменьшают эрозионное воздействие дождей, удерживают почву на склонах и предохраняют реки и морские побережья от заиления. Кроме того, особо следует подчеркнуть экономическое значение леса и иной растительности для удовлетворения потребностей человека.</w:t>
      </w:r>
    </w:p>
    <w:p w:rsidR="002C66CA" w:rsidRPr="00451FD0" w:rsidRDefault="002C66CA" w:rsidP="00451F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55198B" w:rsidRPr="00451FD0">
        <w:rPr>
          <w:rFonts w:ascii="Times New Roman" w:hAnsi="Times New Roman" w:cs="Times New Roman"/>
          <w:color w:val="000000"/>
          <w:sz w:val="28"/>
          <w:szCs w:val="28"/>
        </w:rPr>
        <w:t>о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5198B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Лесного кодекса РФ (ЛК РФ) понятие леса это использование, охрана, защита, воспроизводство лесов осуществляются исходя из понятия о лесе как об экологической системе или как о природном ресурсе.</w:t>
      </w:r>
    </w:p>
    <w:p w:rsidR="00A431DB" w:rsidRPr="00451FD0" w:rsidRDefault="002C66CA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="00A431DB" w:rsidRPr="00451FD0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, что лес</w:t>
      </w:r>
      <w:r w:rsidR="00A431DB" w:rsidRPr="00451F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со ст. 130 Гражданского кодекса Российской Федерации, </w:t>
      </w:r>
      <w:r w:rsidR="008F566B" w:rsidRPr="00451FD0">
        <w:rPr>
          <w:rFonts w:ascii="Times New Roman" w:hAnsi="Times New Roman" w:cs="Times New Roman"/>
          <w:color w:val="000000"/>
          <w:sz w:val="28"/>
          <w:szCs w:val="28"/>
        </w:rPr>
        <w:t>привяз</w:t>
      </w:r>
      <w:r w:rsidR="00A431DB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аны </w:t>
      </w:r>
      <w:r w:rsidR="008F566B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к земельным участкам, на которых они расположены, и </w:t>
      </w:r>
      <w:r w:rsidR="00A431DB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на них </w:t>
      </w:r>
      <w:r w:rsidR="008F566B" w:rsidRPr="00451FD0">
        <w:rPr>
          <w:rFonts w:ascii="Times New Roman" w:hAnsi="Times New Roman" w:cs="Times New Roman"/>
          <w:color w:val="000000"/>
          <w:sz w:val="28"/>
          <w:szCs w:val="28"/>
        </w:rPr>
        <w:t>распростран</w:t>
      </w:r>
      <w:r w:rsidR="00A431DB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яется </w:t>
      </w:r>
      <w:r w:rsidR="008F566B" w:rsidRPr="00451FD0">
        <w:rPr>
          <w:rFonts w:ascii="Times New Roman" w:hAnsi="Times New Roman" w:cs="Times New Roman"/>
          <w:color w:val="000000"/>
          <w:sz w:val="28"/>
          <w:szCs w:val="28"/>
        </w:rPr>
        <w:t>режим земель лесного фонда</w:t>
      </w:r>
      <w:r w:rsidR="00A431DB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FD0" w:rsidRDefault="00EF0AB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Предлагаемое в Федеральном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законе понятие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не противоречит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давнему научному и правовому представлению о лесе как единстве земли, лесной растительности,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животного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компонентов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окружающей природной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среды,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важное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социальное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экономическое значение.</w:t>
      </w:r>
    </w:p>
    <w:p w:rsidR="00EF0AB8" w:rsidRPr="00451FD0" w:rsidRDefault="00EF0AB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C31BC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б охране окружающей среды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предусматриваются: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естественная экологическая система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объективно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существующая часть природной среды, которая имеет пространственно-территориальные границы и в которой живые (растения, животные и другие организмы)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 неживые ее элементы взаимодействуют как единое функциональное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целое и связаны между собой обменом веществ и энергией;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компоненты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природной среды,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природные объекты и природно-антропогенные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объекты, которые используются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или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при осуществлении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иной деятельности в качестве источников энергии, продуктов производства и предметов потребления и имеют потребительскую ценность;</w:t>
      </w:r>
    </w:p>
    <w:p w:rsidR="00EF0AB8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природная среда, природа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компонентов природной среды, природных и природно-антропогенных объектов. </w:t>
      </w:r>
      <w:r w:rsidR="00E9447C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Лес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47C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это совокупность земли, древесной, кустарниковой и травянистой растительности, животных, микроорганизмов и других компонентов окружающей природной среды, биологически взаимосвязанных и влияющих друг на друга в своём развитии. Таким образом,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понимание леса как природного объекта подчеркивает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неразрывную не только биологическую,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 правовую связь с земельным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участком, оборот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регулироваться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земельным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AB8" w:rsidRPr="00451FD0">
        <w:rPr>
          <w:rFonts w:ascii="Times New Roman" w:hAnsi="Times New Roman" w:cs="Times New Roman"/>
          <w:color w:val="000000"/>
          <w:sz w:val="28"/>
          <w:szCs w:val="28"/>
        </w:rPr>
        <w:t>гражданским законодательством.</w:t>
      </w:r>
    </w:p>
    <w:p w:rsidR="00451FD0" w:rsidRDefault="002E1F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Исходя из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ЛК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РФ объектами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лесных отношений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можно считать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леса, земли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фонда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категорий, на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которых расположены леса, лесные участки, и права пользования ими.</w:t>
      </w:r>
    </w:p>
    <w:p w:rsidR="00451FD0" w:rsidRDefault="002E1F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статье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ЛК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РФ закреплен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приоритета регулирования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области использования, охраны,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защиты и воспроизводства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лесов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основного предмета лесного законодательства.</w:t>
      </w:r>
    </w:p>
    <w:p w:rsidR="008E59B6" w:rsidRPr="00451FD0" w:rsidRDefault="008E59B6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Лесном кодексе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РФ осуществляется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привязка лесов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 землям,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 которых они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расположены,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 отличие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 лесного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законодательства предыдущих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лесов осуществляется в зависимости от целевого назначения, использования и охраны этих земель, которые в соответствии с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рассматривались как часть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природы, природный ресурс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одновременно как недвижимое имущество, объект права собственности и иных прав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 землю.</w:t>
      </w:r>
    </w:p>
    <w:p w:rsidR="008E59B6" w:rsidRP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 подразделяют на категории по их целевому назначению:</w:t>
      </w:r>
    </w:p>
    <w:p w:rsidR="00B92D1E" w:rsidRP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1. Земли сельскохозяйственного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назначения.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земли, находящиеся за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границами населенного пункта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предоставленные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 нужд сельского хозяйства, а также предназначенные для этих целей</w:t>
      </w:r>
      <w:r w:rsidR="008815AF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1FD0">
        <w:rPr>
          <w:rFonts w:ascii="Times New Roman" w:hAnsi="Times New Roman" w:cs="Times New Roman"/>
          <w:color w:val="000000"/>
          <w:sz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 составе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выделяются сельскохозяйственные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угодья,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занятые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внутрихозяйственными дорогами, коммуникациями, лесными насаждениями, предназначенными для обеспечения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негативных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(вредных) природных, антропогенных и техногенных явлений, водными объектами, а также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зданиями,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строениями,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сооружениями,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используемыми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 производства, хранения и первичной переработки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сельскохозяйственной продукции.</w:t>
      </w:r>
    </w:p>
    <w:p w:rsidR="00B92D1E" w:rsidRP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2. Земли населенных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пунктов. Это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предназначенные для застройки и развития населенных пунктов.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городских,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населенных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отделяют земли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населенных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категорий.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Границы городских, сельских населенных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пунктов не могут пересекать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границы муниципальных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образований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выходить за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границы,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также пересекать границы земельных участков, предоставленных гражданам или юридическим лицам.</w:t>
      </w:r>
    </w:p>
    <w:p w:rsidR="00B92D1E" w:rsidRP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3. Земли промышленности, энергетики, транспорта, связи, радиовещания, телевидения, информатики,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землями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космической деятельности,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землями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обороны,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землями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иного специального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назначения признаются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которые расположены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 границами населенных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пунктов и используются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или предназначены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 обеспечения деятельности организаций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(или) эксплуатации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объектов промышленности,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энергетики,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связи,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радиовещания, телевидения,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информатики,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космической деятельности, объектов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обороны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безопасности, осуществления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иных специальных задач и права на которые возникли у участников земельных отношений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Кодексом, федеральными законами и законами субъектов Российской Федерации.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 промышленности и иного специального назначения в соответствии</w:t>
      </w:r>
      <w:r w:rsidR="004C747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 статьей 7 настоящего Кодекса составляют самостоятельную категорию</w:t>
      </w:r>
      <w:r w:rsidR="004C747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 Российской Федерации.</w:t>
      </w:r>
      <w:r w:rsidR="004C747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промышленности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специального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C747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зависимости от характера специальных задач, для решения которых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4C747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используются или предназначены, подразделяются на: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1) земли промышленности;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2) земли энергетики;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3) земли транспорта;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4) земли связи, радиовещания, телевидения, информатики;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5) земли для обеспечения космической деятельности;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6) земли обороны и безопасности;</w:t>
      </w:r>
    </w:p>
    <w:p w:rsidR="00451FD0" w:rsidRDefault="00B92D1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7) земли иного специального назначения.</w:t>
      </w:r>
    </w:p>
    <w:p w:rsidR="00671B44" w:rsidRPr="00451FD0" w:rsidRDefault="00671B4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Эти земли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ведении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власти соответствующего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поселения,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 осуществляется с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правового режима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его соблюдением, установленных для земель поселений (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5 ЗК РФ).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еще одно важное положение: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использование названных земель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 условиях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аренды или земельного сервитута.</w:t>
      </w:r>
    </w:p>
    <w:p w:rsidR="00B92D1E" w:rsidRPr="00451FD0" w:rsidRDefault="00671B4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Назначение этих земель весьма разнообразно. Безусловно,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из множественности целей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вытекает разнообразие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правового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сложной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земель. Субъектами права первичного землепользования здесь могут быть только организации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предприятия.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Землепользование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(огороды, служебные земельные наделы), а также посторонних организаций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всегда вторично,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участки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отводят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первичные землепользователи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Кодекса).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Первичные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пользователи государственной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землей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вторичных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(срочных) пользователей своеобразными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администраторами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(в части отвода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земельных участков, контроля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 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). Земельные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участки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случаях предоставляются безвозмездно.</w:t>
      </w:r>
    </w:p>
    <w:p w:rsidR="00451FD0" w:rsidRDefault="00671B4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Земли особо охраняемых территорий. К ним относятся земли, которые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имеют особое природоохранное, научное, историко-культурное,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эстетическое, рекреационное,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оздоровительное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иное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ценное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значение,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которые изъяты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 или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решениями органов местного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самоуправления полностью или частично из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хозяйственного использования и оборота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F8" w:rsidRPr="00451FD0">
        <w:rPr>
          <w:rFonts w:ascii="Times New Roman" w:hAnsi="Times New Roman" w:cs="Times New Roman"/>
          <w:color w:val="000000"/>
          <w:sz w:val="28"/>
          <w:szCs w:val="28"/>
        </w:rPr>
        <w:t>и для которых установлен особый правовой режим.</w:t>
      </w:r>
    </w:p>
    <w:p w:rsid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К землям особо охраняемых территорий относятся земли:</w:t>
      </w:r>
    </w:p>
    <w:p w:rsidR="00AD3AF8" w:rsidRP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1) особо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природных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числе</w:t>
      </w:r>
    </w:p>
    <w:p w:rsid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лечебно-оздоровительных местностей и курортов;</w:t>
      </w:r>
    </w:p>
    <w:p w:rsid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2) природоохранного назначения;</w:t>
      </w:r>
    </w:p>
    <w:p w:rsid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3) рекреационного назначения;</w:t>
      </w:r>
    </w:p>
    <w:p w:rsid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4) историко-культурного назначения;</w:t>
      </w:r>
    </w:p>
    <w:p w:rsidR="00AD3AF8" w:rsidRP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5) иные особо ценные земли в соответствии с настоящим Кодексом,</w:t>
      </w:r>
    </w:p>
    <w:p w:rsidR="00451FD0" w:rsidRDefault="00AD3AF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законами.</w:t>
      </w:r>
    </w:p>
    <w:p w:rsidR="00671B44" w:rsidRPr="00451FD0" w:rsidRDefault="0021564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 особо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могут быть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видов: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федерального; субъектов РФ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местного значения.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Объявление территорий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охраняемыми,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изъятие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земельных участков, установление на них особого режима использования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охраны осуществляются соответствующими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органами исполнительной власти: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(Правительством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РФ);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(правительствами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(администрациями)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республик,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краев,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областей, автономных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округов,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автономной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городов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значения); органами местного самоуправления.</w:t>
      </w:r>
    </w:p>
    <w:p w:rsidR="00C31BC1" w:rsidRPr="00451FD0" w:rsidRDefault="00107AC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Специфические черты,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присущие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особо охраняемых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территорий,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обусловливают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дифференцированный</w:t>
      </w:r>
      <w:r w:rsidR="00C31BC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правовой режим, определяемый 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общем виде в статьях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комментируемой</w:t>
      </w:r>
      <w:r w:rsidR="00C31BC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главы, более подробно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 соответствующих нормативных актах 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C31BC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особо охраняемых территорий, а применительно к конкретной территории</w:t>
      </w:r>
      <w:r w:rsidR="00C31BC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</w:p>
    <w:p w:rsidR="00B92D1E" w:rsidRPr="00451FD0" w:rsidRDefault="00107AC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постановлении органа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 об объявлении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C31BC1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территории особо охраняемой</w:t>
      </w:r>
      <w:r w:rsidR="00C31BC1"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3"/>
      </w:r>
    </w:p>
    <w:p w:rsidR="00B92D1E" w:rsidRPr="00451FD0" w:rsidRDefault="006D567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5. К землям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относятся лесные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(земли,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покрытые лесной растительностью и не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покрытые ею, но предназначенные для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ее восстановления,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вырубки,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гари,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редины,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прогалины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другие)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предназначенные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нелесные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земли (просеки, дороги, болота и другие).</w:t>
      </w:r>
    </w:p>
    <w:p w:rsidR="006D5670" w:rsidRPr="00451FD0" w:rsidRDefault="006D567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045" w:rsidRPr="00451FD0" w:rsidRDefault="00084986" w:rsidP="00451FD0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C1045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Правовое регулирование объектов лесопользования</w:t>
      </w:r>
    </w:p>
    <w:p w:rsidR="00084986" w:rsidRDefault="00084986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3008"/>
    </w:p>
    <w:p w:rsid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Согласно подп.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п. 1 ст. 72 Конституции РФ лесное законодательство находится в совместном ведении РФ и субъектов РФ. Согласно ст. 48 ЛК РФ полномочия органов государственной власти РФ и органов государственной власти субъектов РФ в области использования, охраны, защиты лесного фонда и воспроизводства лесов устанавливаются Лесным кодексом РФ, а также заключенными в соответствии с Конституцией РФ договорами о разграничении предметов ведения и полномочий между органами государственной власти РФ и органами государственной власти субъектов РФ.</w:t>
      </w:r>
      <w:bookmarkStart w:id="1" w:name="sub_13009"/>
      <w:bookmarkEnd w:id="0"/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Особая взаимосвязь существует между лесным и земельным законодательством. Лес произрастает на участках лесного фонда. Земли лесного фонда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это категория земель, а сам лес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совокупность земли, растительности и других компонентов.</w:t>
      </w:r>
    </w:p>
    <w:bookmarkEnd w:id="1"/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Для полного представления о соотношении норм лесного и земельного законодательства следует остановиться на ст. 3 Земельного кодекса Российской Федерации и ст. </w:t>
      </w:r>
      <w:r w:rsidR="007D4871" w:rsidRPr="00451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Лесного кодекса Российской Федерации.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Земельное 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К отношениям по использованию и охране лесов применяются лесное законодательство, специальные федеральные законы. К земельным отношениям нормы лесного законодательства применяются, если эти отношения не урегулированы земельным законодательством.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 законодательством, если иное не предусмотрено земельным, лесным, водным законодательством, законодательством о недрах, об охране окружающей среды, специальными федеральными законами.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Отношения в области использования и охраны земель лесного фонда регулируются лесным и земельным законодательством.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 регулировании земельных отношений применяется принцип разграничения действия норм гражданского законодательства и норм земельного законодательства в части регулирования отношений по использованию земель, а также принцип государственного регулирования приватизации земли.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Объектами лесных отношений являются:</w:t>
      </w:r>
    </w:p>
    <w:p w:rsidR="007D4871" w:rsidRPr="00451FD0" w:rsidRDefault="007D4871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емля как природный объект и природный ресурс;</w:t>
      </w:r>
    </w:p>
    <w:p w:rsidR="007D4871" w:rsidRPr="00451FD0" w:rsidRDefault="007D4871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2) земельные участки;</w:t>
      </w:r>
    </w:p>
    <w:p w:rsidR="007D4871" w:rsidRPr="00451FD0" w:rsidRDefault="007D4871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3) части земельных участков.</w:t>
      </w:r>
    </w:p>
    <w:p w:rsidR="005638C6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Понятие участка лесного фонда введено для того, чтобы подчеркнуть единство в правовом регулировании как земель лесного фонда, так и лесов, на них произрастающих.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Норма ст. 7 Лесного кодекса РФ продолжает привязку лесов к землям, на которых они расположены, и концепцию использования и охраны лесов в соответствии с целевым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назначением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категориями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земель, 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правовым режимом использования и охраны лесов и земель лесного фонда. Границы лесных участков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определяются в соответствии с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 января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2000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земельном кадастре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и от 18 июня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землеустройстве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0D06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8C6" w:rsidRPr="00451FD0">
        <w:rPr>
          <w:rFonts w:ascii="Times New Roman" w:hAnsi="Times New Roman" w:cs="Times New Roman"/>
          <w:color w:val="000000"/>
          <w:sz w:val="28"/>
          <w:szCs w:val="28"/>
        </w:rPr>
        <w:t>Государственный земельный кадастр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8C6" w:rsidRPr="00451FD0">
        <w:rPr>
          <w:rFonts w:ascii="Times New Roman" w:hAnsi="Times New Roman" w:cs="Times New Roman"/>
          <w:color w:val="000000"/>
          <w:sz w:val="28"/>
          <w:szCs w:val="28"/>
        </w:rPr>
        <w:t>этот систематизированный свод документированных сведений, получаемых в результате проведения государственного кадастрового учета земельных участков, о местоположении,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объектов.</w:t>
      </w:r>
    </w:p>
    <w:p w:rsid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Обратим внимание на то, что согласно ст. 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Лесного кодекса РФ по договору аренды лесопользователю (арендатору) предоставляется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лесной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участок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. Договор аренды является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в мире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способом осуществления права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пользования лесами.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При сдаче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лесов 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аренду ключевыми вопросами становятся: порядок сдачи лесов в аренду;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сроки действия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аренды;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сдаваемых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лесных участков;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экологии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и интересов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лесные платежи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и лесной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доход;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стимулы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для повышения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ведения лесного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хозяйства;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контроль,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аудит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арендаторской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деятельности; возможность предупреждения и пресечения лесонарушений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CD" w:rsidRPr="00451FD0">
        <w:rPr>
          <w:rFonts w:ascii="Times New Roman" w:hAnsi="Times New Roman" w:cs="Times New Roman"/>
          <w:color w:val="000000"/>
          <w:sz w:val="28"/>
          <w:szCs w:val="28"/>
        </w:rPr>
        <w:t>арендаторами, невыполнения ими условий договора.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объектов лесных отношений и иной растительностью тесно переплетается с земельным законодательством, его основными понятиями.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Участки лесного фонда могут предоставляться в пользование физическим и юридическим лицам в установленном законодательстве порядке, в связи с чем права пользования участками лесного фонда являются объектами лесных отношений. Городские леса и леса обороны и участки, на которых они расположены, также являются объектами лесных отношений. А поскольку законодательство допускает их также предоставлять на определенных правах заинтересованным лицам, права пользования участками лесов, не входящих в лесной фонд, также являются объектами лесных отношений.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Лесной фонд составляют все леса, за исключением лесов, расположенных на землях обороны и землях поселений, а также земли лесного фонда, не покрытые лесной растительностью (лесные земли и нелесные земли). Таким образом, лесной фонд представляет собой совокупность самой лесной растительности (леса) и земель в границах лесного фонда как занятых таковой растительностью, так и не занятых ею.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Леса, расположенные на землях обороны и землях городских поселений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городские леса, в лесной фонд не входят.</w:t>
      </w:r>
    </w:p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30037"/>
      <w:r w:rsidRPr="00451FD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 7 Земельного кодекса РФ 2001 г. земли в РФ по целевому назначению подразделяются на семь категорий. Земли лесного фонда являются самостоятельной категорией земель.</w:t>
      </w:r>
    </w:p>
    <w:bookmarkEnd w:id="2"/>
    <w:p w:rsidR="00FF300B" w:rsidRPr="00451FD0" w:rsidRDefault="00FF300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Согласно земельному и лесному законодательству к землям лесного фонда относятся лесные земли (земли, покрытые лесной растительностью и не покрытые ею, но предназначенные для ее восстановления, 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вырубки, гари, редины, прогалины и др.) и предназначенные для ведения лесного хозяйства нелесные земли (просеки, дороги, болота и др.). Главное обстоятельство состоит в том, что нелесные земли, как и лесные земли расположены только в границах лесного фонда.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30039"/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Лесной Кодекс впервые предусмотрел обязательное проведение лесоустройства не только на землях лесного фонда, но и на землях иных категорий (обороны и безопасности, на которых расположены леса; поселений, на которых расположены городские леса; особо охраняемых природных территорий, на которых расположены леса).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Действующая Инструкция по проведению лесоустройства в лесном фонде России была утверждена приказом Рослесхоза в 1994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. И еще до принятия нового Лесного кодекса она уже не удовлетворяла потребностям проведения лесоустройства. В связи с этим были приняты новые Правила проведения лесоустройства, утвержденные постановлением Правительства РФ от 18 июня 2007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77.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Целью лесоустройства является разработка системы мероприятий, направленных на обеспечение рационального ведения лесного хозяйства и пользования лесным фондом, эффективного воспроизводства, охраны и защиты лесов, осуществление единой научно-технической политики в лесном хозяйстве.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Основными задачами лесоустройства являются: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получение достоверной и разносторонней информации о лесных ресурсах, состоянии лесов и динамике лесного фонда;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создание и систематическое обновление информационной базы данных по лесному фонду и лесным ресурсам, обеспечивающей ведение государственного лесного кадастра, государственного учета лесного фонда, осуществление лесного мониторинга, составление документации на участки лесного фонда, передаваемые в аренду;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осуществление внутрихозяйственной организации лесного фонда России;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составление документов по инвентаризации и учету лесов, лесных карт;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определение научно обоснованных размеров и пространственного размещения неистощительного и рационального пользования различными ресурсами леса, мероприятий по воспроизводству, выращиванию, охране и защите лесов, а также иным видам лесохозяйственной деятельности;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проектов организации и развития лесного хозяйства;</w:t>
      </w:r>
    </w:p>
    <w:p w:rsidR="00816634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816634" w:rsidRPr="00451FD0">
        <w:rPr>
          <w:rFonts w:ascii="Times New Roman" w:hAnsi="Times New Roman" w:cs="Times New Roman"/>
          <w:color w:val="000000"/>
          <w:sz w:val="28"/>
          <w:szCs w:val="28"/>
        </w:rPr>
        <w:t>контроль лесопользования, качества выполненных лесохозяйственных мероприятий.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Подготовительные работы проводятся в год, предшествующий полевым лесоустроительным работам, в целях решения организационно-технических вопросов, производства некоторых натурных работ, необходимых для своевременного, ритмичного и качественного их выполнения, сбора основных сведений и подготовки нормативной базы по объекту лесоустройства.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Проведение подготовительных работ в год полевых работ до их начала в сокращенном объеме допускается только с разрешения государственного органа управления лесным хозяйством Российской Федерации.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Планово-картографические, таксационные и лесоучетные материалы, отчетная и техническая документация, имеющиеся у лесовладельца, предоставляются лесоустроительным организациям по их требованию.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Лесоустроители также имеют право на безвозмездное получение по требованию геодезических данных по землепользованиям и землевладениям, граничащим с землями лесного фонда, в местных органах по земельным ресурсам и землеустройству.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Объектом лесоустройства является лесной фонд, находящийся во владении лесхоза, колхоза, совхоза, другого сельскохозяйственного формирования, заповедника, национального природного парка, учебного лесного или опытного лесного хозяйства, осуществляющего ведение лесного хозяйства.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Полный цикл лесоустроительных работ в объекте лесоустройства продолжается, как правило, 3 года и состоит из трех периодов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подготовительного, полевого и камерального. В экстенсивной зоне ведения лесного хозяйства, когда объект лесоустройства занимает большую территорию, полевые работы в нем могут проводиться в течение 2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816634" w:rsidRP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методом лесоустройства является метод классов возраста, а в лесах с особо высокой интенсивностью ведения лесного хозяйства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участковый метод.</w:t>
      </w:r>
    </w:p>
    <w:p w:rsidR="00451FD0" w:rsidRDefault="00816634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Участковый метод лесоустройства заключается в образовании постоянных хозяйственных участков, представляющих собой один или совокупность таксационных выделов, которые хотя и могут отличаться по таксационной характеристике насаждений, но территориально объединены общностью типа лесорастительных условий, целью лесовыращивания и соответствующей ей направленностью комплекса проектируемых лесохозяйственных мероприятий.</w:t>
      </w:r>
    </w:p>
    <w:p w:rsidR="00022239" w:rsidRPr="00451FD0" w:rsidRDefault="00022239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Лесным кодексом РФ закреплено право исключительной федеральной собственности на лесные участки в составе земель лесного фонда, поэтому гражданам и юридическим лицам лесные участки могут предоставляться только в пользование. Общий перечень прав на лесные участки определен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ЛК РФ. К ним отнесены как ограниченные вещные права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право постоянного (бессрочного) пользования лесными участками, право ограниченного пользования чужими лесными участками (сервитут), так и обязательственные права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право аренды лесных участков, право безвозмездного срочного пользования лесными участками. Данный перечень является закрытым.</w:t>
      </w:r>
    </w:p>
    <w:p w:rsidR="00022239" w:rsidRPr="00451FD0" w:rsidRDefault="00022239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 разграничивает виды прав пользования на лесные участки между юридическими лицами и гражданами. Так, юридическим лицам лесные участки могут предоставляться в постоянное (бессрочное) пользование, аренду, безвозмездное срочное пользование, а гражданам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только в аренду и безвозмездное срочное пользование. Необходимо отметить, что определение прав пользования лесным участком зависит также и от вида лесопользования.</w:t>
      </w:r>
    </w:p>
    <w:bookmarkEnd w:id="3"/>
    <w:p w:rsidR="00ED42EB" w:rsidRPr="00451FD0" w:rsidRDefault="00ED42EB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целом право лесопользования определяется как совокупность правовых норм, устанавливающих условия и порядок комплексного лесопользования, сохранения и восстановления лесной среды, права и обязанности лесопользователей с учетом интересов общества в получении древесных и недревесных видов продукции, использовании полезных свойств леса</w:t>
      </w:r>
      <w:r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4"/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1045" w:rsidRPr="00451FD0" w:rsidRDefault="002C104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1045" w:rsidRPr="00451FD0" w:rsidRDefault="00084986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>3</w:t>
      </w:r>
      <w:r w:rsidR="002C1045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46E37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2C1045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храна</w:t>
      </w:r>
      <w:r w:rsidR="00BA6D1E" w:rsidRPr="00451F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защита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лесов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5E26E2" w:rsidRPr="00451FD0" w:rsidRDefault="005E26E2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300131"/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Лесное законодательство России регулирует лесные отношения с целью охраны, защиты, рационального использования и воспроизводства лесов. Под охраной леса понимается система мер, направленная на организацию борьбы с нарушениями правил пожарной безопасности в лесах, самовольными порубками леса, уничтожением лесных деревьев при строительстве и разведке полезных ископаемых, прокладке трубонефтепроводов, загрязнением леса неочищенными сточными водами и экологически вредными веществами воздушного бассейна. Защита леса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система мер по борьбе с болезнями лесных деревьев и вредителями лесных культур. Воспроизводство лесов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процесс, во время которого идёт работа не только по количественному, но и качественному обновлению породного состава леса с целью замены малопродуктивных пород на высокопродуктивные сорта деревьев, активно выполняющих не только экономические, но и экологические оздоровительные задачи</w:t>
      </w:r>
      <w:r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5"/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6E2" w:rsidRPr="00451FD0" w:rsidRDefault="005E26E2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Поскольку наше общество не имеет возможности отказаться от использования лесных недр, современное лесное законодательство поставило в основу лесоохранной политики принцип неистощительного использования лесов.</w:t>
      </w:r>
    </w:p>
    <w:p w:rsidR="005E26E2" w:rsidRPr="00451FD0" w:rsidRDefault="005E26E2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Охрана леса по своей приоритетности имеет следующую структуру: от поджогов и нарушений правил пожарной безопасности, от уничтожения леса при освоении лесных площадей, от незаконной порубки, от загрязнения и истощения</w:t>
      </w:r>
      <w:r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6"/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Общие положения охраны и защиты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лесов, которые содержатся 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1 ЛК Российской Федерации.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Статья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местного самоуправления,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наряду с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полномочиями 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области лесных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наделены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полномочиями (функциями) охраны и защиты лесов.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 полномочиям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области охраны и защиты лесов относятся: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 правил пожарной безопасности в лесах и пожарного надзора;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 правил санитарной безопасности в лесах;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 порядка организации авиационных работ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охране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и защите лесов и выполнения этих работ;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особенности охраны,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защиты, воспроизводства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лесов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лесовосстановления,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лесоразведения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правил ухода за лесами;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 формы отчета об охране и защите лесов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его представления;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осуществления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за</w:t>
      </w:r>
    </w:p>
    <w:p w:rsidR="00CB7A9E" w:rsidRP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использованием,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охраной,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защитой,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воспроизводством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лесов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(государственного лесного контроля и надзора);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такс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методик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вреда,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причиненного лесам вследствие нарушения лесного законодательства;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отнесение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лесов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лесам, выделение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участков лесов и установление их границ;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охраны,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защиты,</w:t>
      </w:r>
    </w:p>
    <w:p w:rsidR="00CB7A9E" w:rsidRP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воспроизводства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лесов,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расположенных на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землях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особо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охраняемых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природных территорий (ст.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1 ЛК РФ).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Государственные органы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осуществляют полномочия по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защите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лесов 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передачи им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этих полномочий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Федерацией.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названным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передаваемым полномочиям относятся: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разработка и утверждение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лесных планов субъектов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Федерации, лесохозяйственных регламентов,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также 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государственной экспертизы проектов освоения лесов;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их 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числе тушения лесных пожаров), защиты (за исключением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лесопатологического мониторинга), воспроизводства (за исключением лесного семеноводства)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землях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охраны,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защиты, воспроизводства лесов на указанных землях;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ведение государственного 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реестра в 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лесов, расположенных в границах территории субъекта Федерации;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осуществление государственного лесного контроля и надзора;</w:t>
      </w:r>
    </w:p>
    <w:p w:rsidR="00CB7A9E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государственный лесной контроль и надзор.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Средства на осуществление переданных полномочий предоставляются в виде субвенций из федерального бюджета.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местного самоуправления в области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охраны и защиты лесов в части лесных участков, находящихся 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собственности, относятся: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утверждение лесохозяйственных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регламентов,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а также проведение государственной экспертизы проектов освоения лесов;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муниципального лесного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и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A9E" w:rsidRPr="00451FD0">
        <w:rPr>
          <w:rFonts w:ascii="Times New Roman" w:hAnsi="Times New Roman" w:cs="Times New Roman"/>
          <w:color w:val="000000"/>
          <w:sz w:val="28"/>
          <w:szCs w:val="28"/>
        </w:rPr>
        <w:t>в отношении таких лесных участков.</w:t>
      </w:r>
    </w:p>
    <w:p w:rsid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Органы местного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наделяться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отдельными государственными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полномочиями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использования,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охраны, защиты,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воспроизводства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РФ (ст.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4 ЛК РФ).</w:t>
      </w:r>
    </w:p>
    <w:p w:rsidR="00CB7A9E" w:rsidRPr="00451FD0" w:rsidRDefault="00CB7A9E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В субъектах Федерации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городах федерального значения Москве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и Санкт-Петербурге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самоуправления, предусмотренные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Законом,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законами указанных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органами государственной власти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субъектов Федерации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городов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федерального значения Москвы и Санкт-Петербурга.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Охрана и защита лесов включает в себя: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Ох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рана лесов от пожаров. Обеспечение пожарной безопасности является одной из важнейших функций государства.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 декабря 1994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определяет систему обеспечения пожарной безопасности, которая представляет собой совокупность сил и средств, а также мер правового, организационного, экономического, социального и научно-технического характера, направленных на борьбу с пожарами.</w:t>
      </w:r>
    </w:p>
    <w:p w:rsid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РФ.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Государственную противопожарную службу РФ входят:</w:t>
      </w:r>
    </w:p>
    <w:p w:rsidR="00E62E18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62E18"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федеральная противопожарная служба;</w:t>
      </w:r>
    </w:p>
    <w:p w:rsidR="00E62E18" w:rsidRP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E62E18" w:rsidRPr="00451FD0">
        <w:rPr>
          <w:rFonts w:ascii="Times New Roman" w:hAnsi="Times New Roman" w:cs="Times New Roman"/>
          <w:color w:val="000000"/>
          <w:sz w:val="28"/>
          <w:szCs w:val="28"/>
        </w:rPr>
        <w:t>противопожарная служба субъектов Федерации.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пожарной безопасности в лесах осуществляются: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а) 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разрывов;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б) создание систем, средств предупреждения и тушения лесных пожаров, содержание этих систем и средств, а также формирование запасов горюче-смазочных материалов на период высокой пожарной опасности;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в) мониторинг пожарной опасности в лесах;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г) разработка планов тушения лесных пожаров;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д) тушение лесных пожаров;</w:t>
      </w:r>
    </w:p>
    <w:p w:rsidR="00E62E18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е) иные меры пожарной безопасности в лесах.</w:t>
      </w:r>
    </w:p>
    <w:p w:rsidR="00E62E18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2E18" w:rsidRPr="00451FD0">
        <w:rPr>
          <w:rFonts w:ascii="Times New Roman" w:hAnsi="Times New Roman" w:cs="Times New Roman"/>
          <w:color w:val="000000"/>
          <w:sz w:val="28"/>
          <w:szCs w:val="28"/>
        </w:rPr>
        <w:t>Защита леса входит в состав общего понятия охраны лесов, предусмотренной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62E18" w:rsidRPr="00451FD0">
        <w:rPr>
          <w:rFonts w:ascii="Times New Roman" w:hAnsi="Times New Roman" w:cs="Times New Roman"/>
          <w:color w:val="000000"/>
          <w:sz w:val="28"/>
          <w:szCs w:val="28"/>
        </w:rPr>
        <w:t>1 ЛК РФ. Являясь специальной частью охраны, защита леса ограничивается такими важными мерами, как выявление в лесах вредных организмов, могущих погубить (полностью уничтожить) массив леса, если его территория и древостои оказались местом обитания вредных для леса растений, животных и болезнетворных организмов.</w:t>
      </w:r>
    </w:p>
    <w:p w:rsidR="002833ED" w:rsidRPr="00451FD0" w:rsidRDefault="00E62E18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Задача защиты леса состоит в выявлении названных вредных организмов и в предупреждении их распространения.</w:t>
      </w:r>
    </w:p>
    <w:p w:rsidR="002833ED" w:rsidRPr="00451FD0" w:rsidRDefault="002833ED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Целью данного Закона является обеспечение охраны растений и продукции растительного происхождения от карантинных объектов на территории Российской Федерации. При этом меры защиты лесов от карантинных организмов принимаются на федеральном уровне при участии государственных органов субъектов Федерации.</w:t>
      </w:r>
    </w:p>
    <w:p w:rsidR="002833ED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>. В целях защиты лесов от вредных организмов и их санитарной безопасности проводится прежде всего лесозащитное районирование лесов. Это специальный вид районирования лесов, при котором определяются зоны слабой, средней и сильной лесопатологической угрозы. В отличие от названного районирования при общем (лесорастительном) районировании лесов, предусмотренном ст.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>5 ЛК РФ, определяются лесорастительные зоны, в которых расположены леса с относительно однородными лесорастительными признаками. Если лесозащитное районирование предназначено для обеспечения своевременных и эффективных мероприятий по защите лесов от вредных организмов в целях санитарной безопасности в лесах, то лесорастительное районирование необходимо для определения условий и порядка оптимальной эксплуатации лесов с учетом природно-климатических характеристик лесного района.</w:t>
      </w:r>
    </w:p>
    <w:p w:rsidR="00DC00D3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>. Санитарная безопасность лесов требует проведения определенных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работ в целях обеспечения санитарной безопасности в лесах. Наиболее эффективными из них являются опрыскивание с воздуха агрохимикатами очагов вредных организмов. Проводятся также наземные работы по локализации и ликвидации очагов заражения лесов (вырубка больных древостоев, расчистка зараженных участков леса, устройство ловушек для насекомых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вредителей леса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833ED" w:rsidRPr="00451FD0" w:rsidRDefault="002833ED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Планы освоения лесов и лесохозяйственные регламенты, для каких бы целей ни использовались леса, должны предусматривать санитарно-оздоровительные мероприятия. Это повседневная работа владельцев и пользователей лесов (арендаторов, фермеров, собственников леса, лесопользователей на правах сервитутов и др.) по очистке леса от захламленности, загрязнения, вырубке погибших и поврежденных лесных насаждений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и т.п.</w:t>
      </w:r>
    </w:p>
    <w:p w:rsidR="002833ED" w:rsidRPr="00451FD0" w:rsidRDefault="002833ED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Выборочные санитарные рубки проводятся с целью оздоровления насаждений, предупреждения распространения и (или) ликвидации очагов стволовых вредителей и опасных инфекционных заболеваний. Их проводят в насаждениях с повышенным, по сравнению с естественным, текущим отпадом деревьев, наличием ветровала, бурелома, снеголома, снеговала, пораженных болезнями и заселенных стволовыми вредителями деревьев.</w:t>
      </w:r>
    </w:p>
    <w:p w:rsidR="002833ED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Лесопатологический мониторинг (ЛПМ)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>это система наблюдений за состоянием лесов, нарушением их устойчивости, повреждением (поражением) вредителями, болезнями и другими природными и антропогенными факторами среды и за динамикой этих процессов, обеспечивающая раннее выявление неблагополучного состояния насаждений, оценку и прогноз развития экологически неблагополучного состояния насаждений, оценку и прогноз развития экологически неблагополучных ситуаций для своевременного принятия решений по планированию и осуществлению эффективных природоохранных и лесозащитных мероприятий.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3ED" w:rsidRPr="00451FD0">
        <w:rPr>
          <w:rFonts w:ascii="Times New Roman" w:hAnsi="Times New Roman" w:cs="Times New Roman"/>
          <w:color w:val="000000"/>
          <w:sz w:val="28"/>
          <w:szCs w:val="28"/>
        </w:rPr>
        <w:t>Лесопатологический мониторинг организуется федеральным органом управления лесным хозяйством и является одной из главных функциональных задач государственного управления лесным хозяйством.</w:t>
      </w:r>
    </w:p>
    <w:p w:rsidR="002833ED" w:rsidRPr="00451FD0" w:rsidRDefault="002833ED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Целью организации лесопатологического мониторинга является своевременное обнаружение неблагополучных по санитарному состоянию участков леса, выявление и прогнозирование массового ослабления и усыхания лесов под влиянием стихийных бедствий, пожаров, насекомых, болезней, прочих факторов воздействия окружающей среды природного и антропогенного характера, получение своевременной и достоверной информации о нежелательных изменениях в состоянии лесов под влиянием антропогенных процессов и материалов для обоснования решений по охране, защите леса, способствующих повышению его средоохранных и средоформирующих функций, предотвращению ущерба, сохранению биологического разнообразия лесных экосистем, рациональному использованию лесных ресурсов и устойчивому развитию лесного сектора экономики России.</w:t>
      </w:r>
    </w:p>
    <w:p w:rsidR="00DC00D3" w:rsidRPr="00451FD0" w:rsidRDefault="00DC00D3" w:rsidP="00451FD0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</w:t>
      </w:r>
      <w:r w:rsidRPr="00451FD0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451F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Охрана редких и находящихся под угрозой исчезновения видов деревьев, кустарников, лиан, иных лесных растений</w:t>
      </w:r>
      <w:r w:rsidR="00474F14" w:rsidRPr="00451F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DC00D3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Красной книге РФ и порядку ее ведения посвящено постановление Правительства РФ от 19 февраля 1996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58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Красной книге Российской Федерации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Установлено, что эта книга ведется Министерством природных ресурсов РФ 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 (далее именуются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объекты животного и растительного мира), обитающих (произрастающих) на территории Российской Федерации, на континентальном шельфе и в исключительной экономической зоне Российской Федерации. Красная книга РФ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</w:p>
    <w:p w:rsidR="00DC00D3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Объекты животного и растительного мира, занесенные в Красную книгу РФ, подлежат особой охране.</w:t>
      </w:r>
    </w:p>
    <w:p w:rsidR="00DC00D3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Изъятие из естественной природной среды объектов животного и растительного мира, занесенных в Красную книгу РФ, допускается в исключительных случаях в порядке, установленном законодательством РФ.</w:t>
      </w:r>
    </w:p>
    <w:p w:rsidR="00DC00D3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Министерству природных ресурсов РФ по согласованию с Министерством сельского хозяйства РФ, государственными органами по рыболовству, лесному хозяйству, органами исполнительной власти субъектов Федерации и Российской академией наук предоставлено право принимать решения о занесении в Красную книгу РФ и об исключении из нее объектов животного и растительного мира, а также определять порядок и меры их охраны.</w:t>
      </w:r>
    </w:p>
    <w:p w:rsidR="00DC00D3" w:rsidRP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Издание Красной книги РФ осуществляется не реже одного раза в 10 лет.</w:t>
      </w:r>
      <w:r w:rsidR="00474F14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 субъектах РФ приняты и ведутся красные книги данного субъекта Федерации, в которые заносятся редкие и находящиеся под угрозой исчезновения виды деревьев, кустарников, лиан и иных лесных растений.</w:t>
      </w:r>
    </w:p>
    <w:p w:rsidR="00451FD0" w:rsidRDefault="00DC00D3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Статья 8.35 КоАП РФ устанавливает штраф за уничтожение редких и находящихся под угрозой исчезновения видов животных или растений, занесенных в Красную книгу РФ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продажу либо пересылку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порядка.</w:t>
      </w:r>
    </w:p>
    <w:bookmarkEnd w:id="4"/>
    <w:p w:rsidR="00451FD0" w:rsidRDefault="00E9447C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Отношения по возмещению вреда природной среде, как и все отношения по возмещению вреда, выражают различные виды компенсационной ответственности. Основные ее принципы сформулированы в гражданском законодательстве</w:t>
      </w:r>
      <w:r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7"/>
      </w:r>
      <w:r w:rsidR="00474F14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47C" w:rsidRPr="00451FD0" w:rsidRDefault="00E9447C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Проблема охраны лесов волнует не только Россию. Это проблема всего мира.</w:t>
      </w:r>
      <w:r w:rsidR="00006243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На международной конференции в Рио-де Жанейро участники конференции ООН по окружающей среде и устойчивому развитию приняли Заявление о принципах в отношении лесов. Оно рассматривается как первое глобальное соглашение по лесам, в котором учитываются потребности защиты лесов в качестве окружающей и культурной Среды и потребности использования деревьев и другой растительности для целей экономического развития</w:t>
      </w:r>
      <w:r w:rsidRPr="00451FD0">
        <w:rPr>
          <w:rStyle w:val="a5"/>
          <w:rFonts w:ascii="Times New Roman" w:hAnsi="Times New Roman"/>
          <w:color w:val="000000"/>
          <w:sz w:val="28"/>
          <w:szCs w:val="28"/>
        </w:rPr>
        <w:footnoteReference w:id="8"/>
      </w:r>
      <w:r w:rsidR="00474F14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8C4" w:rsidRDefault="00E358C4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84986" w:rsidRPr="00451FD0" w:rsidRDefault="00084986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E9447C" w:rsidRPr="00451FD0" w:rsidRDefault="00084986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br w:type="page"/>
      </w:r>
      <w:r w:rsidR="00E9447C" w:rsidRPr="00451FD0">
        <w:rPr>
          <w:rFonts w:ascii="Times New Roman" w:hAnsi="Times New Roman" w:cs="Times New Roman"/>
          <w:b/>
          <w:bCs/>
          <w:color w:val="000000"/>
          <w:sz w:val="28"/>
        </w:rPr>
        <w:t>Заключение</w:t>
      </w:r>
    </w:p>
    <w:p w:rsidR="00451FD0" w:rsidRDefault="00451FD0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A81DE1" w:rsidRPr="00451FD0" w:rsidRDefault="00A81DE1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и взаимодействие между Федерацией, субъектами Федерации, муниципальными образованиями и звеньями экологического управления являются сегодня основной задачей науки и практики, от решения которой зависит эффективность природоохранного организационного, идеологического, экономического и правового механизма. Известно, что право безмолвствует без потенциальной возможности привлечения к соответствующим видам ответственности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дисциплинарной, гражданско-материальной, административной и уголовной. Эффективность юрисдикционного механизма,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системы рассмотрения споров, выявления составов правонарушений и виновных, наложения и исполнения справедливого наказания за экологические правонарушения остаются пока слабым местом природоохранной деятельности. Не вызывает сомнения то, что экологическая составляющая должна быть частью социальной политики Российской Федерации, которая согласно ст. 7 Конституции призвана быть социальным государством: оно обязано создавать условия, обеспечивающие достойную жизнь и свободное развитие человека. Прямой путь к обеспечению посредством права природных условий жизни, труда и отдыха россиян лежит через реализацию экологических прав и выполнение соответствующих обязанностей всеми без исключения гражданами, государственными и муниципальными служащими.</w:t>
      </w:r>
    </w:p>
    <w:p w:rsidR="00451FD0" w:rsidRDefault="007B3AFF" w:rsidP="00451FD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Проблема экологии и охраны окружающей среды никогда не потеряет свою актуальность.</w:t>
      </w:r>
    </w:p>
    <w:p w:rsidR="00E9447C" w:rsidRPr="00451FD0" w:rsidRDefault="00E9447C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2C1045" w:rsidRPr="00451FD0" w:rsidRDefault="002C1045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47C" w:rsidRPr="00451FD0" w:rsidRDefault="00084986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  <w:t>Список используемой литературы</w:t>
      </w:r>
    </w:p>
    <w:p w:rsidR="00E9447C" w:rsidRPr="00451FD0" w:rsidRDefault="00E9447C" w:rsidP="00451FD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u w:val="single"/>
        </w:rPr>
      </w:pPr>
    </w:p>
    <w:p w:rsidR="00E358C4" w:rsidRPr="00451FD0" w:rsidRDefault="00E358C4" w:rsidP="00084986">
      <w:pPr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Конституция РФ от 12.12.1993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58C4" w:rsidRPr="00451FD0" w:rsidRDefault="00E358C4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Лесной кодекс РФ 25.10.2001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A08B2" w:rsidRPr="00451FD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</w:t>
      </w:r>
    </w:p>
    <w:p w:rsidR="00E358C4" w:rsidRPr="00451FD0" w:rsidRDefault="00E358C4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кодекс РФ от 25.10.2001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</w:t>
      </w:r>
    </w:p>
    <w:p w:rsidR="00E358C4" w:rsidRPr="00451FD0" w:rsidRDefault="00E358C4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охране</w:t>
      </w:r>
    </w:p>
    <w:p w:rsidR="00E358C4" w:rsidRPr="00451FD0" w:rsidRDefault="00E358C4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окружающей среды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D2B81" w:rsidRPr="00451FD0" w:rsidRDefault="006D2B81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358C4" w:rsidRPr="00451FD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закон от 21 декабря 2004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 переводе земель или земельных участков из одной категории в другую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13C9" w:rsidRPr="00451FD0" w:rsidRDefault="009D13C9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 января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 государственном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земельном кадастре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13C9" w:rsidRPr="00451FD0" w:rsidRDefault="009D13C9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18 июня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землеустройстве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8B2" w:rsidRPr="00451FD0" w:rsidRDefault="00BA08B2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Боголюбов С.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право. Учебник для вузов. М.: НОРМА (Издательская группа НОРМА-ИНФРА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, 2001;</w:t>
      </w:r>
    </w:p>
    <w:p w:rsidR="006D2B81" w:rsidRPr="00451FD0" w:rsidRDefault="006D2B81" w:rsidP="00084986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Бринчук М.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право: Учебник. 2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изд., перераб. и доп. М.: Юристъ, 2003.</w:t>
      </w:r>
    </w:p>
    <w:p w:rsidR="00BA08B2" w:rsidRPr="00451FD0" w:rsidRDefault="00BA08B2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Ерофеев Б.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право России. Учебник для юридических вузов. 6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издание. М.: Юридическая литература, 2000;</w:t>
      </w:r>
    </w:p>
    <w:p w:rsidR="00BA08B2" w:rsidRPr="00451FD0" w:rsidRDefault="00BA08B2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Колесников С.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экологии для инженеров. Серия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ысшее образование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Ростов н/Д: Феникс, 2003.</w:t>
      </w:r>
    </w:p>
    <w:p w:rsidR="00BA08B2" w:rsidRPr="00451FD0" w:rsidRDefault="00BA08B2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 к Лесному кодексу Российской Федерации (постатейный)/ 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С.А.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Боголюбов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Васильева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Ю.Г.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Жариков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др.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М. 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ТК Велби, Изд-во Проспект.</w:t>
      </w:r>
      <w:r w:rsidR="000849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2007</w:t>
      </w:r>
    </w:p>
    <w:p w:rsidR="00BA08B2" w:rsidRPr="00451FD0" w:rsidRDefault="00BA08B2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Лесной кодекс Российской Федерации. Постатейный комментарий. М.: Юстицинформ, 2005.</w:t>
      </w:r>
    </w:p>
    <w:p w:rsidR="00E9447C" w:rsidRPr="00451FD0" w:rsidRDefault="00451FD0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r w:rsidR="00E9447C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право России</w:t>
      </w:r>
      <w:r w:rsidR="002C1045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. Учебник для вузов </w:t>
      </w:r>
      <w:r w:rsidR="00E9447C" w:rsidRPr="00451FD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C1045" w:rsidRPr="00451FD0"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="00E9447C" w:rsidRPr="00451FD0">
        <w:rPr>
          <w:rFonts w:ascii="Times New Roman" w:hAnsi="Times New Roman" w:cs="Times New Roman"/>
          <w:color w:val="000000"/>
          <w:sz w:val="28"/>
          <w:szCs w:val="28"/>
        </w:rPr>
        <w:t>Бек</w:t>
      </w:r>
      <w:r w:rsidR="002C1045"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1995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9447C" w:rsidRPr="00451F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FD0" w:rsidRPr="00084986" w:rsidRDefault="00DE62FB" w:rsidP="00084986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1FD0">
        <w:rPr>
          <w:rFonts w:ascii="Times New Roman" w:hAnsi="Times New Roman" w:cs="Times New Roman"/>
          <w:color w:val="000000"/>
          <w:sz w:val="28"/>
          <w:szCs w:val="28"/>
        </w:rPr>
        <w:t>Петров В.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451FD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1FD0" w:rsidRPr="00451FD0">
        <w:rPr>
          <w:rFonts w:ascii="Times New Roman" w:hAnsi="Times New Roman" w:cs="Times New Roman"/>
          <w:color w:val="000000"/>
          <w:sz w:val="28"/>
          <w:szCs w:val="28"/>
        </w:rPr>
        <w:t>Экологическое</w:t>
      </w:r>
      <w:r w:rsidRPr="00451FD0">
        <w:rPr>
          <w:rFonts w:ascii="Times New Roman" w:hAnsi="Times New Roman" w:cs="Times New Roman"/>
          <w:color w:val="000000"/>
          <w:sz w:val="28"/>
          <w:szCs w:val="28"/>
        </w:rPr>
        <w:t xml:space="preserve"> право России. Учебник для вузов. М.: БЕК, 1996</w:t>
      </w:r>
      <w:bookmarkStart w:id="5" w:name="_GoBack"/>
      <w:bookmarkEnd w:id="5"/>
    </w:p>
    <w:sectPr w:rsidR="00451FD0" w:rsidRPr="00084986" w:rsidSect="00451FD0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CB" w:rsidRDefault="006700CB" w:rsidP="00E9447C">
      <w:r>
        <w:separator/>
      </w:r>
    </w:p>
  </w:endnote>
  <w:endnote w:type="continuationSeparator" w:id="0">
    <w:p w:rsidR="006700CB" w:rsidRDefault="006700CB" w:rsidP="00E9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5A5" w:rsidRDefault="00F406FF" w:rsidP="00E40B19">
    <w:pPr>
      <w:pStyle w:val="a8"/>
      <w:framePr w:wrap="auto" w:vAnchor="text" w:hAnchor="margin" w:xAlign="right" w:y="1"/>
      <w:rPr>
        <w:rStyle w:val="aa"/>
        <w:rFonts w:cs="Courier New"/>
      </w:rPr>
    </w:pPr>
    <w:r>
      <w:rPr>
        <w:rStyle w:val="aa"/>
        <w:rFonts w:cs="Courier New"/>
        <w:noProof/>
      </w:rPr>
      <w:t>2</w:t>
    </w:r>
  </w:p>
  <w:p w:rsidR="007215A5" w:rsidRDefault="007215A5" w:rsidP="002C10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CB" w:rsidRDefault="006700CB" w:rsidP="00E9447C">
      <w:r>
        <w:separator/>
      </w:r>
    </w:p>
  </w:footnote>
  <w:footnote w:type="continuationSeparator" w:id="0">
    <w:p w:rsidR="006700CB" w:rsidRDefault="006700CB" w:rsidP="00E9447C">
      <w:r>
        <w:continuationSeparator/>
      </w:r>
    </w:p>
  </w:footnote>
  <w:footnote w:id="1">
    <w:p w:rsidR="006700CB" w:rsidRDefault="007215A5" w:rsidP="00DE62FB">
      <w:pPr>
        <w:spacing w:line="160" w:lineRule="exact"/>
        <w:jc w:val="both"/>
      </w:pPr>
      <w:r w:rsidRPr="007215A5">
        <w:rPr>
          <w:rStyle w:val="a5"/>
          <w:rFonts w:ascii="Times New Roman" w:hAnsi="Times New Roman"/>
          <w:sz w:val="20"/>
          <w:szCs w:val="20"/>
        </w:rPr>
        <w:footnoteRef/>
      </w:r>
      <w:r w:rsidRPr="007215A5">
        <w:rPr>
          <w:rFonts w:ascii="Times New Roman" w:hAnsi="Times New Roman" w:cs="Times New Roman"/>
          <w:sz w:val="20"/>
          <w:szCs w:val="20"/>
        </w:rPr>
        <w:t xml:space="preserve"> Колесников С.И. Основы экологии для инженеров. Серия "Высшее образование". Ростов н/Д: Феникс, 2003. С</w:t>
      </w:r>
      <w:r>
        <w:rPr>
          <w:rFonts w:ascii="Times New Roman" w:hAnsi="Times New Roman" w:cs="Times New Roman"/>
          <w:sz w:val="20"/>
          <w:szCs w:val="20"/>
        </w:rPr>
        <w:t>. 5, 6.</w:t>
      </w:r>
    </w:p>
  </w:footnote>
  <w:footnote w:id="2">
    <w:p w:rsidR="006700CB" w:rsidRDefault="007215A5" w:rsidP="00DE62FB">
      <w:pPr>
        <w:pStyle w:val="a3"/>
        <w:spacing w:line="160" w:lineRule="exact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 xml:space="preserve"> Боголюбов С.А. Экологическое право. Учебник для вузов. М.: НОРМА , 2001;.</w:t>
      </w:r>
    </w:p>
  </w:footnote>
  <w:footnote w:id="3">
    <w:p w:rsidR="006700CB" w:rsidRDefault="007215A5">
      <w:pPr>
        <w:pStyle w:val="a3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 xml:space="preserve"> Земельное право / отв. ред. А. К. Голиченков. М.: ЗЕРЦАЛО, 2001</w:t>
      </w:r>
    </w:p>
  </w:footnote>
  <w:footnote w:id="4">
    <w:p w:rsidR="006700CB" w:rsidRDefault="007215A5">
      <w:pPr>
        <w:pStyle w:val="a3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 xml:space="preserve"> Экологическое право: Курс лекций и практикум/Под ред. д.ю.н., проф. Ю.Е. Винокурова. М.: Экзамен, 2003. С. 302</w:t>
      </w:r>
    </w:p>
  </w:footnote>
  <w:footnote w:id="5">
    <w:p w:rsidR="006700CB" w:rsidRDefault="007215A5" w:rsidP="005E26E2">
      <w:pPr>
        <w:pStyle w:val="a3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>В.В.Петров “Экологическое право России”,М.,1995г.,с. 112.</w:t>
      </w:r>
    </w:p>
  </w:footnote>
  <w:footnote w:id="6">
    <w:p w:rsidR="006700CB" w:rsidRDefault="007215A5" w:rsidP="005E26E2">
      <w:pPr>
        <w:pStyle w:val="a3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>В.В.Петров “Экологическое право России”,М.,1995г.,с. 113.</w:t>
      </w:r>
    </w:p>
  </w:footnote>
  <w:footnote w:id="7">
    <w:p w:rsidR="006700CB" w:rsidRDefault="007215A5" w:rsidP="00E9447C">
      <w:pPr>
        <w:pStyle w:val="a3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 xml:space="preserve"> В.В.Петров “Экологическое право России”,М.,1995г.,с.339.</w:t>
      </w:r>
    </w:p>
  </w:footnote>
  <w:footnote w:id="8">
    <w:p w:rsidR="006700CB" w:rsidRDefault="007215A5" w:rsidP="00E9447C">
      <w:pPr>
        <w:pStyle w:val="a3"/>
      </w:pPr>
      <w:r w:rsidRPr="007215A5">
        <w:rPr>
          <w:rStyle w:val="a5"/>
          <w:rFonts w:ascii="Times New Roman" w:hAnsi="Times New Roman"/>
        </w:rPr>
        <w:footnoteRef/>
      </w:r>
      <w:r w:rsidRPr="007215A5">
        <w:rPr>
          <w:rFonts w:ascii="Times New Roman" w:hAnsi="Times New Roman" w:cs="Times New Roman"/>
        </w:rPr>
        <w:t xml:space="preserve"> В.В.Петров “Экологическое право России”,М.,1995г.,с.114.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78CC"/>
    <w:multiLevelType w:val="hybridMultilevel"/>
    <w:tmpl w:val="E9E0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330B1"/>
    <w:multiLevelType w:val="hybridMultilevel"/>
    <w:tmpl w:val="725E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03E23"/>
    <w:multiLevelType w:val="hybridMultilevel"/>
    <w:tmpl w:val="55CA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4C9"/>
    <w:rsid w:val="00001D5E"/>
    <w:rsid w:val="00004D69"/>
    <w:rsid w:val="000057C8"/>
    <w:rsid w:val="00006243"/>
    <w:rsid w:val="00022239"/>
    <w:rsid w:val="00044D86"/>
    <w:rsid w:val="0007400A"/>
    <w:rsid w:val="00084986"/>
    <w:rsid w:val="000C40CD"/>
    <w:rsid w:val="00101140"/>
    <w:rsid w:val="00107AC3"/>
    <w:rsid w:val="00187829"/>
    <w:rsid w:val="001E2D43"/>
    <w:rsid w:val="00215644"/>
    <w:rsid w:val="00233BBA"/>
    <w:rsid w:val="002663E2"/>
    <w:rsid w:val="00282535"/>
    <w:rsid w:val="002833ED"/>
    <w:rsid w:val="002C1045"/>
    <w:rsid w:val="002C66CA"/>
    <w:rsid w:val="002E1F1E"/>
    <w:rsid w:val="003A5A8E"/>
    <w:rsid w:val="003B0D06"/>
    <w:rsid w:val="004364C9"/>
    <w:rsid w:val="00451FD0"/>
    <w:rsid w:val="00474F14"/>
    <w:rsid w:val="00494ADF"/>
    <w:rsid w:val="004C7471"/>
    <w:rsid w:val="004D3937"/>
    <w:rsid w:val="00513195"/>
    <w:rsid w:val="0055198B"/>
    <w:rsid w:val="00551C23"/>
    <w:rsid w:val="005638C6"/>
    <w:rsid w:val="00571DBA"/>
    <w:rsid w:val="005E26E2"/>
    <w:rsid w:val="005F3852"/>
    <w:rsid w:val="00610C12"/>
    <w:rsid w:val="0065778C"/>
    <w:rsid w:val="006700CB"/>
    <w:rsid w:val="00671B44"/>
    <w:rsid w:val="006B76F6"/>
    <w:rsid w:val="006D2B81"/>
    <w:rsid w:val="006D5670"/>
    <w:rsid w:val="007050C0"/>
    <w:rsid w:val="007215A5"/>
    <w:rsid w:val="00772E52"/>
    <w:rsid w:val="007B3AFF"/>
    <w:rsid w:val="007C0BC0"/>
    <w:rsid w:val="007D4871"/>
    <w:rsid w:val="00816634"/>
    <w:rsid w:val="0086386B"/>
    <w:rsid w:val="008815AF"/>
    <w:rsid w:val="008E59B6"/>
    <w:rsid w:val="008F566B"/>
    <w:rsid w:val="00910A5E"/>
    <w:rsid w:val="00924553"/>
    <w:rsid w:val="00946E37"/>
    <w:rsid w:val="00972449"/>
    <w:rsid w:val="009D13C9"/>
    <w:rsid w:val="00A431DB"/>
    <w:rsid w:val="00A438E5"/>
    <w:rsid w:val="00A80553"/>
    <w:rsid w:val="00A81DE1"/>
    <w:rsid w:val="00AA3AEF"/>
    <w:rsid w:val="00AC4133"/>
    <w:rsid w:val="00AD3AF8"/>
    <w:rsid w:val="00B70C37"/>
    <w:rsid w:val="00B92D1E"/>
    <w:rsid w:val="00BA08B2"/>
    <w:rsid w:val="00BA6D1E"/>
    <w:rsid w:val="00C31BC1"/>
    <w:rsid w:val="00C72D83"/>
    <w:rsid w:val="00CB7A9E"/>
    <w:rsid w:val="00CD30BC"/>
    <w:rsid w:val="00DC00D3"/>
    <w:rsid w:val="00DE62FB"/>
    <w:rsid w:val="00E358C4"/>
    <w:rsid w:val="00E40B19"/>
    <w:rsid w:val="00E61835"/>
    <w:rsid w:val="00E62E18"/>
    <w:rsid w:val="00E7086F"/>
    <w:rsid w:val="00E9447C"/>
    <w:rsid w:val="00ED42EB"/>
    <w:rsid w:val="00EF0AB8"/>
    <w:rsid w:val="00F406FF"/>
    <w:rsid w:val="00F653D8"/>
    <w:rsid w:val="00FE50B2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16D54D-B311-4C32-937E-30649577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C9"/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E5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E50B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2E52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FE50B2"/>
    <w:rPr>
      <w:rFonts w:ascii="Cambria" w:hAnsi="Cambria" w:cs="Cambria"/>
      <w:i/>
      <w:iCs/>
      <w:color w:val="243F60"/>
      <w:sz w:val="24"/>
      <w:szCs w:val="24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E9447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E9447C"/>
    <w:rPr>
      <w:rFonts w:ascii="Courier New" w:hAnsi="Courier New" w:cs="Courier New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E9447C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551C23"/>
    <w:pPr>
      <w:ind w:left="720"/>
    </w:pPr>
  </w:style>
  <w:style w:type="paragraph" w:customStyle="1" w:styleId="a7">
    <w:name w:val="Таблицы (моноширинный)"/>
    <w:basedOn w:val="a"/>
    <w:next w:val="a"/>
    <w:uiPriority w:val="99"/>
    <w:rsid w:val="00772E52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2C10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aa">
    <w:name w:val="page number"/>
    <w:uiPriority w:val="99"/>
    <w:rsid w:val="002C1045"/>
    <w:rPr>
      <w:rFonts w:cs="Times New Roman"/>
    </w:rPr>
  </w:style>
  <w:style w:type="paragraph" w:customStyle="1" w:styleId="Heading">
    <w:name w:val="Heading"/>
    <w:uiPriority w:val="99"/>
    <w:rsid w:val="00E62E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E358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58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58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6307</Words>
  <Characters>35954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 УПРАВЛЕНИЯ И ЭКОНОМИКИ</vt:lpstr>
    </vt:vector>
  </TitlesOfParts>
  <Company>Microsoft</Company>
  <LinksUpToDate>false</LinksUpToDate>
  <CharactersWithSpaces>42177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 УПРАВЛЕНИЯ И ЭКОНОМИКИ</dc:title>
  <dc:subject/>
  <dc:creator>Admin</dc:creator>
  <cp:keywords/>
  <dc:description/>
  <cp:lastModifiedBy>admin</cp:lastModifiedBy>
  <cp:revision>2</cp:revision>
  <cp:lastPrinted>2009-06-05T07:19:00Z</cp:lastPrinted>
  <dcterms:created xsi:type="dcterms:W3CDTF">2014-03-07T15:43:00Z</dcterms:created>
  <dcterms:modified xsi:type="dcterms:W3CDTF">2014-03-07T15:43:00Z</dcterms:modified>
</cp:coreProperties>
</file>