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C9" w:rsidRPr="000452AF" w:rsidRDefault="002578C9" w:rsidP="005A3AA2">
      <w:pPr>
        <w:spacing w:line="360" w:lineRule="auto"/>
        <w:jc w:val="center"/>
        <w:rPr>
          <w:rFonts w:ascii="Times New Roman" w:hAnsi="Times New Roman" w:cs="Times New Roman"/>
          <w:sz w:val="28"/>
          <w:szCs w:val="28"/>
        </w:rPr>
      </w:pPr>
      <w:r w:rsidRPr="000452AF">
        <w:rPr>
          <w:rFonts w:ascii="Times New Roman" w:hAnsi="Times New Roman" w:cs="Times New Roman"/>
          <w:sz w:val="28"/>
          <w:szCs w:val="28"/>
        </w:rPr>
        <w:t>Федеральное агентство по образованию</w:t>
      </w:r>
    </w:p>
    <w:p w:rsidR="002578C9" w:rsidRPr="000452AF" w:rsidRDefault="002578C9" w:rsidP="005A3AA2">
      <w:pPr>
        <w:spacing w:line="360" w:lineRule="auto"/>
        <w:jc w:val="center"/>
        <w:rPr>
          <w:rFonts w:ascii="Times New Roman" w:hAnsi="Times New Roman" w:cs="Times New Roman"/>
          <w:sz w:val="28"/>
          <w:szCs w:val="28"/>
        </w:rPr>
      </w:pPr>
      <w:r w:rsidRPr="000452AF">
        <w:rPr>
          <w:rFonts w:ascii="Times New Roman" w:hAnsi="Times New Roman" w:cs="Times New Roman"/>
          <w:sz w:val="28"/>
          <w:szCs w:val="28"/>
        </w:rPr>
        <w:t>Государственное образовательное учреждение высшего профессионального образования «Уральский Государственный Экономический Университет»</w:t>
      </w:r>
    </w:p>
    <w:p w:rsidR="002578C9" w:rsidRPr="000452AF" w:rsidRDefault="002578C9" w:rsidP="005A3AA2">
      <w:pPr>
        <w:spacing w:line="360" w:lineRule="auto"/>
        <w:jc w:val="center"/>
        <w:rPr>
          <w:rFonts w:ascii="Times New Roman" w:hAnsi="Times New Roman" w:cs="Times New Roman"/>
          <w:b/>
          <w:bCs/>
          <w:sz w:val="28"/>
          <w:szCs w:val="28"/>
        </w:rPr>
      </w:pPr>
      <w:r w:rsidRPr="000452AF">
        <w:rPr>
          <w:rFonts w:ascii="Times New Roman" w:hAnsi="Times New Roman" w:cs="Times New Roman"/>
          <w:sz w:val="28"/>
          <w:szCs w:val="28"/>
        </w:rPr>
        <w:t>Центр дистанционного образования</w:t>
      </w: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1C7A69" w:rsidRPr="000452AF" w:rsidRDefault="001C7A69" w:rsidP="005A3AA2">
      <w:pPr>
        <w:spacing w:line="360" w:lineRule="auto"/>
        <w:jc w:val="center"/>
        <w:rPr>
          <w:rFonts w:ascii="Times New Roman" w:hAnsi="Times New Roman" w:cs="Times New Roman"/>
          <w:sz w:val="28"/>
          <w:szCs w:val="28"/>
        </w:rPr>
      </w:pPr>
    </w:p>
    <w:p w:rsidR="005A3AA2" w:rsidRPr="000452AF" w:rsidRDefault="005A3AA2"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b/>
          <w:bCs/>
          <w:sz w:val="28"/>
          <w:szCs w:val="28"/>
        </w:rPr>
      </w:pPr>
      <w:r w:rsidRPr="000452AF">
        <w:rPr>
          <w:rFonts w:ascii="Times New Roman" w:hAnsi="Times New Roman" w:cs="Times New Roman"/>
          <w:b/>
          <w:bCs/>
          <w:sz w:val="28"/>
          <w:szCs w:val="28"/>
        </w:rPr>
        <w:t>К</w:t>
      </w:r>
      <w:r w:rsidR="00C81BED" w:rsidRPr="000452AF">
        <w:rPr>
          <w:rFonts w:ascii="Times New Roman" w:hAnsi="Times New Roman" w:cs="Times New Roman"/>
          <w:b/>
          <w:bCs/>
          <w:sz w:val="28"/>
          <w:szCs w:val="28"/>
        </w:rPr>
        <w:t>ОНТРОЛЬН</w:t>
      </w:r>
      <w:r w:rsidRPr="000452AF">
        <w:rPr>
          <w:rFonts w:ascii="Times New Roman" w:hAnsi="Times New Roman" w:cs="Times New Roman"/>
          <w:b/>
          <w:bCs/>
          <w:sz w:val="28"/>
          <w:szCs w:val="28"/>
        </w:rPr>
        <w:t>АЯ РАБОТА</w:t>
      </w:r>
    </w:p>
    <w:p w:rsidR="002578C9" w:rsidRPr="000452AF" w:rsidRDefault="002578C9" w:rsidP="005A3AA2">
      <w:pPr>
        <w:spacing w:line="360" w:lineRule="auto"/>
        <w:jc w:val="center"/>
        <w:rPr>
          <w:rFonts w:ascii="Times New Roman" w:hAnsi="Times New Roman" w:cs="Times New Roman"/>
          <w:sz w:val="28"/>
          <w:szCs w:val="28"/>
        </w:rPr>
      </w:pPr>
      <w:r w:rsidRPr="000452AF">
        <w:rPr>
          <w:rFonts w:ascii="Times New Roman" w:hAnsi="Times New Roman" w:cs="Times New Roman"/>
          <w:sz w:val="28"/>
          <w:szCs w:val="28"/>
        </w:rPr>
        <w:t>по дисциплине: «</w:t>
      </w:r>
      <w:r w:rsidR="00222099" w:rsidRPr="000452AF">
        <w:rPr>
          <w:rFonts w:ascii="Times New Roman" w:hAnsi="Times New Roman" w:cs="Times New Roman"/>
          <w:sz w:val="28"/>
          <w:szCs w:val="28"/>
          <w:u w:val="single"/>
        </w:rPr>
        <w:t>Банк</w:t>
      </w:r>
      <w:r w:rsidR="005F4304" w:rsidRPr="000452AF">
        <w:rPr>
          <w:rFonts w:ascii="Times New Roman" w:hAnsi="Times New Roman" w:cs="Times New Roman"/>
          <w:sz w:val="28"/>
          <w:szCs w:val="28"/>
          <w:u w:val="single"/>
        </w:rPr>
        <w:t>овское дело</w:t>
      </w:r>
      <w:r w:rsidRPr="000452AF">
        <w:rPr>
          <w:rFonts w:ascii="Times New Roman" w:hAnsi="Times New Roman" w:cs="Times New Roman"/>
          <w:sz w:val="28"/>
          <w:szCs w:val="28"/>
        </w:rPr>
        <w:t>»</w:t>
      </w:r>
    </w:p>
    <w:p w:rsidR="002578C9" w:rsidRPr="000452AF" w:rsidRDefault="002578C9" w:rsidP="005A3AA2">
      <w:pPr>
        <w:spacing w:line="360" w:lineRule="auto"/>
        <w:jc w:val="center"/>
        <w:rPr>
          <w:rFonts w:ascii="Times New Roman" w:hAnsi="Times New Roman" w:cs="Times New Roman"/>
          <w:sz w:val="28"/>
          <w:szCs w:val="28"/>
          <w:u w:val="single"/>
        </w:rPr>
      </w:pPr>
      <w:r w:rsidRPr="000452AF">
        <w:rPr>
          <w:rFonts w:ascii="Times New Roman" w:hAnsi="Times New Roman" w:cs="Times New Roman"/>
          <w:sz w:val="28"/>
          <w:szCs w:val="28"/>
        </w:rPr>
        <w:t>на тему:</w:t>
      </w:r>
      <w:r w:rsidR="005A3AA2" w:rsidRPr="000452AF">
        <w:rPr>
          <w:rFonts w:ascii="Times New Roman" w:hAnsi="Times New Roman" w:cs="Times New Roman"/>
          <w:sz w:val="28"/>
          <w:szCs w:val="28"/>
        </w:rPr>
        <w:t xml:space="preserve"> </w:t>
      </w:r>
      <w:r w:rsidRPr="000452AF">
        <w:rPr>
          <w:rFonts w:ascii="Times New Roman" w:hAnsi="Times New Roman" w:cs="Times New Roman"/>
          <w:sz w:val="28"/>
          <w:szCs w:val="28"/>
          <w:u w:val="single"/>
        </w:rPr>
        <w:t>«</w:t>
      </w:r>
      <w:r w:rsidR="00222099" w:rsidRPr="000452AF">
        <w:rPr>
          <w:rFonts w:ascii="Times New Roman" w:hAnsi="Times New Roman" w:cs="Times New Roman"/>
          <w:sz w:val="28"/>
          <w:szCs w:val="28"/>
          <w:u w:val="single"/>
        </w:rPr>
        <w:t>Операции банков с ценными бумагами</w:t>
      </w:r>
      <w:r w:rsidRPr="000452AF">
        <w:rPr>
          <w:rFonts w:ascii="Times New Roman" w:hAnsi="Times New Roman" w:cs="Times New Roman"/>
          <w:sz w:val="28"/>
          <w:szCs w:val="28"/>
          <w:u w:val="single"/>
        </w:rPr>
        <w:t>»</w:t>
      </w:r>
    </w:p>
    <w:p w:rsidR="002578C9" w:rsidRPr="000452AF" w:rsidRDefault="002578C9" w:rsidP="005A3AA2">
      <w:pPr>
        <w:spacing w:line="360" w:lineRule="auto"/>
        <w:jc w:val="center"/>
        <w:rPr>
          <w:rFonts w:ascii="Times New Roman" w:hAnsi="Times New Roman" w:cs="Times New Roman"/>
          <w:b/>
          <w:bCs/>
          <w:sz w:val="28"/>
          <w:szCs w:val="28"/>
        </w:rPr>
      </w:pPr>
    </w:p>
    <w:p w:rsidR="005A3AA2" w:rsidRPr="000452AF" w:rsidRDefault="005A3AA2" w:rsidP="005A3AA2">
      <w:pPr>
        <w:spacing w:line="360" w:lineRule="auto"/>
        <w:jc w:val="center"/>
        <w:rPr>
          <w:rFonts w:ascii="Times New Roman" w:hAnsi="Times New Roman" w:cs="Times New Roman"/>
          <w:b/>
          <w:bCs/>
          <w:sz w:val="28"/>
          <w:szCs w:val="28"/>
        </w:rPr>
      </w:pPr>
    </w:p>
    <w:p w:rsidR="002578C9" w:rsidRPr="000452AF" w:rsidRDefault="002578C9" w:rsidP="005A3AA2">
      <w:pPr>
        <w:spacing w:line="360" w:lineRule="auto"/>
        <w:jc w:val="center"/>
        <w:rPr>
          <w:rFonts w:ascii="Times New Roman" w:hAnsi="Times New Roman" w:cs="Times New Roman"/>
          <w:b/>
          <w:bCs/>
          <w:sz w:val="28"/>
          <w:szCs w:val="28"/>
        </w:rPr>
      </w:pPr>
    </w:p>
    <w:p w:rsidR="002578C9" w:rsidRPr="000452AF" w:rsidRDefault="002578C9" w:rsidP="005A3AA2">
      <w:pPr>
        <w:spacing w:line="360" w:lineRule="auto"/>
        <w:jc w:val="center"/>
        <w:rPr>
          <w:rFonts w:ascii="Times New Roman" w:hAnsi="Times New Roman" w:cs="Times New Roman"/>
          <w:b/>
          <w:bCs/>
          <w:sz w:val="28"/>
          <w:szCs w:val="28"/>
        </w:rPr>
      </w:pPr>
    </w:p>
    <w:p w:rsidR="002578C9" w:rsidRPr="000452AF" w:rsidRDefault="002578C9" w:rsidP="005A3AA2">
      <w:pPr>
        <w:spacing w:line="360" w:lineRule="auto"/>
        <w:jc w:val="center"/>
        <w:rPr>
          <w:rFonts w:ascii="Times New Roman" w:hAnsi="Times New Roman" w:cs="Times New Roman"/>
          <w:b/>
          <w:bCs/>
          <w:sz w:val="28"/>
          <w:szCs w:val="28"/>
        </w:rPr>
      </w:pPr>
    </w:p>
    <w:p w:rsidR="002578C9" w:rsidRPr="000452AF" w:rsidRDefault="002578C9" w:rsidP="005A3AA2">
      <w:pPr>
        <w:spacing w:line="360" w:lineRule="auto"/>
        <w:rPr>
          <w:rFonts w:ascii="Times New Roman" w:hAnsi="Times New Roman" w:cs="Times New Roman"/>
          <w:sz w:val="28"/>
          <w:szCs w:val="28"/>
        </w:rPr>
      </w:pPr>
      <w:r w:rsidRPr="000452AF">
        <w:rPr>
          <w:rFonts w:ascii="Times New Roman" w:hAnsi="Times New Roman" w:cs="Times New Roman"/>
          <w:sz w:val="28"/>
          <w:szCs w:val="28"/>
        </w:rPr>
        <w:t>Исполнитель:</w:t>
      </w:r>
    </w:p>
    <w:p w:rsidR="002578C9" w:rsidRPr="000452AF" w:rsidRDefault="002578C9" w:rsidP="005A3AA2">
      <w:pPr>
        <w:spacing w:line="360" w:lineRule="auto"/>
        <w:rPr>
          <w:rFonts w:ascii="Times New Roman" w:hAnsi="Times New Roman" w:cs="Times New Roman"/>
          <w:sz w:val="28"/>
          <w:szCs w:val="28"/>
        </w:rPr>
      </w:pPr>
      <w:r w:rsidRPr="000452AF">
        <w:rPr>
          <w:rFonts w:ascii="Times New Roman" w:hAnsi="Times New Roman" w:cs="Times New Roman"/>
          <w:sz w:val="28"/>
          <w:szCs w:val="28"/>
        </w:rPr>
        <w:t xml:space="preserve">студент </w:t>
      </w:r>
      <w:r w:rsidR="00104C42" w:rsidRPr="000452AF">
        <w:rPr>
          <w:rFonts w:ascii="Times New Roman" w:hAnsi="Times New Roman" w:cs="Times New Roman"/>
          <w:sz w:val="28"/>
          <w:szCs w:val="28"/>
        </w:rPr>
        <w:t>Корнил</w:t>
      </w:r>
      <w:r w:rsidR="00974622" w:rsidRPr="000452AF">
        <w:rPr>
          <w:rFonts w:ascii="Times New Roman" w:hAnsi="Times New Roman" w:cs="Times New Roman"/>
          <w:sz w:val="28"/>
          <w:szCs w:val="28"/>
        </w:rPr>
        <w:t>ова</w:t>
      </w:r>
      <w:r w:rsidR="005A3AA2" w:rsidRPr="000452AF">
        <w:rPr>
          <w:rFonts w:ascii="Times New Roman" w:hAnsi="Times New Roman" w:cs="Times New Roman"/>
          <w:sz w:val="28"/>
          <w:szCs w:val="28"/>
        </w:rPr>
        <w:t xml:space="preserve"> А.А.</w:t>
      </w:r>
    </w:p>
    <w:p w:rsidR="002578C9" w:rsidRPr="000452AF" w:rsidRDefault="002578C9" w:rsidP="005A3AA2">
      <w:pPr>
        <w:spacing w:line="360" w:lineRule="auto"/>
        <w:jc w:val="center"/>
        <w:rPr>
          <w:rFonts w:ascii="Times New Roman" w:hAnsi="Times New Roman" w:cs="Times New Roman"/>
          <w:sz w:val="28"/>
          <w:szCs w:val="28"/>
        </w:rPr>
      </w:pPr>
    </w:p>
    <w:p w:rsidR="002578C9" w:rsidRPr="000452AF" w:rsidRDefault="002578C9" w:rsidP="005A3AA2">
      <w:pPr>
        <w:spacing w:line="360" w:lineRule="auto"/>
        <w:jc w:val="center"/>
        <w:rPr>
          <w:rFonts w:ascii="Times New Roman" w:hAnsi="Times New Roman" w:cs="Times New Roman"/>
          <w:sz w:val="28"/>
          <w:szCs w:val="28"/>
        </w:rPr>
      </w:pPr>
    </w:p>
    <w:p w:rsidR="001C7A69" w:rsidRPr="000452AF" w:rsidRDefault="001C7A69" w:rsidP="005A3AA2">
      <w:pPr>
        <w:spacing w:line="360" w:lineRule="auto"/>
        <w:jc w:val="center"/>
        <w:rPr>
          <w:rFonts w:ascii="Times New Roman" w:hAnsi="Times New Roman" w:cs="Times New Roman"/>
          <w:sz w:val="28"/>
          <w:szCs w:val="28"/>
        </w:rPr>
      </w:pPr>
    </w:p>
    <w:p w:rsidR="005A3AA2" w:rsidRPr="000452AF" w:rsidRDefault="005A3AA2" w:rsidP="005A3AA2">
      <w:pPr>
        <w:spacing w:line="360" w:lineRule="auto"/>
        <w:jc w:val="center"/>
        <w:rPr>
          <w:rFonts w:ascii="Times New Roman" w:hAnsi="Times New Roman" w:cs="Times New Roman"/>
          <w:sz w:val="28"/>
          <w:szCs w:val="28"/>
        </w:rPr>
      </w:pPr>
    </w:p>
    <w:p w:rsidR="005A3AA2" w:rsidRPr="000452AF" w:rsidRDefault="005A3AA2" w:rsidP="005A3AA2">
      <w:pPr>
        <w:spacing w:line="360" w:lineRule="auto"/>
        <w:jc w:val="center"/>
        <w:rPr>
          <w:rFonts w:ascii="Times New Roman" w:hAnsi="Times New Roman" w:cs="Times New Roman"/>
          <w:sz w:val="28"/>
          <w:szCs w:val="28"/>
        </w:rPr>
      </w:pPr>
    </w:p>
    <w:p w:rsidR="002578C9" w:rsidRPr="000452AF" w:rsidRDefault="00104C42" w:rsidP="005A3AA2">
      <w:pPr>
        <w:spacing w:line="360" w:lineRule="auto"/>
        <w:jc w:val="center"/>
        <w:rPr>
          <w:rFonts w:ascii="Times New Roman" w:hAnsi="Times New Roman" w:cs="Times New Roman"/>
          <w:sz w:val="28"/>
          <w:szCs w:val="28"/>
        </w:rPr>
      </w:pPr>
      <w:r w:rsidRPr="000452AF">
        <w:rPr>
          <w:rFonts w:ascii="Times New Roman" w:hAnsi="Times New Roman" w:cs="Times New Roman"/>
          <w:sz w:val="28"/>
          <w:szCs w:val="28"/>
        </w:rPr>
        <w:t xml:space="preserve">Екатеринбург 2009 </w:t>
      </w:r>
      <w:r w:rsidR="002578C9" w:rsidRPr="000452AF">
        <w:rPr>
          <w:rFonts w:ascii="Times New Roman" w:hAnsi="Times New Roman" w:cs="Times New Roman"/>
          <w:sz w:val="28"/>
          <w:szCs w:val="28"/>
        </w:rPr>
        <w:t>г.</w:t>
      </w:r>
    </w:p>
    <w:p w:rsidR="002578C9" w:rsidRPr="000452AF" w:rsidRDefault="005A3AA2" w:rsidP="0095418D">
      <w:pPr>
        <w:shd w:val="clear" w:color="auto" w:fill="FFFFFF"/>
        <w:spacing w:line="360" w:lineRule="auto"/>
        <w:ind w:firstLine="709"/>
        <w:jc w:val="both"/>
        <w:rPr>
          <w:rFonts w:ascii="Times New Roman" w:hAnsi="Times New Roman" w:cs="Times New Roman"/>
          <w:b/>
          <w:bCs/>
          <w:caps/>
          <w:sz w:val="28"/>
          <w:szCs w:val="28"/>
        </w:rPr>
      </w:pPr>
      <w:r w:rsidRPr="000452AF">
        <w:rPr>
          <w:rFonts w:ascii="Times New Roman" w:hAnsi="Times New Roman" w:cs="Times New Roman"/>
          <w:b/>
          <w:bCs/>
          <w:sz w:val="28"/>
          <w:szCs w:val="28"/>
        </w:rPr>
        <w:br w:type="page"/>
      </w:r>
      <w:r w:rsidR="004C5293" w:rsidRPr="000452AF">
        <w:rPr>
          <w:rFonts w:ascii="Times New Roman" w:hAnsi="Times New Roman" w:cs="Times New Roman"/>
          <w:b/>
          <w:bCs/>
          <w:caps/>
          <w:sz w:val="28"/>
          <w:szCs w:val="28"/>
        </w:rPr>
        <w:t>С</w:t>
      </w:r>
      <w:r w:rsidR="00812C1E" w:rsidRPr="000452AF">
        <w:rPr>
          <w:rFonts w:ascii="Times New Roman" w:hAnsi="Times New Roman" w:cs="Times New Roman"/>
          <w:b/>
          <w:bCs/>
          <w:caps/>
          <w:sz w:val="28"/>
          <w:szCs w:val="28"/>
        </w:rPr>
        <w:t>одержание</w:t>
      </w:r>
    </w:p>
    <w:p w:rsidR="002578C9" w:rsidRPr="000452AF" w:rsidRDefault="002578C9" w:rsidP="0095418D">
      <w:pPr>
        <w:pStyle w:val="af"/>
        <w:spacing w:line="360" w:lineRule="auto"/>
        <w:ind w:firstLine="709"/>
        <w:jc w:val="both"/>
        <w:rPr>
          <w:rFonts w:ascii="Times New Roman" w:hAnsi="Times New Roman" w:cs="Times New Roman"/>
          <w:sz w:val="28"/>
          <w:szCs w:val="28"/>
        </w:rPr>
      </w:pPr>
    </w:p>
    <w:p w:rsidR="004C5293" w:rsidRPr="000452AF" w:rsidRDefault="004C5293" w:rsidP="001C7A69">
      <w:pPr>
        <w:pStyle w:val="af"/>
        <w:spacing w:line="360" w:lineRule="auto"/>
        <w:jc w:val="both"/>
        <w:rPr>
          <w:rFonts w:ascii="Times New Roman" w:hAnsi="Times New Roman" w:cs="Times New Roman"/>
          <w:caps/>
          <w:sz w:val="28"/>
          <w:szCs w:val="28"/>
        </w:rPr>
      </w:pPr>
      <w:r w:rsidRPr="000452AF">
        <w:rPr>
          <w:rFonts w:ascii="Times New Roman" w:hAnsi="Times New Roman" w:cs="Times New Roman"/>
          <w:caps/>
          <w:sz w:val="28"/>
          <w:szCs w:val="28"/>
        </w:rPr>
        <w:t>Введ</w:t>
      </w:r>
      <w:r w:rsidR="007650B6" w:rsidRPr="000452AF">
        <w:rPr>
          <w:rFonts w:ascii="Times New Roman" w:hAnsi="Times New Roman" w:cs="Times New Roman"/>
          <w:caps/>
          <w:sz w:val="28"/>
          <w:szCs w:val="28"/>
        </w:rPr>
        <w:t>ение</w:t>
      </w:r>
    </w:p>
    <w:p w:rsidR="00D07DC5" w:rsidRPr="000452AF" w:rsidRDefault="00634547" w:rsidP="001C7A69">
      <w:pPr>
        <w:pStyle w:val="a8"/>
        <w:widowControl/>
        <w:numPr>
          <w:ilvl w:val="0"/>
          <w:numId w:val="1"/>
        </w:numPr>
        <w:spacing w:line="360" w:lineRule="auto"/>
        <w:ind w:left="0" w:firstLine="0"/>
        <w:jc w:val="both"/>
        <w:rPr>
          <w:rFonts w:ascii="Times New Roman" w:hAnsi="Times New Roman" w:cs="Times New Roman"/>
          <w:caps/>
          <w:sz w:val="28"/>
          <w:szCs w:val="28"/>
        </w:rPr>
      </w:pPr>
      <w:r w:rsidRPr="000452AF">
        <w:rPr>
          <w:rFonts w:ascii="Times New Roman" w:hAnsi="Times New Roman" w:cs="Times New Roman"/>
          <w:caps/>
          <w:sz w:val="28"/>
          <w:szCs w:val="28"/>
          <w:lang w:eastAsia="en-US"/>
        </w:rPr>
        <w:t>Виды ценных бумаг и финансовых инструментов,</w:t>
      </w:r>
      <w:r w:rsidR="00061551" w:rsidRPr="000452AF">
        <w:rPr>
          <w:rFonts w:ascii="Times New Roman" w:hAnsi="Times New Roman" w:cs="Times New Roman"/>
          <w:caps/>
          <w:sz w:val="28"/>
          <w:szCs w:val="28"/>
          <w:lang w:eastAsia="en-US"/>
        </w:rPr>
        <w:t xml:space="preserve"> </w:t>
      </w:r>
      <w:r w:rsidRPr="000452AF">
        <w:rPr>
          <w:rFonts w:ascii="Times New Roman" w:hAnsi="Times New Roman" w:cs="Times New Roman"/>
          <w:caps/>
          <w:sz w:val="28"/>
          <w:szCs w:val="28"/>
          <w:lang w:eastAsia="en-US"/>
        </w:rPr>
        <w:t>применяемые в практике коммерческих банков</w:t>
      </w:r>
    </w:p>
    <w:p w:rsidR="00056EF8" w:rsidRPr="000452AF" w:rsidRDefault="0010296B" w:rsidP="0010296B">
      <w:pPr>
        <w:pStyle w:val="af"/>
        <w:widowControl/>
        <w:autoSpaceDE/>
        <w:autoSpaceDN/>
        <w:adjustRightInd/>
        <w:spacing w:line="360" w:lineRule="auto"/>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1.1 </w:t>
      </w:r>
      <w:r w:rsidR="00061551" w:rsidRPr="000452AF">
        <w:rPr>
          <w:rFonts w:ascii="Times New Roman" w:hAnsi="Times New Roman" w:cs="Times New Roman"/>
          <w:sz w:val="28"/>
          <w:szCs w:val="28"/>
          <w:lang w:eastAsia="en-US"/>
        </w:rPr>
        <w:t>Основные виды ценных бумаг и финансовых инструментов</w:t>
      </w:r>
    </w:p>
    <w:p w:rsidR="00623BD2" w:rsidRPr="000452AF" w:rsidRDefault="0010296B" w:rsidP="0010296B">
      <w:pPr>
        <w:pStyle w:val="af"/>
        <w:spacing w:line="360" w:lineRule="auto"/>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1.2 </w:t>
      </w:r>
      <w:r w:rsidR="00634547" w:rsidRPr="000452AF">
        <w:rPr>
          <w:rFonts w:ascii="Times New Roman" w:hAnsi="Times New Roman" w:cs="Times New Roman"/>
          <w:sz w:val="28"/>
          <w:szCs w:val="28"/>
          <w:lang w:eastAsia="en-US"/>
        </w:rPr>
        <w:t>Коммерческие банки как профессиональные участники рынка ценных бумаг</w:t>
      </w:r>
    </w:p>
    <w:p w:rsidR="00D07DC5" w:rsidRPr="000452AF" w:rsidRDefault="00634547" w:rsidP="001C7A69">
      <w:pPr>
        <w:pStyle w:val="a8"/>
        <w:numPr>
          <w:ilvl w:val="0"/>
          <w:numId w:val="1"/>
        </w:numPr>
        <w:shd w:val="clear" w:color="auto" w:fill="FFFFFF"/>
        <w:spacing w:line="360" w:lineRule="auto"/>
        <w:ind w:left="0" w:firstLine="0"/>
        <w:jc w:val="both"/>
        <w:rPr>
          <w:rFonts w:ascii="Times New Roman" w:hAnsi="Times New Roman" w:cs="Times New Roman"/>
          <w:caps/>
          <w:sz w:val="28"/>
          <w:szCs w:val="28"/>
        </w:rPr>
      </w:pPr>
      <w:r w:rsidRPr="000452AF">
        <w:rPr>
          <w:rFonts w:ascii="Times New Roman" w:hAnsi="Times New Roman" w:cs="Times New Roman"/>
          <w:caps/>
          <w:sz w:val="28"/>
          <w:szCs w:val="28"/>
        </w:rPr>
        <w:t>Основные виды сделок с ценными бумагами, используемые в деятельности коммерческих банков</w:t>
      </w:r>
    </w:p>
    <w:p w:rsidR="00623BD2" w:rsidRPr="000452AF" w:rsidRDefault="0010296B" w:rsidP="0010296B">
      <w:pPr>
        <w:pStyle w:val="af"/>
        <w:spacing w:line="360" w:lineRule="auto"/>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2.1 </w:t>
      </w:r>
      <w:r w:rsidR="00634547" w:rsidRPr="000452AF">
        <w:rPr>
          <w:rFonts w:ascii="Times New Roman" w:hAnsi="Times New Roman" w:cs="Times New Roman"/>
          <w:sz w:val="28"/>
          <w:szCs w:val="28"/>
          <w:lang w:eastAsia="en-US"/>
        </w:rPr>
        <w:t>Операции с ценными бумагами</w:t>
      </w:r>
    </w:p>
    <w:p w:rsidR="00623BD2" w:rsidRPr="000452AF" w:rsidRDefault="0010296B" w:rsidP="0010296B">
      <w:pPr>
        <w:pStyle w:val="af"/>
        <w:spacing w:line="360" w:lineRule="auto"/>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2.2 </w:t>
      </w:r>
      <w:r w:rsidR="00634547" w:rsidRPr="000452AF">
        <w:rPr>
          <w:rFonts w:ascii="Times New Roman" w:hAnsi="Times New Roman" w:cs="Times New Roman"/>
          <w:sz w:val="28"/>
          <w:szCs w:val="28"/>
          <w:lang w:eastAsia="en-US"/>
        </w:rPr>
        <w:t>Операции с ценными бумагами обеспечивающие условно-традиционные банковские сделки: репо, кредитование под</w:t>
      </w:r>
      <w:r w:rsidR="001C7A69" w:rsidRPr="000452AF">
        <w:rPr>
          <w:rFonts w:ascii="Times New Roman" w:hAnsi="Times New Roman" w:cs="Times New Roman"/>
          <w:sz w:val="28"/>
          <w:szCs w:val="28"/>
          <w:lang w:eastAsia="en-US"/>
        </w:rPr>
        <w:t xml:space="preserve"> </w:t>
      </w:r>
      <w:r w:rsidR="00634547" w:rsidRPr="000452AF">
        <w:rPr>
          <w:rFonts w:ascii="Times New Roman" w:hAnsi="Times New Roman" w:cs="Times New Roman"/>
          <w:sz w:val="28"/>
          <w:szCs w:val="28"/>
          <w:lang w:eastAsia="en-US"/>
        </w:rPr>
        <w:t>залог, вексельные сделки</w:t>
      </w:r>
    </w:p>
    <w:p w:rsidR="00623BD2" w:rsidRPr="000452AF" w:rsidRDefault="0010296B" w:rsidP="0010296B">
      <w:pPr>
        <w:pStyle w:val="af"/>
        <w:spacing w:line="360" w:lineRule="auto"/>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2.3 </w:t>
      </w:r>
      <w:r w:rsidR="00634547" w:rsidRPr="000452AF">
        <w:rPr>
          <w:rFonts w:ascii="Times New Roman" w:hAnsi="Times New Roman" w:cs="Times New Roman"/>
          <w:sz w:val="28"/>
          <w:szCs w:val="28"/>
          <w:lang w:eastAsia="en-US"/>
        </w:rPr>
        <w:t>Сделки секьюритизации</w:t>
      </w:r>
    </w:p>
    <w:p w:rsidR="00974622" w:rsidRPr="000452AF" w:rsidRDefault="00634547" w:rsidP="001C7A69">
      <w:pPr>
        <w:pStyle w:val="af"/>
        <w:numPr>
          <w:ilvl w:val="0"/>
          <w:numId w:val="1"/>
        </w:numPr>
        <w:spacing w:line="360" w:lineRule="auto"/>
        <w:ind w:left="0" w:firstLine="0"/>
        <w:jc w:val="both"/>
        <w:rPr>
          <w:rFonts w:ascii="Times New Roman" w:hAnsi="Times New Roman" w:cs="Times New Roman"/>
          <w:caps/>
          <w:sz w:val="28"/>
          <w:szCs w:val="28"/>
        </w:rPr>
      </w:pPr>
      <w:r w:rsidRPr="000452AF">
        <w:rPr>
          <w:rFonts w:ascii="Times New Roman" w:hAnsi="Times New Roman" w:cs="Times New Roman"/>
          <w:caps/>
          <w:sz w:val="28"/>
          <w:szCs w:val="28"/>
          <w:lang w:eastAsia="en-US"/>
        </w:rPr>
        <w:t>Перспективные операции коммерческих банков на рынке ценных бумаг</w:t>
      </w:r>
    </w:p>
    <w:p w:rsidR="004C5293" w:rsidRPr="000452AF" w:rsidRDefault="004C5293" w:rsidP="001C7A69">
      <w:pPr>
        <w:pStyle w:val="af"/>
        <w:spacing w:line="360" w:lineRule="auto"/>
        <w:jc w:val="both"/>
        <w:rPr>
          <w:rFonts w:ascii="Times New Roman" w:hAnsi="Times New Roman" w:cs="Times New Roman"/>
          <w:caps/>
          <w:sz w:val="28"/>
          <w:szCs w:val="28"/>
        </w:rPr>
      </w:pPr>
      <w:r w:rsidRPr="000452AF">
        <w:rPr>
          <w:rFonts w:ascii="Times New Roman" w:hAnsi="Times New Roman" w:cs="Times New Roman"/>
          <w:caps/>
          <w:sz w:val="28"/>
          <w:szCs w:val="28"/>
        </w:rPr>
        <w:t>Закл</w:t>
      </w:r>
      <w:r w:rsidR="007650B6" w:rsidRPr="000452AF">
        <w:rPr>
          <w:rFonts w:ascii="Times New Roman" w:hAnsi="Times New Roman" w:cs="Times New Roman"/>
          <w:caps/>
          <w:sz w:val="28"/>
          <w:szCs w:val="28"/>
        </w:rPr>
        <w:t>юч</w:t>
      </w:r>
      <w:r w:rsidR="00634547" w:rsidRPr="000452AF">
        <w:rPr>
          <w:rFonts w:ascii="Times New Roman" w:hAnsi="Times New Roman" w:cs="Times New Roman"/>
          <w:caps/>
          <w:sz w:val="28"/>
          <w:szCs w:val="28"/>
        </w:rPr>
        <w:t>ение</w:t>
      </w:r>
    </w:p>
    <w:p w:rsidR="004C5293" w:rsidRPr="000452AF" w:rsidRDefault="004C5293" w:rsidP="001C7A69">
      <w:pPr>
        <w:pStyle w:val="af"/>
        <w:spacing w:line="360" w:lineRule="auto"/>
        <w:jc w:val="both"/>
        <w:rPr>
          <w:rFonts w:ascii="Times New Roman" w:hAnsi="Times New Roman" w:cs="Times New Roman"/>
          <w:caps/>
          <w:sz w:val="28"/>
          <w:szCs w:val="28"/>
        </w:rPr>
      </w:pPr>
      <w:r w:rsidRPr="000452AF">
        <w:rPr>
          <w:rFonts w:ascii="Times New Roman" w:hAnsi="Times New Roman" w:cs="Times New Roman"/>
          <w:caps/>
          <w:sz w:val="28"/>
          <w:szCs w:val="28"/>
        </w:rPr>
        <w:t>Список используемой литературы</w:t>
      </w:r>
    </w:p>
    <w:p w:rsidR="00634547" w:rsidRPr="000452AF" w:rsidRDefault="00634547" w:rsidP="001C7A69">
      <w:pPr>
        <w:pStyle w:val="af"/>
        <w:spacing w:line="360" w:lineRule="auto"/>
        <w:jc w:val="both"/>
        <w:rPr>
          <w:rFonts w:ascii="Times New Roman" w:hAnsi="Times New Roman" w:cs="Times New Roman"/>
          <w:caps/>
          <w:sz w:val="28"/>
          <w:szCs w:val="28"/>
        </w:rPr>
      </w:pPr>
      <w:r w:rsidRPr="000452AF">
        <w:rPr>
          <w:rFonts w:ascii="Times New Roman" w:hAnsi="Times New Roman" w:cs="Times New Roman"/>
          <w:caps/>
          <w:sz w:val="28"/>
          <w:szCs w:val="28"/>
        </w:rPr>
        <w:t>П</w:t>
      </w:r>
      <w:r w:rsidR="001B2953" w:rsidRPr="000452AF">
        <w:rPr>
          <w:rFonts w:ascii="Times New Roman" w:hAnsi="Times New Roman" w:cs="Times New Roman"/>
          <w:caps/>
          <w:sz w:val="28"/>
          <w:szCs w:val="28"/>
        </w:rPr>
        <w:t>риложение 1</w:t>
      </w:r>
    </w:p>
    <w:p w:rsidR="001B2953" w:rsidRPr="000452AF" w:rsidRDefault="001B2953" w:rsidP="001C7A69">
      <w:pPr>
        <w:pStyle w:val="af"/>
        <w:spacing w:line="360" w:lineRule="auto"/>
        <w:jc w:val="both"/>
        <w:rPr>
          <w:rFonts w:ascii="Times New Roman" w:hAnsi="Times New Roman" w:cs="Times New Roman"/>
          <w:caps/>
          <w:sz w:val="28"/>
          <w:szCs w:val="28"/>
        </w:rPr>
      </w:pPr>
      <w:r w:rsidRPr="000452AF">
        <w:rPr>
          <w:rFonts w:ascii="Times New Roman" w:hAnsi="Times New Roman" w:cs="Times New Roman"/>
          <w:caps/>
          <w:sz w:val="28"/>
          <w:szCs w:val="28"/>
        </w:rPr>
        <w:t>приложение 2</w:t>
      </w:r>
    </w:p>
    <w:p w:rsidR="002578C9" w:rsidRPr="000452AF" w:rsidRDefault="001C7A69" w:rsidP="0095418D">
      <w:pPr>
        <w:shd w:val="clear" w:color="auto" w:fill="FFFFFF"/>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b/>
          <w:bCs/>
          <w:sz w:val="28"/>
          <w:szCs w:val="28"/>
        </w:rPr>
        <w:br w:type="page"/>
      </w:r>
      <w:r w:rsidR="00812C1E" w:rsidRPr="000452AF">
        <w:rPr>
          <w:rFonts w:ascii="Times New Roman" w:hAnsi="Times New Roman" w:cs="Times New Roman"/>
          <w:b/>
          <w:bCs/>
          <w:sz w:val="28"/>
          <w:szCs w:val="28"/>
        </w:rPr>
        <w:t>ВВЕДЕНИЕ</w:t>
      </w:r>
    </w:p>
    <w:p w:rsidR="00B92D65" w:rsidRPr="000452AF" w:rsidRDefault="00B92D65" w:rsidP="0095418D">
      <w:pPr>
        <w:spacing w:line="360" w:lineRule="auto"/>
        <w:ind w:firstLine="709"/>
        <w:jc w:val="both"/>
        <w:rPr>
          <w:rFonts w:ascii="Times New Roman" w:hAnsi="Times New Roman" w:cs="Times New Roman"/>
          <w:sz w:val="28"/>
          <w:szCs w:val="28"/>
        </w:rPr>
      </w:pPr>
    </w:p>
    <w:p w:rsidR="00222099" w:rsidRPr="000452AF" w:rsidRDefault="00222099"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lang w:eastAsia="en-US"/>
        </w:rPr>
        <w:t>Операциями на рынке ценных бумаг, уже много лет во всем мире занимаются различные финансовые институты, в том числе и коммерческие банки. С переходом российской экономики на рыночные отношения операции с ценными бумагами вошли в практику большинства хозяйствующих субъектов и в России. Коммерческие банки, как наиболее подготовленные участники рынка, одними из первых освоили новый сегмент финансовой индустрии. Они быстро поняли, что на операциях с ценными бумагами можно зарабатывать немалую прибыль. С развитием фондового рынка и ввода новых финансовых инструментов, расширялись возможности коммерческих банков на рынке ценных бумаг, усложнялись применяемые схемы сделок.</w:t>
      </w:r>
      <w:r w:rsidRPr="000452AF">
        <w:rPr>
          <w:rFonts w:ascii="Times New Roman" w:hAnsi="Times New Roman" w:cs="Times New Roman"/>
          <w:sz w:val="28"/>
          <w:szCs w:val="28"/>
        </w:rPr>
        <w:t xml:space="preserve"> </w:t>
      </w:r>
    </w:p>
    <w:p w:rsidR="00222099" w:rsidRPr="000452AF" w:rsidRDefault="00222099"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Российский фондовый рынок, сформированный на базе одновременно двух основных моделей – германской и американской – поставил его участников перед необходимостью развивать бизнес в достаточно специфических, по сравнению с мировым опытом, условиях.</w:t>
      </w:r>
    </w:p>
    <w:p w:rsidR="00DC072F" w:rsidRPr="000452AF" w:rsidRDefault="00DC072F"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lang w:eastAsia="en-US"/>
        </w:rPr>
        <w:t>Актуальность работы состоит в выявлении специфики работы коммерческих банков с финансовыми инструментами в условиях формирования фондового рынка и выработке предложений по дальнейшему развитию банковских технологий в этой сфере. По мнению ряда научных деятелей в области экономике и финансов, в число которых входят Рубцов Б.Б.</w:t>
      </w:r>
      <w:r w:rsidR="00EE67BE" w:rsidRPr="000452AF">
        <w:rPr>
          <w:rFonts w:ascii="Times New Roman" w:hAnsi="Times New Roman" w:cs="Times New Roman"/>
          <w:sz w:val="28"/>
          <w:szCs w:val="28"/>
          <w:lang w:eastAsia="en-US"/>
        </w:rPr>
        <w:t>, Смыслов Д.В.</w:t>
      </w:r>
      <w:r w:rsidRPr="000452AF">
        <w:rPr>
          <w:rFonts w:ascii="Times New Roman" w:hAnsi="Times New Roman" w:cs="Times New Roman"/>
          <w:sz w:val="28"/>
          <w:szCs w:val="28"/>
          <w:lang w:eastAsia="en-US"/>
        </w:rPr>
        <w:t xml:space="preserve">, </w:t>
      </w:r>
      <w:r w:rsidR="00EE67BE" w:rsidRPr="000452AF">
        <w:rPr>
          <w:rFonts w:ascii="Times New Roman" w:hAnsi="Times New Roman" w:cs="Times New Roman"/>
          <w:sz w:val="28"/>
          <w:szCs w:val="28"/>
          <w:lang w:eastAsia="en-US"/>
        </w:rPr>
        <w:t xml:space="preserve">Абрамов А.Е., </w:t>
      </w:r>
      <w:r w:rsidRPr="000452AF">
        <w:rPr>
          <w:rFonts w:ascii="Times New Roman" w:hAnsi="Times New Roman" w:cs="Times New Roman"/>
          <w:sz w:val="28"/>
          <w:szCs w:val="28"/>
          <w:lang w:eastAsia="en-US"/>
        </w:rPr>
        <w:t>Миркин Я.М. и др., существующая практика проведения подобных операций себя далеко не исчерпала, поэтому коммерческие банки обладают большим потенциалом и перспективами дальнейшего роста в этом направлении бизнеса.</w:t>
      </w:r>
    </w:p>
    <w:p w:rsidR="00C81BED" w:rsidRPr="000452AF" w:rsidRDefault="00C81BED"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Цель данной контрольной работы</w:t>
      </w:r>
      <w:r w:rsidR="007D6ACE" w:rsidRPr="000452AF">
        <w:rPr>
          <w:rFonts w:ascii="Times New Roman" w:hAnsi="Times New Roman" w:cs="Times New Roman"/>
          <w:sz w:val="28"/>
          <w:szCs w:val="28"/>
        </w:rPr>
        <w:t xml:space="preserve"> – </w:t>
      </w:r>
      <w:r w:rsidR="00222099" w:rsidRPr="000452AF">
        <w:rPr>
          <w:rFonts w:ascii="Times New Roman" w:hAnsi="Times New Roman" w:cs="Times New Roman"/>
          <w:sz w:val="28"/>
          <w:szCs w:val="28"/>
          <w:lang w:eastAsia="en-US"/>
        </w:rPr>
        <w:t>выявление особенностей, отличающих принципы поведения коммерческих банков на рынке ценных бумаг (в качестве профессиональных участников) от поведения остальных профессиональных участников этого рынка</w:t>
      </w:r>
      <w:r w:rsidR="00146C0C" w:rsidRPr="000452AF">
        <w:rPr>
          <w:rFonts w:ascii="Times New Roman" w:hAnsi="Times New Roman" w:cs="Times New Roman"/>
          <w:sz w:val="28"/>
          <w:szCs w:val="28"/>
          <w:lang w:eastAsia="en-US"/>
        </w:rPr>
        <w:t xml:space="preserve">. </w:t>
      </w:r>
      <w:r w:rsidR="007D6ACE" w:rsidRPr="000452AF">
        <w:rPr>
          <w:rFonts w:ascii="Times New Roman" w:hAnsi="Times New Roman" w:cs="Times New Roman"/>
          <w:sz w:val="28"/>
          <w:szCs w:val="28"/>
        </w:rPr>
        <w:t>Для реализации поставленной цели необходимо решить следующие задачи:</w:t>
      </w:r>
    </w:p>
    <w:p w:rsidR="007D6ACE" w:rsidRPr="000452AF" w:rsidRDefault="007D6ACE" w:rsidP="0095418D">
      <w:pPr>
        <w:pStyle w:val="af"/>
        <w:numPr>
          <w:ilvl w:val="0"/>
          <w:numId w:val="8"/>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rPr>
        <w:t xml:space="preserve">Обобщить и проанализировать научную литературу </w:t>
      </w:r>
      <w:r w:rsidR="00634547" w:rsidRPr="000452AF">
        <w:rPr>
          <w:rFonts w:ascii="Times New Roman" w:hAnsi="Times New Roman" w:cs="Times New Roman"/>
          <w:sz w:val="28"/>
          <w:szCs w:val="28"/>
        </w:rPr>
        <w:t xml:space="preserve">и нормативно-правовые акты </w:t>
      </w:r>
      <w:r w:rsidRPr="000452AF">
        <w:rPr>
          <w:rFonts w:ascii="Times New Roman" w:hAnsi="Times New Roman" w:cs="Times New Roman"/>
          <w:sz w:val="28"/>
          <w:szCs w:val="28"/>
        </w:rPr>
        <w:t>по данному вопросу</w:t>
      </w:r>
    </w:p>
    <w:p w:rsidR="007D6ACE" w:rsidRPr="000452AF" w:rsidRDefault="00634547" w:rsidP="0095418D">
      <w:pPr>
        <w:pStyle w:val="af"/>
        <w:numPr>
          <w:ilvl w:val="0"/>
          <w:numId w:val="8"/>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rPr>
        <w:t>Рассмотреть</w:t>
      </w:r>
      <w:r w:rsidR="007D6ACE" w:rsidRPr="000452AF">
        <w:rPr>
          <w:rFonts w:ascii="Times New Roman" w:hAnsi="Times New Roman" w:cs="Times New Roman"/>
          <w:sz w:val="28"/>
          <w:szCs w:val="28"/>
        </w:rPr>
        <w:t xml:space="preserve"> </w:t>
      </w:r>
      <w:r w:rsidRPr="000452AF">
        <w:rPr>
          <w:rFonts w:ascii="Times New Roman" w:hAnsi="Times New Roman" w:cs="Times New Roman"/>
          <w:sz w:val="28"/>
          <w:szCs w:val="28"/>
        </w:rPr>
        <w:t>в</w:t>
      </w:r>
      <w:r w:rsidRPr="000452AF">
        <w:rPr>
          <w:rFonts w:ascii="Times New Roman" w:hAnsi="Times New Roman" w:cs="Times New Roman"/>
          <w:sz w:val="28"/>
          <w:szCs w:val="28"/>
          <w:lang w:eastAsia="en-US"/>
        </w:rPr>
        <w:t xml:space="preserve">иды ценных бумаг и финансовых инструментов, </w:t>
      </w:r>
      <w:r w:rsidR="00146C0C" w:rsidRPr="000452AF">
        <w:rPr>
          <w:rFonts w:ascii="Times New Roman" w:hAnsi="Times New Roman" w:cs="Times New Roman"/>
          <w:sz w:val="28"/>
          <w:szCs w:val="28"/>
          <w:lang w:eastAsia="en-US"/>
        </w:rPr>
        <w:t>которые применяются</w:t>
      </w:r>
      <w:r w:rsidRPr="000452AF">
        <w:rPr>
          <w:rFonts w:ascii="Times New Roman" w:hAnsi="Times New Roman" w:cs="Times New Roman"/>
          <w:sz w:val="28"/>
          <w:szCs w:val="28"/>
          <w:lang w:eastAsia="en-US"/>
        </w:rPr>
        <w:t xml:space="preserve"> в практике коммерческих банков</w:t>
      </w:r>
    </w:p>
    <w:p w:rsidR="00146C0C" w:rsidRPr="000452AF" w:rsidRDefault="00146C0C" w:rsidP="0095418D">
      <w:pPr>
        <w:pStyle w:val="af"/>
        <w:numPr>
          <w:ilvl w:val="0"/>
          <w:numId w:val="8"/>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rPr>
        <w:t>Дать характеристику основным видам сделок с ценными бумагами, используемые в деятельности коммерческих банков</w:t>
      </w:r>
    </w:p>
    <w:p w:rsidR="007D6ACE" w:rsidRPr="000452AF" w:rsidRDefault="00146C0C" w:rsidP="0095418D">
      <w:pPr>
        <w:pStyle w:val="af"/>
        <w:numPr>
          <w:ilvl w:val="0"/>
          <w:numId w:val="8"/>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rPr>
        <w:t>Обозначить</w:t>
      </w:r>
      <w:r w:rsidR="007D6ACE" w:rsidRPr="000452AF">
        <w:rPr>
          <w:rFonts w:ascii="Times New Roman" w:hAnsi="Times New Roman" w:cs="Times New Roman"/>
          <w:sz w:val="28"/>
          <w:szCs w:val="28"/>
        </w:rPr>
        <w:t xml:space="preserve"> </w:t>
      </w:r>
      <w:r w:rsidRPr="000452AF">
        <w:rPr>
          <w:rFonts w:ascii="Times New Roman" w:hAnsi="Times New Roman" w:cs="Times New Roman"/>
          <w:sz w:val="28"/>
          <w:szCs w:val="28"/>
          <w:lang w:eastAsia="en-US"/>
        </w:rPr>
        <w:t>перспективные операции банков с ценными бумагами</w:t>
      </w:r>
    </w:p>
    <w:p w:rsidR="002578C9" w:rsidRPr="000452AF" w:rsidRDefault="00812C1E" w:rsidP="00812C1E">
      <w:pPr>
        <w:widowControl/>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b/>
          <w:bCs/>
          <w:sz w:val="28"/>
          <w:szCs w:val="28"/>
        </w:rPr>
        <w:br w:type="page"/>
      </w:r>
      <w:r w:rsidR="00DC072F" w:rsidRPr="000452AF">
        <w:rPr>
          <w:rFonts w:ascii="Times New Roman" w:hAnsi="Times New Roman" w:cs="Times New Roman"/>
          <w:b/>
          <w:bCs/>
          <w:sz w:val="28"/>
          <w:szCs w:val="28"/>
        </w:rPr>
        <w:t xml:space="preserve">1. </w:t>
      </w:r>
      <w:r w:rsidR="00DC072F" w:rsidRPr="000452AF">
        <w:rPr>
          <w:rFonts w:ascii="Times New Roman" w:hAnsi="Times New Roman" w:cs="Times New Roman"/>
          <w:b/>
          <w:bCs/>
          <w:sz w:val="28"/>
          <w:szCs w:val="28"/>
          <w:lang w:eastAsia="en-US"/>
        </w:rPr>
        <w:t>ВИДЫ ЦЕННЫХ БУМАГ И ФИНАНСОВЫХ ИНСТРУМЕНТОВ,</w:t>
      </w:r>
      <w:r w:rsidRPr="000452AF">
        <w:rPr>
          <w:rFonts w:ascii="Times New Roman" w:hAnsi="Times New Roman" w:cs="Times New Roman"/>
          <w:b/>
          <w:bCs/>
          <w:sz w:val="28"/>
          <w:szCs w:val="28"/>
          <w:lang w:eastAsia="en-US"/>
        </w:rPr>
        <w:t xml:space="preserve"> </w:t>
      </w:r>
      <w:r w:rsidR="00DC072F" w:rsidRPr="000452AF">
        <w:rPr>
          <w:rFonts w:ascii="Times New Roman" w:hAnsi="Times New Roman" w:cs="Times New Roman"/>
          <w:b/>
          <w:bCs/>
          <w:sz w:val="28"/>
          <w:szCs w:val="28"/>
          <w:lang w:eastAsia="en-US"/>
        </w:rPr>
        <w:t>ПРИМЕНЯЕМЫЕ В ПРАКТИКЕ КОММЕРЧЕСКИХ БАНКОВ</w:t>
      </w:r>
    </w:p>
    <w:p w:rsidR="00286343" w:rsidRPr="000452AF" w:rsidRDefault="00286343" w:rsidP="0095418D">
      <w:pPr>
        <w:spacing w:line="360" w:lineRule="auto"/>
        <w:ind w:firstLine="709"/>
        <w:jc w:val="both"/>
        <w:rPr>
          <w:rFonts w:ascii="Times New Roman" w:hAnsi="Times New Roman" w:cs="Times New Roman"/>
          <w:sz w:val="28"/>
          <w:szCs w:val="28"/>
        </w:rPr>
      </w:pPr>
    </w:p>
    <w:p w:rsidR="00DC072F" w:rsidRPr="000452AF" w:rsidRDefault="00812C1E" w:rsidP="00812C1E">
      <w:pPr>
        <w:pStyle w:val="af"/>
        <w:spacing w:line="360" w:lineRule="auto"/>
        <w:ind w:firstLine="700"/>
        <w:jc w:val="both"/>
        <w:rPr>
          <w:rFonts w:ascii="Times New Roman" w:hAnsi="Times New Roman" w:cs="Times New Roman"/>
          <w:sz w:val="28"/>
          <w:szCs w:val="28"/>
        </w:rPr>
      </w:pPr>
      <w:r w:rsidRPr="000452AF">
        <w:rPr>
          <w:rFonts w:ascii="Times New Roman" w:hAnsi="Times New Roman" w:cs="Times New Roman"/>
          <w:b/>
          <w:bCs/>
          <w:sz w:val="28"/>
          <w:szCs w:val="28"/>
          <w:lang w:eastAsia="en-US"/>
        </w:rPr>
        <w:t xml:space="preserve">1.1 </w:t>
      </w:r>
      <w:r w:rsidR="00DC072F" w:rsidRPr="000452AF">
        <w:rPr>
          <w:rFonts w:ascii="Times New Roman" w:hAnsi="Times New Roman" w:cs="Times New Roman"/>
          <w:b/>
          <w:bCs/>
          <w:sz w:val="28"/>
          <w:szCs w:val="28"/>
          <w:lang w:eastAsia="en-US"/>
        </w:rPr>
        <w:t>Основные виды ценных бумаг и финансовых инструментов</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DC072F"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Ценные бумаги в качестве предмета деятельности для коммерческих банков появились в нашей стране с началом перестройки и становления рыночных механизмов.</w:t>
      </w:r>
    </w:p>
    <w:p w:rsidR="00DC072F"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Справедливости ради стоит отметить, что плановая экономика советского периода также</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использовала ценные бумаги в качестве инструмента привлечения финансовых ресурсов.</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Всем известны облигационные займы первых пятилеток, а также займы послевоенных</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лет. Безусловно, условия выпуска, размещения и обращения таких облигаций были далеки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 тех финансовых инструментов, которыми оперируют российские коммерческие банки в</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настоящее время, но сам факт существования одного из наиболее ярких инструментов</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рыночной экономики в абсолютно нерыночной среде свидетельствует о том, что ценная</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бумага является совершенно необходимым атрибутом нормальной хозяйственной жизни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общества. Более того, она может быть идентифицирована как объективная экономическая</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категория.</w:t>
      </w:r>
    </w:p>
    <w:p w:rsidR="00DC072F"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настоящее время в соответствии с действующим законодательством 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сложившейся современной российской практикой делового оборота к ценным бумагам</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отнесены документы, которые удостоверяют с соблюдением установленной формы 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обязательных реквизитов имущественные права, осуществление и передача которых</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возможна только при их предъявлении (ст. 142 ГК РФ). Однако данное определение</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является не полным, так как кроме имущественных прав, ценная бумага удостоверяет 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неимущественные права владельца. Поэтому свое развитие определение ценных бумаг</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получило в федеральных законах, регулирующих более узкие сферы хозяйственной</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деятельности и посвященных отдельным классам активов, представленных ценными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бумагами</w:t>
      </w:r>
    </w:p>
    <w:p w:rsidR="00DC072F"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Основные виды ценных бумаг также определены Гражданским Кодексом (ст. 143,</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912). К ним относятся: государственная облигация, облигация, вексель, чек, депозитный</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сертификат, сберегательный сертификат, банковская сберегательная книжка на</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предъявителя, коносамент, акция, приватизационные ценные бумаги, двойное складское</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свидетельство, складское свидетельство как часть двойного, залоговое свидетельство</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(варрант) как часть двойного, простое складское свидетельство.</w:t>
      </w:r>
    </w:p>
    <w:p w:rsidR="00DC072F"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Современные коммерческие банки используют ценные бумаги в основном в</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следующих направлениях деятельности – поддержание ликвидности, повышение</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качества обеспечения при кредитовании, создание новых инвестиционных продуктов.</w:t>
      </w:r>
    </w:p>
    <w:p w:rsidR="00827691" w:rsidRPr="000452AF" w:rsidRDefault="00DC072F"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Ценные бумаги являются основным предметом деятельности для таких подразделений</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коммерческих банков как казначейства, кредитные департаменты, департаменты</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инвестиционно-банковских услуг. В таблице </w:t>
      </w:r>
      <w:r w:rsidR="007C3469" w:rsidRPr="000452AF">
        <w:rPr>
          <w:rFonts w:ascii="Times New Roman" w:hAnsi="Times New Roman" w:cs="Times New Roman"/>
          <w:sz w:val="28"/>
          <w:szCs w:val="28"/>
          <w:lang w:eastAsia="en-US"/>
        </w:rPr>
        <w:t xml:space="preserve">1 </w:t>
      </w:r>
      <w:r w:rsidRPr="000452AF">
        <w:rPr>
          <w:rFonts w:ascii="Times New Roman" w:hAnsi="Times New Roman" w:cs="Times New Roman"/>
          <w:sz w:val="28"/>
          <w:szCs w:val="28"/>
          <w:lang w:eastAsia="en-US"/>
        </w:rPr>
        <w:t>сгруппированы</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основные функции, выполняемые названными подразделениями коммерческого банка и</w:t>
      </w:r>
      <w:r w:rsidR="007C346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основные виды ценных бумаг, которые ими при этом используются.</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7C3469" w:rsidRPr="000452AF" w:rsidRDefault="00812C1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Таблица 1 - </w:t>
      </w:r>
      <w:r w:rsidR="007C3469" w:rsidRPr="000452AF">
        <w:rPr>
          <w:rFonts w:ascii="Times New Roman" w:hAnsi="Times New Roman" w:cs="Times New Roman"/>
          <w:sz w:val="28"/>
          <w:szCs w:val="28"/>
          <w:lang w:eastAsia="en-US"/>
        </w:rPr>
        <w:t>Структурные подразделения коммерческих банков, активно использующих</w:t>
      </w:r>
      <w:r w:rsidRPr="000452AF">
        <w:rPr>
          <w:rFonts w:ascii="Times New Roman" w:hAnsi="Times New Roman" w:cs="Times New Roman"/>
          <w:sz w:val="28"/>
          <w:szCs w:val="28"/>
          <w:lang w:eastAsia="en-US"/>
        </w:rPr>
        <w:t xml:space="preserve"> </w:t>
      </w:r>
      <w:r w:rsidR="007C3469" w:rsidRPr="000452AF">
        <w:rPr>
          <w:rFonts w:ascii="Times New Roman" w:hAnsi="Times New Roman" w:cs="Times New Roman"/>
          <w:sz w:val="28"/>
          <w:szCs w:val="28"/>
          <w:lang w:eastAsia="en-US"/>
        </w:rPr>
        <w:t>ценные бумаги в своей деятельности и их основные функции</w:t>
      </w:r>
    </w:p>
    <w:tbl>
      <w:tblPr>
        <w:tblW w:w="9000"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9"/>
        <w:gridCol w:w="3969"/>
        <w:gridCol w:w="2622"/>
      </w:tblGrid>
      <w:tr w:rsidR="007C3469" w:rsidRPr="000452AF">
        <w:tc>
          <w:tcPr>
            <w:tcW w:w="2409" w:type="dxa"/>
          </w:tcPr>
          <w:p w:rsidR="007C3469" w:rsidRPr="000452AF" w:rsidRDefault="007C3469"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Подразделения коммерческих банков</w:t>
            </w:r>
          </w:p>
        </w:tc>
        <w:tc>
          <w:tcPr>
            <w:tcW w:w="3969"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 xml:space="preserve">Основные функции </w:t>
            </w:r>
            <w:r w:rsidR="007C3469" w:rsidRPr="000452AF">
              <w:rPr>
                <w:rFonts w:ascii="Times New Roman" w:hAnsi="Times New Roman" w:cs="Times New Roman"/>
                <w:lang w:eastAsia="en-US"/>
              </w:rPr>
              <w:t>подразделений</w:t>
            </w:r>
          </w:p>
        </w:tc>
        <w:tc>
          <w:tcPr>
            <w:tcW w:w="2622"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 xml:space="preserve">Виды применяемых </w:t>
            </w:r>
            <w:r w:rsidR="007C3469" w:rsidRPr="000452AF">
              <w:rPr>
                <w:rFonts w:ascii="Times New Roman" w:hAnsi="Times New Roman" w:cs="Times New Roman"/>
                <w:lang w:eastAsia="en-US"/>
              </w:rPr>
              <w:t>ценных бумаг</w:t>
            </w:r>
          </w:p>
        </w:tc>
      </w:tr>
      <w:tr w:rsidR="007C3469" w:rsidRPr="000452AF">
        <w:tc>
          <w:tcPr>
            <w:tcW w:w="2409" w:type="dxa"/>
          </w:tcPr>
          <w:p w:rsidR="007C3469" w:rsidRPr="000452AF" w:rsidRDefault="007C3469"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Казначейство (включая торговые операции с ценными бумагами на собственную позицию и операции на денежном рынке)</w:t>
            </w:r>
          </w:p>
        </w:tc>
        <w:tc>
          <w:tcPr>
            <w:tcW w:w="3969"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Поддержание мгновенной и текущей ликвидности банка, управление рублевой и валютной позициями банка, оптимизация маршрутов платежей, минимизация стоимости привлеченных ресурсов, работа на рынке межбанковских кредитов. Передача информации о фактах просрочки платежей по межбанковским кредитам и их невозвратах.</w:t>
            </w:r>
          </w:p>
        </w:tc>
        <w:tc>
          <w:tcPr>
            <w:tcW w:w="2622"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Кратко- и среднесрочные инструменты, включая все инструменты денежного рынка, наиболее ликвидные долевые и долговые бумаги (в основном «голубые фишки» и облигации первоклассных заемщиков, векселя первоклассных заемщиков). Процентные свопы в качестве инструмента хеджирования</w:t>
            </w:r>
          </w:p>
        </w:tc>
      </w:tr>
      <w:tr w:rsidR="007C3469" w:rsidRPr="000452AF">
        <w:tc>
          <w:tcPr>
            <w:tcW w:w="2409" w:type="dxa"/>
          </w:tcPr>
          <w:p w:rsidR="007C3469" w:rsidRPr="000452AF" w:rsidRDefault="007C3469"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Департамент кредитования</w:t>
            </w:r>
            <w:r w:rsidR="00D57FB5" w:rsidRPr="000452AF">
              <w:rPr>
                <w:rFonts w:ascii="Times New Roman" w:hAnsi="Times New Roman" w:cs="Times New Roman"/>
                <w:lang w:eastAsia="en-US"/>
              </w:rPr>
              <w:t xml:space="preserve"> корпоративных клиентов</w:t>
            </w:r>
          </w:p>
        </w:tc>
        <w:tc>
          <w:tcPr>
            <w:tcW w:w="3969"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Предоставление всех видов коммерческих кредитов с использованием обеспечения и без него, предоставление овердрафтов, кредитование прямых капиталовложений и девелоперских проектов, ипотечное кредитование. Организация постоянного мониторинга финансового состояния ссудозаемшиков, передача информации о фактах просроченных платежей по кредитам, невозвратах и т.д. Работа с залоговым имуществом в период действия договора</w:t>
            </w:r>
          </w:p>
        </w:tc>
        <w:tc>
          <w:tcPr>
            <w:tcW w:w="2622" w:type="dxa"/>
          </w:tcPr>
          <w:p w:rsidR="007C3469" w:rsidRPr="000452AF" w:rsidRDefault="00D57FB5"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Ценные бумаги, предоставляемые клиентом в качестве обеспечения: пакеты собственных акций клиентов (с дисконтом), иные ценные бумаги, принадлежащие</w:t>
            </w:r>
            <w:r w:rsidR="0031775C" w:rsidRPr="000452AF">
              <w:rPr>
                <w:rFonts w:ascii="Times New Roman" w:hAnsi="Times New Roman" w:cs="Times New Roman"/>
                <w:lang w:eastAsia="en-US"/>
              </w:rPr>
              <w:t xml:space="preserve"> клиентам на праве собственности или ином вещном праве, которые по условиям их выпуска и обращения могут быть обременены залогом в пользу третьих лиц и реализованы в максимально короткие сроки (векселя, облигации). При предоставлении кредитов на время поставки товаров используют коносаменты.</w:t>
            </w:r>
          </w:p>
        </w:tc>
      </w:tr>
      <w:tr w:rsidR="007C3469" w:rsidRPr="000452AF">
        <w:tc>
          <w:tcPr>
            <w:tcW w:w="2409" w:type="dxa"/>
          </w:tcPr>
          <w:p w:rsidR="007C3469" w:rsidRPr="000452AF" w:rsidRDefault="0031775C"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Департаменты кредитования физических лиц</w:t>
            </w:r>
          </w:p>
        </w:tc>
        <w:tc>
          <w:tcPr>
            <w:tcW w:w="3969" w:type="dxa"/>
          </w:tcPr>
          <w:p w:rsidR="007C3469" w:rsidRPr="000452AF" w:rsidRDefault="0031775C"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Выдача и обслуживание кредитов физическим лицам, развитие системы кросс-продаж банковских продуктов (депозитов, банковских карт и т.д.) а также</w:t>
            </w:r>
            <w:r w:rsidR="00CB1417" w:rsidRPr="000452AF">
              <w:rPr>
                <w:rFonts w:ascii="Times New Roman" w:hAnsi="Times New Roman" w:cs="Times New Roman"/>
                <w:lang w:eastAsia="en-US"/>
              </w:rPr>
              <w:t xml:space="preserve"> осуществление иных видов кредитования населения (в том числе экспресс-кредиты, кредиты, предоставляемые владельцам пластиковых карт и т.д. работа с залоговым имуществом в период действия договора залога.</w:t>
            </w:r>
          </w:p>
        </w:tc>
        <w:tc>
          <w:tcPr>
            <w:tcW w:w="2622" w:type="dxa"/>
          </w:tcPr>
          <w:p w:rsidR="007C3469" w:rsidRPr="000452AF" w:rsidRDefault="0031775C"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Ценные бумаги используются крайне редко. Иногда предлагаются клиентам векселя, депозитные сертификаты</w:t>
            </w:r>
            <w:r w:rsidR="00CB1417" w:rsidRPr="000452AF">
              <w:rPr>
                <w:rFonts w:ascii="Times New Roman" w:hAnsi="Times New Roman" w:cs="Times New Roman"/>
                <w:lang w:eastAsia="en-US"/>
              </w:rPr>
              <w:t xml:space="preserve"> кредитующего банка, паи фондов, которыми управляет аффилированная УК.</w:t>
            </w:r>
          </w:p>
        </w:tc>
      </w:tr>
      <w:tr w:rsidR="00AB1B1A" w:rsidRPr="000452AF">
        <w:tc>
          <w:tcPr>
            <w:tcW w:w="2409" w:type="dxa"/>
          </w:tcPr>
          <w:p w:rsidR="00AB1B1A"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Инвестиционно-банковский департамент:</w:t>
            </w:r>
          </w:p>
        </w:tc>
        <w:tc>
          <w:tcPr>
            <w:tcW w:w="3969" w:type="dxa"/>
            <w:vMerge w:val="restart"/>
          </w:tcPr>
          <w:p w:rsidR="00AB1B1A"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Выполнение операций купли/продажи ценных бумаг по поручению клиентов, предоставление средств для проведения маржинальных сделок, управление счетами клиентов в рамках предоставленных полномочий, предложение клиентам ценных бумаг, выпуск которых организован подразделениями корфина (кросс-продажи банковских продуктов).</w:t>
            </w:r>
          </w:p>
        </w:tc>
        <w:tc>
          <w:tcPr>
            <w:tcW w:w="2622" w:type="dxa"/>
            <w:vMerge w:val="restart"/>
          </w:tcPr>
          <w:p w:rsidR="00AB1B1A"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Все виды ценных бумаг и производных финансовых инструментов в соответствии с «приказами» клиентов, включая низколиквидные ценные бумаги.</w:t>
            </w:r>
          </w:p>
        </w:tc>
      </w:tr>
      <w:tr w:rsidR="00AB1B1A" w:rsidRPr="000452AF">
        <w:tc>
          <w:tcPr>
            <w:tcW w:w="2409" w:type="dxa"/>
          </w:tcPr>
          <w:p w:rsidR="00AB1B1A"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Брокеридж и доверительное управление средствами клиентов</w:t>
            </w:r>
          </w:p>
        </w:tc>
        <w:tc>
          <w:tcPr>
            <w:tcW w:w="3969" w:type="dxa"/>
            <w:vMerge/>
          </w:tcPr>
          <w:p w:rsidR="00AB1B1A" w:rsidRPr="000452AF" w:rsidRDefault="00AB1B1A" w:rsidP="00812C1E">
            <w:pPr>
              <w:widowControl/>
              <w:spacing w:line="360" w:lineRule="auto"/>
              <w:jc w:val="both"/>
              <w:rPr>
                <w:rFonts w:ascii="Times New Roman" w:hAnsi="Times New Roman" w:cs="Times New Roman"/>
                <w:lang w:eastAsia="en-US"/>
              </w:rPr>
            </w:pPr>
          </w:p>
        </w:tc>
        <w:tc>
          <w:tcPr>
            <w:tcW w:w="2622" w:type="dxa"/>
            <w:vMerge/>
          </w:tcPr>
          <w:p w:rsidR="00AB1B1A" w:rsidRPr="000452AF" w:rsidRDefault="00AB1B1A" w:rsidP="00812C1E">
            <w:pPr>
              <w:widowControl/>
              <w:spacing w:line="360" w:lineRule="auto"/>
              <w:jc w:val="both"/>
              <w:rPr>
                <w:rFonts w:ascii="Times New Roman" w:hAnsi="Times New Roman" w:cs="Times New Roman"/>
                <w:lang w:eastAsia="en-US"/>
              </w:rPr>
            </w:pPr>
          </w:p>
        </w:tc>
      </w:tr>
      <w:tr w:rsidR="007C3469" w:rsidRPr="000452AF">
        <w:tc>
          <w:tcPr>
            <w:tcW w:w="2409" w:type="dxa"/>
          </w:tcPr>
          <w:p w:rsidR="007C3469" w:rsidRPr="000452AF" w:rsidRDefault="007C3469"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Блок организации корпоративного</w:t>
            </w:r>
            <w:r w:rsidR="00AB1B1A" w:rsidRPr="000452AF">
              <w:rPr>
                <w:rFonts w:ascii="Times New Roman" w:hAnsi="Times New Roman" w:cs="Times New Roman"/>
                <w:lang w:eastAsia="en-US"/>
              </w:rPr>
              <w:t xml:space="preserve"> финансирования</w:t>
            </w:r>
          </w:p>
        </w:tc>
        <w:tc>
          <w:tcPr>
            <w:tcW w:w="3969" w:type="dxa"/>
          </w:tcPr>
          <w:p w:rsidR="007C3469"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Организация выпусков долевых и долговых ценных бумаг с целью привлечения финансирования и управления имеющейся задолженностью (включая все виды андеррайтинга), организация сделок M&amp;A как в интересах клиентов так и в целях установления собственного контроля, финансовое консультирования и организация продаж структурных продуктов включая секьюритизацию имеющихся кредитных портфелей и активов (в том числе на основе регулярных поступлений платежей от сторонних финансовых институтов, например, лизинговых или страховых компаний), организацию выпусков ценных бумаг на основе ипотечных кредитов</w:t>
            </w:r>
          </w:p>
        </w:tc>
        <w:tc>
          <w:tcPr>
            <w:tcW w:w="2622" w:type="dxa"/>
          </w:tcPr>
          <w:p w:rsidR="007C3469" w:rsidRPr="000452AF" w:rsidRDefault="00AB1B1A"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Все виды ценных бумаг и производных финансовых инструментов в соответствии с требования клиентов, создание сложных структурированных продуктов, имеющих в своих конструкциях как базовые активы, производные (размещение еврооблигаций с одновременным хеджированием через процентные свопы, встраивание опционов и т.д.).</w:t>
            </w:r>
          </w:p>
        </w:tc>
      </w:tr>
    </w:tbl>
    <w:p w:rsidR="00D737C4" w:rsidRPr="000452AF" w:rsidRDefault="00D737C4" w:rsidP="0095418D">
      <w:pPr>
        <w:pStyle w:val="af"/>
        <w:spacing w:line="360" w:lineRule="auto"/>
        <w:ind w:firstLine="709"/>
        <w:jc w:val="both"/>
        <w:rPr>
          <w:rFonts w:ascii="Times New Roman" w:hAnsi="Times New Roman" w:cs="Times New Roman"/>
          <w:sz w:val="28"/>
          <w:szCs w:val="28"/>
        </w:rPr>
      </w:pP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видно из таблицы, наиболее активно с ценными бумагами работают казначейств и инвестиционно-банковский блок. Однако в силу различных задач, стоящих пред этими подразделениями и их функциями, инвестиционные качества применяемых или в обычной практике ценных бумаг различны. Казначеи основное внимание уделяют ликвидности бумаг, поэтому их операции сосредоточены в сегменте государственного и корпоративного долга высококлассных заемщиков (включая векселя) и процентных свопов, позволяющих минимизировать/максимизировать цены привлечения/размещения ресурсов. Необходимость управлять корсчетами и ликвидностью делает особенно привлекательными для них такие инструменты с фиксированной доходностью как различные виды облигаций первоклассных эмитентов с купонными выплатами и аналогичного качества векселя.</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Инвестиционные банкиры руководствуются в своей деятельности иными принципам. Для них приоритетным является имеющийся потенциал прироста стоимости активов, представленных ценными бумагами, наличие в данный момент спроса на бумаги эмитента со стороны инвесторов (при организации выпусков облигаций или акций).</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Консультационная деятельность инвестбанкиров требует максимально учитывать желания клиента и создания в соответствии с этим адекватных финансовых инструментов. В итоге создаваемые инструменты являются результатом консенсуса между эмитентов и рынком.</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Инвестиционные консультанты конструируют выпуск ценных бумаг и определяют его основные параметры в заданных регуляторами рамках, стремясь удовлетворить и своего клиента (эмитента) и инвесторов. Именно эти департаменты банков максимально используют возможности финансовой инженерии и различные новации, появляющиеся как в зарубежных практиках, так и на внутреннем рынке (например, облигации с возможностью конвертации, встроенные опционы, применение инструментов срочного рынка для хеджирования).</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Брокерское подразделение строит свою деятельность в соответствии с запросами клиентов. Поэтому набор ценных бумаг, которыми они оперируют, полностью зависит от сформировавшейся клиентской базы. В последние годы практически все крупные коммерческие банки, продающие услуги брокериджа, одновременно продают и возможность проведения операций через систему интернет-торговли по аналогии с системами платежей «банк-клиент». Соответственно перечень ценных бумаг, торгуемых посредством этих систем, ограничен бумагами, прошедшими листинг на соответствующих торговых площадках.</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Подразделения, занимающиеся кредитованием корпоративных клиентов и физических значительно реже используют ценные бумаги, и проявляют интерес к ним в основном как к инструменту, позволяющему повысить уровень обеспечения выполнения обязательств, возникающих у ссудозаемщиков и минимизировать риски невозврата выданных кредитов.</w:t>
      </w: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каждодневной деятельности коммерческих банков отсутствует жесткая система классификации ценных бумаг, установленная регулятором. Поэтому банки классифицируют ценные бумаги в соответствии с наиболее распространенной практикой, деля их на долевые и долговые, эмиссионные и не эмиссионные, срочные и бессрочные, документарные и бездокументарные и так далее в зависимости от обстоятельств сделки и требований, предъявляемых к участникам сделки. Отсутствие строгой системы классификации ценных бумаг не оказывает значительного влияния на практику работы банков с ними. В таблице 2 приведен один из вариантов такой классификации для наиболее популярных в российской банковской практике ценных бумаг: облигаций, векселей и акций. Классификация предложена исходя из требований российских законодательных и нормативных актов.</w:t>
      </w:r>
    </w:p>
    <w:p w:rsidR="00812C1E" w:rsidRPr="000452AF" w:rsidRDefault="00812C1E" w:rsidP="0095418D">
      <w:pPr>
        <w:widowControl/>
        <w:spacing w:line="360" w:lineRule="auto"/>
        <w:ind w:firstLine="709"/>
        <w:jc w:val="both"/>
        <w:rPr>
          <w:rFonts w:ascii="Times New Roman" w:hAnsi="Times New Roman" w:cs="Times New Roman"/>
          <w:sz w:val="28"/>
          <w:szCs w:val="28"/>
          <w:lang w:eastAsia="en-US"/>
        </w:rPr>
      </w:pPr>
    </w:p>
    <w:p w:rsidR="00483584" w:rsidRPr="000452AF" w:rsidRDefault="00483584" w:rsidP="0095418D">
      <w:pPr>
        <w:widowControl/>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Табл</w:t>
      </w:r>
      <w:r w:rsidR="00812C1E" w:rsidRPr="000452AF">
        <w:rPr>
          <w:rFonts w:ascii="Times New Roman" w:hAnsi="Times New Roman" w:cs="Times New Roman"/>
          <w:sz w:val="28"/>
          <w:szCs w:val="28"/>
          <w:lang w:eastAsia="en-US"/>
        </w:rPr>
        <w:t xml:space="preserve">ица </w:t>
      </w:r>
      <w:r w:rsidRPr="000452AF">
        <w:rPr>
          <w:rFonts w:ascii="Times New Roman" w:hAnsi="Times New Roman" w:cs="Times New Roman"/>
          <w:sz w:val="28"/>
          <w:szCs w:val="28"/>
          <w:lang w:eastAsia="en-US"/>
        </w:rPr>
        <w:t>2</w:t>
      </w:r>
      <w:r w:rsidR="00812C1E" w:rsidRPr="000452AF">
        <w:rPr>
          <w:rFonts w:ascii="Times New Roman" w:hAnsi="Times New Roman" w:cs="Times New Roman"/>
          <w:sz w:val="28"/>
          <w:szCs w:val="28"/>
          <w:lang w:eastAsia="en-US"/>
        </w:rPr>
        <w:t xml:space="preserve"> - </w:t>
      </w:r>
      <w:r w:rsidRPr="000452AF">
        <w:rPr>
          <w:rFonts w:ascii="Times New Roman" w:hAnsi="Times New Roman" w:cs="Times New Roman"/>
          <w:sz w:val="28"/>
          <w:szCs w:val="28"/>
          <w:lang w:eastAsia="en-US"/>
        </w:rPr>
        <w:t>Классификация наиболее популярных в банковской практике ценных бумаг</w:t>
      </w:r>
    </w:p>
    <w:tbl>
      <w:tblPr>
        <w:tblW w:w="8719"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2"/>
        <w:gridCol w:w="1986"/>
        <w:gridCol w:w="1810"/>
        <w:gridCol w:w="1811"/>
      </w:tblGrid>
      <w:tr w:rsidR="00483584" w:rsidRPr="000452AF">
        <w:trPr>
          <w:trHeight w:val="243"/>
        </w:trPr>
        <w:tc>
          <w:tcPr>
            <w:tcW w:w="236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Группировочные признаки</w:t>
            </w:r>
          </w:p>
        </w:tc>
        <w:tc>
          <w:tcPr>
            <w:tcW w:w="2379"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Акции</w:t>
            </w:r>
          </w:p>
        </w:tc>
        <w:tc>
          <w:tcPr>
            <w:tcW w:w="1956"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Облигации</w:t>
            </w:r>
          </w:p>
        </w:tc>
        <w:tc>
          <w:tcPr>
            <w:tcW w:w="202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Векселя</w:t>
            </w:r>
          </w:p>
        </w:tc>
      </w:tr>
      <w:tr w:rsidR="00483584" w:rsidRPr="000452AF">
        <w:trPr>
          <w:trHeight w:val="203"/>
        </w:trPr>
        <w:tc>
          <w:tcPr>
            <w:tcW w:w="236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Вид капитала - долевой /долговой</w:t>
            </w:r>
          </w:p>
        </w:tc>
        <w:tc>
          <w:tcPr>
            <w:tcW w:w="2379"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Долевой</w:t>
            </w:r>
          </w:p>
        </w:tc>
        <w:tc>
          <w:tcPr>
            <w:tcW w:w="1956"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Долговой</w:t>
            </w:r>
          </w:p>
        </w:tc>
        <w:tc>
          <w:tcPr>
            <w:tcW w:w="202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Долговой</w:t>
            </w:r>
          </w:p>
        </w:tc>
      </w:tr>
      <w:tr w:rsidR="00483584" w:rsidRPr="000452AF">
        <w:trPr>
          <w:trHeight w:val="486"/>
        </w:trPr>
        <w:tc>
          <w:tcPr>
            <w:tcW w:w="236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Вид эмитента – государственные/корпоративные</w:t>
            </w:r>
          </w:p>
        </w:tc>
        <w:tc>
          <w:tcPr>
            <w:tcW w:w="2379"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Только корпоративные</w:t>
            </w:r>
          </w:p>
        </w:tc>
        <w:tc>
          <w:tcPr>
            <w:tcW w:w="1956"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Возможны оба</w:t>
            </w:r>
          </w:p>
        </w:tc>
        <w:tc>
          <w:tcPr>
            <w:tcW w:w="202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Возможны оба</w:t>
            </w:r>
          </w:p>
        </w:tc>
      </w:tr>
      <w:tr w:rsidR="00483584" w:rsidRPr="000452AF">
        <w:trPr>
          <w:trHeight w:val="729"/>
        </w:trPr>
        <w:tc>
          <w:tcPr>
            <w:tcW w:w="236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Период обращения и обязательства</w:t>
            </w:r>
            <w:r w:rsidR="00D52AA3" w:rsidRPr="000452AF">
              <w:rPr>
                <w:rFonts w:ascii="Times New Roman" w:hAnsi="Times New Roman" w:cs="Times New Roman"/>
                <w:lang w:eastAsia="en-US"/>
              </w:rPr>
              <w:t xml:space="preserve"> по возврату вложенных средств</w:t>
            </w:r>
          </w:p>
        </w:tc>
        <w:tc>
          <w:tcPr>
            <w:tcW w:w="2379"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 xml:space="preserve">Бессрочные, без </w:t>
            </w:r>
            <w:r w:rsidR="00483584" w:rsidRPr="000452AF">
              <w:rPr>
                <w:rFonts w:ascii="Times New Roman" w:hAnsi="Times New Roman" w:cs="Times New Roman"/>
                <w:lang w:eastAsia="en-US"/>
              </w:rPr>
              <w:t>обязательствами по</w:t>
            </w:r>
            <w:r w:rsidRPr="000452AF">
              <w:rPr>
                <w:rFonts w:ascii="Times New Roman" w:hAnsi="Times New Roman" w:cs="Times New Roman"/>
                <w:lang w:eastAsia="en-US"/>
              </w:rPr>
              <w:t xml:space="preserve"> возврату</w:t>
            </w:r>
          </w:p>
        </w:tc>
        <w:tc>
          <w:tcPr>
            <w:tcW w:w="1956"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Срочные, с обязательств по возврату</w:t>
            </w:r>
          </w:p>
        </w:tc>
        <w:tc>
          <w:tcPr>
            <w:tcW w:w="2022" w:type="dxa"/>
          </w:tcPr>
          <w:p w:rsidR="00483584" w:rsidRPr="000452AF" w:rsidRDefault="00483584"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Срочные, с</w:t>
            </w:r>
            <w:r w:rsidR="00D52AA3" w:rsidRPr="000452AF">
              <w:rPr>
                <w:rFonts w:ascii="Times New Roman" w:hAnsi="Times New Roman" w:cs="Times New Roman"/>
                <w:lang w:eastAsia="en-US"/>
              </w:rPr>
              <w:t xml:space="preserve"> обязательствами по возврату</w:t>
            </w:r>
          </w:p>
        </w:tc>
      </w:tr>
      <w:tr w:rsidR="00483584" w:rsidRPr="000452AF">
        <w:trPr>
          <w:trHeight w:val="475"/>
        </w:trPr>
        <w:tc>
          <w:tcPr>
            <w:tcW w:w="2362"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Форма существования- документарная/бездокументарная</w:t>
            </w:r>
          </w:p>
        </w:tc>
        <w:tc>
          <w:tcPr>
            <w:tcW w:w="2379"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Только бездокументарная</w:t>
            </w:r>
          </w:p>
        </w:tc>
        <w:tc>
          <w:tcPr>
            <w:tcW w:w="1956"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Возможны обе</w:t>
            </w:r>
          </w:p>
        </w:tc>
        <w:tc>
          <w:tcPr>
            <w:tcW w:w="2022"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Только документарная в бумажном виде</w:t>
            </w:r>
          </w:p>
        </w:tc>
      </w:tr>
      <w:tr w:rsidR="00483584" w:rsidRPr="000452AF">
        <w:trPr>
          <w:trHeight w:val="729"/>
        </w:trPr>
        <w:tc>
          <w:tcPr>
            <w:tcW w:w="2362"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Вид получаемого инвестором</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дохода и обязательность его выплаты</w:t>
            </w:r>
          </w:p>
        </w:tc>
        <w:tc>
          <w:tcPr>
            <w:tcW w:w="2379"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Дивиденд, не</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обязательно</w:t>
            </w:r>
          </w:p>
        </w:tc>
        <w:tc>
          <w:tcPr>
            <w:tcW w:w="1956"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Процент/Дисконт</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обязательно</w:t>
            </w:r>
          </w:p>
        </w:tc>
        <w:tc>
          <w:tcPr>
            <w:tcW w:w="2022" w:type="dxa"/>
          </w:tcPr>
          <w:p w:rsidR="00483584"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Процент/дисконт</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в зависимости от</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условий сделки</w:t>
            </w:r>
          </w:p>
        </w:tc>
      </w:tr>
      <w:tr w:rsidR="00D52AA3" w:rsidRPr="000452AF">
        <w:trPr>
          <w:trHeight w:val="486"/>
        </w:trPr>
        <w:tc>
          <w:tcPr>
            <w:tcW w:w="2362"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Необходимость регистрации</w:t>
            </w:r>
          </w:p>
        </w:tc>
        <w:tc>
          <w:tcPr>
            <w:tcW w:w="2379"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Гос. регистрация</w:t>
            </w:r>
          </w:p>
        </w:tc>
        <w:tc>
          <w:tcPr>
            <w:tcW w:w="1956"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Гос. регистрация</w:t>
            </w:r>
          </w:p>
        </w:tc>
        <w:tc>
          <w:tcPr>
            <w:tcW w:w="2022"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Регистрация</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отсутствует</w:t>
            </w:r>
          </w:p>
        </w:tc>
      </w:tr>
      <w:tr w:rsidR="00D52AA3" w:rsidRPr="000452AF">
        <w:trPr>
          <w:trHeight w:val="486"/>
        </w:trPr>
        <w:tc>
          <w:tcPr>
            <w:tcW w:w="2362"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Возможность выступать в качестве</w:t>
            </w:r>
            <w:r w:rsidR="00812C1E" w:rsidRPr="000452AF">
              <w:rPr>
                <w:rFonts w:ascii="Times New Roman" w:hAnsi="Times New Roman" w:cs="Times New Roman"/>
                <w:lang w:eastAsia="en-US"/>
              </w:rPr>
              <w:t xml:space="preserve"> </w:t>
            </w:r>
            <w:r w:rsidRPr="000452AF">
              <w:rPr>
                <w:rFonts w:ascii="Times New Roman" w:hAnsi="Times New Roman" w:cs="Times New Roman"/>
                <w:lang w:eastAsia="en-US"/>
              </w:rPr>
              <w:t>базового актива для производных</w:t>
            </w:r>
          </w:p>
        </w:tc>
        <w:tc>
          <w:tcPr>
            <w:tcW w:w="2379"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Да</w:t>
            </w:r>
          </w:p>
        </w:tc>
        <w:tc>
          <w:tcPr>
            <w:tcW w:w="1956"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Да</w:t>
            </w:r>
          </w:p>
        </w:tc>
        <w:tc>
          <w:tcPr>
            <w:tcW w:w="2022" w:type="dxa"/>
          </w:tcPr>
          <w:p w:rsidR="00D52AA3" w:rsidRPr="000452AF" w:rsidRDefault="00D52AA3" w:rsidP="00812C1E">
            <w:pPr>
              <w:widowControl/>
              <w:spacing w:line="360" w:lineRule="auto"/>
              <w:jc w:val="both"/>
              <w:rPr>
                <w:rFonts w:ascii="Times New Roman" w:hAnsi="Times New Roman" w:cs="Times New Roman"/>
                <w:lang w:eastAsia="en-US"/>
              </w:rPr>
            </w:pPr>
            <w:r w:rsidRPr="000452AF">
              <w:rPr>
                <w:rFonts w:ascii="Times New Roman" w:hAnsi="Times New Roman" w:cs="Times New Roman"/>
                <w:lang w:eastAsia="en-US"/>
              </w:rPr>
              <w:t>Нет</w:t>
            </w:r>
          </w:p>
        </w:tc>
      </w:tr>
    </w:tbl>
    <w:p w:rsidR="000C6056" w:rsidRPr="000452AF" w:rsidRDefault="000C6056" w:rsidP="0095418D">
      <w:pPr>
        <w:pStyle w:val="af"/>
        <w:spacing w:line="360" w:lineRule="auto"/>
        <w:ind w:firstLine="709"/>
        <w:jc w:val="both"/>
        <w:rPr>
          <w:rFonts w:ascii="Times New Roman" w:hAnsi="Times New Roman" w:cs="Times New Roman"/>
          <w:sz w:val="28"/>
          <w:szCs w:val="28"/>
          <w:lang w:eastAsia="en-US"/>
        </w:rPr>
      </w:pPr>
    </w:p>
    <w:p w:rsidR="000C7EA3" w:rsidRPr="000452AF" w:rsidRDefault="00D52A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Под признаком «документарной/бездокументарной» формы понимается форма существования ценной бумаги в виде документа на бумажном носителе. </w:t>
      </w:r>
    </w:p>
    <w:p w:rsidR="000C7EA3" w:rsidRPr="000452AF" w:rsidRDefault="000C7EA3" w:rsidP="0095418D">
      <w:pPr>
        <w:pStyle w:val="af"/>
        <w:spacing w:line="360" w:lineRule="auto"/>
        <w:ind w:firstLine="709"/>
        <w:jc w:val="both"/>
        <w:rPr>
          <w:rFonts w:ascii="Times New Roman" w:hAnsi="Times New Roman" w:cs="Times New Roman"/>
          <w:i/>
          <w:iCs/>
          <w:sz w:val="28"/>
          <w:szCs w:val="28"/>
          <w:lang w:eastAsia="en-US"/>
        </w:rPr>
      </w:pPr>
      <w:r w:rsidRPr="000452AF">
        <w:rPr>
          <w:rFonts w:ascii="Times New Roman" w:hAnsi="Times New Roman" w:cs="Times New Roman"/>
          <w:i/>
          <w:iCs/>
          <w:sz w:val="28"/>
          <w:szCs w:val="28"/>
          <w:lang w:eastAsia="en-US"/>
        </w:rPr>
        <w:t>а) Акции</w:t>
      </w:r>
    </w:p>
    <w:p w:rsidR="00D737C4" w:rsidRPr="000452AF" w:rsidRDefault="00D52A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«Лидером востребованности» среди долевых эмиссионных ценных бумаг в банковской практике, безусловно, являются акци</w:t>
      </w:r>
      <w:r w:rsidR="000C7EA3" w:rsidRPr="000452AF">
        <w:rPr>
          <w:rFonts w:ascii="Times New Roman" w:hAnsi="Times New Roman" w:cs="Times New Roman"/>
          <w:sz w:val="28"/>
          <w:szCs w:val="28"/>
          <w:lang w:eastAsia="en-US"/>
        </w:rPr>
        <w:t>и</w:t>
      </w:r>
      <w:r w:rsidRPr="000452AF">
        <w:rPr>
          <w:rFonts w:ascii="Times New Roman" w:hAnsi="Times New Roman" w:cs="Times New Roman"/>
          <w:b/>
          <w:bCs/>
          <w:sz w:val="28"/>
          <w:szCs w:val="28"/>
          <w:lang w:eastAsia="en-US"/>
        </w:rPr>
        <w:t xml:space="preserve"> </w:t>
      </w:r>
      <w:r w:rsidR="000C7EA3" w:rsidRPr="000452AF">
        <w:rPr>
          <w:rFonts w:ascii="Times New Roman" w:hAnsi="Times New Roman" w:cs="Times New Roman"/>
          <w:sz w:val="28"/>
          <w:szCs w:val="28"/>
          <w:lang w:eastAsia="en-US"/>
        </w:rPr>
        <w:t>– эмиссионные ценные</w:t>
      </w:r>
      <w:r w:rsidRPr="000452AF">
        <w:rPr>
          <w:rFonts w:ascii="Times New Roman" w:hAnsi="Times New Roman" w:cs="Times New Roman"/>
          <w:sz w:val="28"/>
          <w:szCs w:val="28"/>
          <w:lang w:eastAsia="en-US"/>
        </w:rPr>
        <w:t xml:space="preserve"> бумаг</w:t>
      </w:r>
      <w:r w:rsidR="000C7EA3" w:rsidRPr="000452AF">
        <w:rPr>
          <w:rFonts w:ascii="Times New Roman" w:hAnsi="Times New Roman" w:cs="Times New Roman"/>
          <w:sz w:val="28"/>
          <w:szCs w:val="28"/>
          <w:lang w:eastAsia="en-US"/>
        </w:rPr>
        <w:t>и, закрепляющие</w:t>
      </w:r>
      <w:r w:rsidRPr="000452AF">
        <w:rPr>
          <w:rFonts w:ascii="Times New Roman" w:hAnsi="Times New Roman" w:cs="Times New Roman"/>
          <w:sz w:val="28"/>
          <w:szCs w:val="28"/>
          <w:lang w:eastAsia="en-US"/>
        </w:rPr>
        <w:t xml:space="preserve">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его имущества, остающегося после его ликвидации.</w:t>
      </w:r>
    </w:p>
    <w:p w:rsidR="000C7EA3" w:rsidRPr="000452AF" w:rsidRDefault="000C7EA3" w:rsidP="0095418D">
      <w:pPr>
        <w:pStyle w:val="af"/>
        <w:spacing w:line="360" w:lineRule="auto"/>
        <w:ind w:firstLine="709"/>
        <w:jc w:val="both"/>
        <w:rPr>
          <w:rFonts w:ascii="Times New Roman" w:hAnsi="Times New Roman" w:cs="Times New Roman"/>
          <w:i/>
          <w:iCs/>
          <w:sz w:val="28"/>
          <w:szCs w:val="28"/>
          <w:lang w:eastAsia="en-US"/>
        </w:rPr>
      </w:pPr>
      <w:r w:rsidRPr="000452AF">
        <w:rPr>
          <w:rFonts w:ascii="Times New Roman" w:hAnsi="Times New Roman" w:cs="Times New Roman"/>
          <w:i/>
          <w:iCs/>
          <w:sz w:val="28"/>
          <w:szCs w:val="28"/>
          <w:lang w:eastAsia="en-US"/>
        </w:rPr>
        <w:t>б) Облигации</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Облигации так же очень популярны в практике коммерческих банков. Облигация – эмиссионная ценная бумага, закрепляющая право ее владельца на получение от эмитента облигации в предусмотренный в ней срок ее номинальной стоимости или иного имущественного эквивалента. Облигация может также предусматривать право ее владельца на получение фиксированного в ней процента от номинальной стоимости облигации либо иные имущественные права. Доходом по облигации является процент и/или дисконт.</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Главное отличие облигации от акции является, то, что облигация – долговое свидетельство, а акция – свидетельствует права собственности. Покупая акции, инвестор становится собственником общества, а приобретая облигации – кредитором.</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Облигации можно классифицировать по различным признакам. Самые распространенные из них – в зависимости от эмитента: государственные, корпоративные, иностранные. Популярна и классификация облигаций зависимости от сроков погашения: краткосрочные, среднесрочные и долгосрочные.</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Так как облигация является долговым инструментом, то ее обычно выпускают для привлечения ссудного капитала, то есть для обеспечения финансирования на платной основе, на определенный срок, с определенной целью и с обязательствами возврата основной суммы и платы за ее использование. Это также коренным образом отличает облигации от акций. Облигации могут выпускаться как с обеспечением, так и без него.</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Отдельно стоит рассмотреть государственные облигации. Они считаются наиболее ликвидными и надежными, так как их эмитентом выступает государство.</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России масштабный выпуск облигаций в рыночном понимании начался с 1991 года. Наиболее популярными до кризиса 1998 года были ГКО, но затем все большую популярность стали приобретать облигации федерального займа – ОФЗ, которые имеют различные виды и в настоящее время только они имеют наибольшую популярность на рынке. Также государство выпустило новый инструмент ГСО, но основной объем операций на рынке – это операции с ОФЗ. Существуют также другие виды государственных ценных бумаг, но их доля на внутреннем рынке государственного долга ничтожно мала.</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Облигации, выпускаемые государством для привлечения финансирования на международных рынках капитала, также стали популярны среди российских коммерческих банков с середины 1990-х годов. Система регистрации и обращение этих бумаг строится на основании требований государства с учетом требований международных рынков капитала. Основными операторами этого сегмента рынка являются крупнейшие коммерческие банки, имеющие обширную практику работу на международных рынках, такие как Внешторгбанк, Сбербанк, Газпромбанк и другие, а также дочерние банки крупных иностранных банков – Сити-банк, Джи Пи Морган, Райффайзен и другие.</w:t>
      </w:r>
    </w:p>
    <w:p w:rsidR="00086F27" w:rsidRPr="000452AF" w:rsidRDefault="00086F2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Государственные облигации наиболее часто используются коммерческими банками как инструмент поддержания различных видов ликвидности с одновременным получением гарантированных доходов. В коммерческих банках обычно существую два портфеля ценных бумаг – торговый и инвестиционный. Торговый формируется из ценных бумаг спекулятивного качества, а в инвестиционный, как правило, попадают ценные бумаги, которые инвестор намерен держать до погашения, реализуя инвестиционную стратегию «купил и держи». </w:t>
      </w:r>
    </w:p>
    <w:p w:rsidR="000C7EA3" w:rsidRPr="000452AF" w:rsidRDefault="000C7EA3" w:rsidP="0095418D">
      <w:pPr>
        <w:pStyle w:val="af"/>
        <w:spacing w:line="360" w:lineRule="auto"/>
        <w:ind w:firstLine="709"/>
        <w:jc w:val="both"/>
        <w:rPr>
          <w:rFonts w:ascii="Times New Roman" w:hAnsi="Times New Roman" w:cs="Times New Roman"/>
          <w:i/>
          <w:iCs/>
          <w:sz w:val="28"/>
          <w:szCs w:val="28"/>
          <w:lang w:eastAsia="en-US"/>
        </w:rPr>
      </w:pPr>
      <w:r w:rsidRPr="000452AF">
        <w:rPr>
          <w:rFonts w:ascii="Times New Roman" w:hAnsi="Times New Roman" w:cs="Times New Roman"/>
          <w:i/>
          <w:iCs/>
          <w:sz w:val="28"/>
          <w:szCs w:val="28"/>
          <w:lang w:eastAsia="en-US"/>
        </w:rPr>
        <w:t>в) Вексель</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Вексель – письменное долговое обязательство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к определенному сроку суммы указанной в векселе.</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Вексель является долговым инструментом, но у него есть отличия от непосредственно долговой расписки:</w:t>
      </w:r>
    </w:p>
    <w:p w:rsidR="000C7EA3" w:rsidRPr="000452AF" w:rsidRDefault="000C7EA3" w:rsidP="0095418D">
      <w:pPr>
        <w:pStyle w:val="af"/>
        <w:numPr>
          <w:ilvl w:val="0"/>
          <w:numId w:val="10"/>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во-первых, вексель может быть передан любому лицу, который может не иметь никакого отношения к его возникновению, но будет являться векселедержателем,</w:t>
      </w:r>
    </w:p>
    <w:p w:rsidR="000C7EA3" w:rsidRPr="000452AF" w:rsidRDefault="000C7EA3" w:rsidP="0095418D">
      <w:pPr>
        <w:pStyle w:val="af"/>
        <w:numPr>
          <w:ilvl w:val="0"/>
          <w:numId w:val="10"/>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во-вторых, платеж по векселю является безусловным финансовым обязательством.</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Также стоит отметить, что вексель отличает солидарная ответственность.</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настоящее время в среде коммерческих банков наибольшее распространение получили простые векселя, представляющие собой письменный документ, содержащий простое, ничем не обусловленное обязательство векселедателя (должника) уплатить определенную сумму денег в установленный срок и в конкретном месте векселедержателю по его приказу.</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Существует также переводной вексель (тратта) – представляющий собой письменный документ, содержащий безусловный приказ векселедателя плательщику уплатить определенную сумму денег в установленный срок и в конкретном месте векселедержателю или его приказу. Таким образом, переводной вексель регулирует отношения трех сторон: векселедателя (трассанта), должника (трассата) и векселедателя – получателя платежа (ремитента). При этом трассант – должник перед ремитентом, трассат – должник перед трассантом. Трассат становится главным должником после принятия на себя соглашения (акцепта) по платежу векселя.</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Техника проведения операции с простым векселем проще, чем с переводным, поэтому простые векселя более популярны среди участников рынка. Векселя могут использоваться как инструмент привлечение средств, как предмет залога, как средство платежа, В отличие от эмиссий облигаций при выпуске векселей не надо раскрывать многие параметры компании. Стоит отметить, что коммерческие банки наиболее охотно работают с векселями так называемых «первоклассных эмитентов» - крупных компаний или крупных банков, надежность которых не вызывает сомнений.</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Помимо ценных бумаг коммерческие банки активно осваивают работу с</w:t>
      </w:r>
      <w:r w:rsidR="00EF41FB"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производными финансовыми инструментами: фьючерсами, форвардными контрактами,</w:t>
      </w:r>
      <w:r w:rsidR="00EF41FB"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опционами и свопами.</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Форвардный контракт – договор купли-продажи (поставки) какого-либо актива</w:t>
      </w:r>
      <w:r w:rsidR="00EF41FB"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через какой-либо срок в будущем, все условия сделки оговариваются в момент</w:t>
      </w:r>
      <w:r w:rsidR="00EF41FB"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заключения.</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Фьючерсный контракт – это форма форвардного контракта разрешенного к</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заключению на бирже. Это стандартный биржевой договор купли-продажи биржевого</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актива через определенный срок в будущем по цене, согласованной в момент заключения</w:t>
      </w:r>
      <w:r w:rsidR="00274318" w:rsidRPr="000452AF">
        <w:rPr>
          <w:rFonts w:ascii="Times New Roman" w:hAnsi="Times New Roman" w:cs="Times New Roman"/>
          <w:sz w:val="28"/>
          <w:szCs w:val="28"/>
          <w:lang w:eastAsia="en-US"/>
        </w:rPr>
        <w:t xml:space="preserve"> сделки</w:t>
      </w:r>
      <w:r w:rsidRPr="000452AF">
        <w:rPr>
          <w:rFonts w:ascii="Times New Roman" w:hAnsi="Times New Roman" w:cs="Times New Roman"/>
          <w:sz w:val="28"/>
          <w:szCs w:val="28"/>
          <w:lang w:eastAsia="en-US"/>
        </w:rPr>
        <w:t>.</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Опцион – это стандартный договор купли-продажи биржевого актива, в</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соответствии с которым его держатель получает право купить/продать этот актив по</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определенной цене до установленной даты в будущем или на эту даты с уплатой на</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полученное право подписчику определенной с</w:t>
      </w:r>
      <w:r w:rsidR="00274318" w:rsidRPr="000452AF">
        <w:rPr>
          <w:rFonts w:ascii="Times New Roman" w:hAnsi="Times New Roman" w:cs="Times New Roman"/>
          <w:sz w:val="28"/>
          <w:szCs w:val="28"/>
          <w:lang w:eastAsia="en-US"/>
        </w:rPr>
        <w:t>уммы денег, называемой премией</w:t>
      </w:r>
      <w:r w:rsidRPr="000452AF">
        <w:rPr>
          <w:rFonts w:ascii="Times New Roman" w:hAnsi="Times New Roman" w:cs="Times New Roman"/>
          <w:sz w:val="28"/>
          <w:szCs w:val="28"/>
          <w:lang w:eastAsia="en-US"/>
        </w:rPr>
        <w:t>.</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Своп – договорная конструкция, на основе которой стороны обмениваются своими</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обязательствами: активами, и/или связанными с ними фиксированными выплатами</w:t>
      </w:r>
      <w:r w:rsidR="002743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(наиболее распространенный вариант – процентные </w:t>
      </w:r>
      <w:r w:rsidR="00274318" w:rsidRPr="000452AF">
        <w:rPr>
          <w:rFonts w:ascii="Times New Roman" w:hAnsi="Times New Roman" w:cs="Times New Roman"/>
          <w:sz w:val="28"/>
          <w:szCs w:val="28"/>
          <w:lang w:eastAsia="en-US"/>
        </w:rPr>
        <w:t>выплаты) в определенно периоде</w:t>
      </w:r>
      <w:r w:rsidRPr="000452AF">
        <w:rPr>
          <w:rFonts w:ascii="Times New Roman" w:hAnsi="Times New Roman" w:cs="Times New Roman"/>
          <w:sz w:val="28"/>
          <w:szCs w:val="28"/>
          <w:lang w:eastAsia="en-US"/>
        </w:rPr>
        <w:t>.</w:t>
      </w:r>
    </w:p>
    <w:p w:rsidR="000C7EA3"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Все производные в той или иной мере присутствуют при активных операциях</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коммерческих банков. Например, операции своп популярны на рынке межбанковского</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кредита при обмене одного вида активов на другой, а опционы и фьючерсы используются</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трейдинговыми/дилинговыми отделами казначейства, как в спекулятивных целях, так и в</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целях хеджирования. Вместе с тем нельзя не отметить, что за рубежом производные</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финансовые инструменты обращаются в гораздо больших объемах, чем в России.</w:t>
      </w:r>
    </w:p>
    <w:p w:rsidR="00D737C4" w:rsidRPr="000452AF" w:rsidRDefault="000C7EA3"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Существуют также другие виды ценных бумаг, которые могут присутствовать в</w:t>
      </w:r>
      <w:r w:rsidR="00E864C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банковской деятельности – это, чек, закладная, банковский сертификат, и др.</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E864CA" w:rsidRPr="000452AF" w:rsidRDefault="00812C1E" w:rsidP="00812C1E">
      <w:pPr>
        <w:pStyle w:val="af"/>
        <w:spacing w:line="360" w:lineRule="auto"/>
        <w:ind w:firstLine="700"/>
        <w:jc w:val="both"/>
        <w:rPr>
          <w:rFonts w:ascii="Times New Roman" w:hAnsi="Times New Roman" w:cs="Times New Roman"/>
          <w:sz w:val="28"/>
          <w:szCs w:val="28"/>
        </w:rPr>
      </w:pPr>
      <w:r w:rsidRPr="000452AF">
        <w:rPr>
          <w:rFonts w:ascii="Times New Roman" w:hAnsi="Times New Roman" w:cs="Times New Roman"/>
          <w:b/>
          <w:bCs/>
          <w:sz w:val="28"/>
          <w:szCs w:val="28"/>
          <w:lang w:eastAsia="en-US"/>
        </w:rPr>
        <w:t xml:space="preserve">1.2 </w:t>
      </w:r>
      <w:r w:rsidR="00E864CA" w:rsidRPr="000452AF">
        <w:rPr>
          <w:rFonts w:ascii="Times New Roman" w:hAnsi="Times New Roman" w:cs="Times New Roman"/>
          <w:b/>
          <w:bCs/>
          <w:sz w:val="28"/>
          <w:szCs w:val="28"/>
          <w:lang w:eastAsia="en-US"/>
        </w:rPr>
        <w:t>Коммерческие банки как профессиональные участники рынка ценных бумаг</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E864CA" w:rsidRPr="000452AF" w:rsidRDefault="00E864CA"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Коммерческие банки являются профессиональными участниками рынка ценных бумаг. В разных странах законодательство определяет их деятельность по-разному. В некоторых странах банки занимают большую долю на рынке чем какие-либо другие инвесторы и имеют более обширные возможности, как и в выборе инструментов, так и в проведении различных операций на рынке. Например, в Германии крупнейшими игроками рынка ценных бумаг являются коммерческие банки (Deutsche Bank AG, CommerzBank AG и др.). Банковская система Германии является традиционной – коммерческие банки могут заниматься любыми видами деятельности, в том числе и операциями с ценными бумагами.</w:t>
      </w:r>
    </w:p>
    <w:p w:rsidR="00E864CA" w:rsidRPr="000452AF" w:rsidRDefault="00E864CA"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США наиболее активными профессиональными участниками фондового рынка являются инвестиционные банки.</w:t>
      </w:r>
    </w:p>
    <w:p w:rsidR="00E864CA" w:rsidRPr="000452AF" w:rsidRDefault="00E864CA"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современной России сложилась континентальная (приближенная к Германской) модель банковской системы. До 1991 года в СССР не было коммерческих банков. Банковская система состояла из Государственного банка и ряда специализированных (таких как Банк для внешнеэкономической деятельности – нынешний ВЭБ, Стройбанк, Жилсоцбанк, Агропромбанк и Сберегательный банк, представленный системой сберегательных касс). Банковская система являлась полностью государственной. Понятие частной собственности просто отсутствовало в традиционном понимании этого слова. Рынок ценных бумаг был представлен отдельными крайне деформированными элементами – такими, как уже упоминавшиеся облигации государственных займов и векселями, используемыми исключительно в международной торговле.</w:t>
      </w:r>
    </w:p>
    <w:p w:rsidR="00E864CA" w:rsidRPr="000452AF" w:rsidRDefault="00E864CA"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После 1991 года в стране начались реформы, стали возникать коммерческие банки и развиваться рынок ценных бумаг. При формировании банковской системы в основу была положена германская модель, что позволяло коммерческим банкам, получив соответствующие лицензии, заниматься как традиционной банковской деятельностью (проведение расчетно-кассового обслуживания, валютных операций, кредитования, </w:t>
      </w:r>
      <w:r w:rsidRPr="000452AF">
        <w:rPr>
          <w:rFonts w:ascii="Times New Roman" w:hAnsi="Times New Roman" w:cs="Times New Roman"/>
          <w:sz w:val="28"/>
          <w:szCs w:val="28"/>
        </w:rPr>
        <w:t>работы с населением) так и проводить операции на рынке ценных бумаг, то есть выполнять функции, присущие инвестиционным банкам.</w:t>
      </w:r>
    </w:p>
    <w:p w:rsidR="00E864CA" w:rsidRPr="000452AF" w:rsidRDefault="00E864CA"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Статья 6 Федерального Закона «О банковской деятельности» от 03.02.1996 № 17-ФЗ (в ред. от 03.06.2009 г.) определяет, что «в соответствии с лицензией Банка России на осуществление банковских операций банк вправе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федеральными законами, а также вправе осуществлять доверительное управление указанными ценными бумагами по договору с физическими и юридическими лицами».</w:t>
      </w:r>
    </w:p>
    <w:p w:rsidR="00E864CA" w:rsidRPr="000452AF" w:rsidRDefault="00E864CA"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Это еще раз подтверждает, что в России нет разделения на коммерческие и инвестиционные банки, как в США, и наше банковское законодательство более приближенно к европейскому. Справедливости ради необходимо отметить, что и в США в последние годы активно идут процессы сближения деятельности коммерческих и инвестиционных банков как в сфере регулирования профессиональной деятельности, так и при работе на рынке.</w:t>
      </w:r>
    </w:p>
    <w:p w:rsidR="00E864CA" w:rsidRPr="000452AF" w:rsidRDefault="00E864CA"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Основными регуляторами деятельности банков на рынке ценных бумаг являются Банк России и Федеральная служба финансовых рынков - ФСФР. До 1998 года коммерческие банки получали лицензию на право работать с ценными бумагами в качестве профессионального участника в Центральном банке Российской Федерации.</w:t>
      </w:r>
    </w:p>
    <w:p w:rsidR="00D737C4" w:rsidRPr="000452AF" w:rsidRDefault="00E864CA"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После 1998 года лицензирование коммерческих банков в части деятельности на рынке ценных бумаг в качестве профессионального участника полностью осуществляется ФСФР (преемница ФКЦБ). Лицензирование происходит на общих для всех участников рынка основаниях. Требования, предъявляемые к коммерческим банкам при получении лицензии профессионального участника рынка ценных бумаг, формируют как Центральный банк РФ, в части, касающейся предоставленных ему полномочий, так и ФСФР. Необходимо подчеркнуть, что для полноценной конкурентоспособной деятельности коммерческие банки вынуждены обращаться за лицензиями к разным регуляторам: лицензию на ведение операций на рынке ценных бумаг выдает ФСФР, а лицензии на осуществление традиционных видов деятельности выдает Банк России. Это вызывает некоторые трудности при организации повседневной деятельности коммерческих банков.</w:t>
      </w:r>
    </w:p>
    <w:p w:rsidR="00C221AB" w:rsidRPr="000452AF" w:rsidRDefault="00C221AB"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настоящее время в России около 1000 коммерческих банков, многие из них имеют лицензии профессиональных участников рынка ценных бумаг, исключение лишь составляют банки, у которых отзывалась лицензия на осуществление тех или иных операций или банки, которые открылись совсем недавно. Но не все банки являются активными участниками рынка ценных бумаг. Например, банки, которые сделавшие акцент в своей деятельности на развитие ритейла и, в частности, на потребительское кредитование, достаточно редко оперируют ценными бумагами. У них другая стратегия, и «фокус-аудитория», но, тем не менее, и эта категория кредитных учреждений прибегает к использованию ценных бумаг.</w:t>
      </w:r>
    </w:p>
    <w:p w:rsidR="00FB0125" w:rsidRPr="000452AF" w:rsidRDefault="00C221AB"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Наиболее популярной торговой площадкой, на которой коммерческие банки проводят операции с ценными бумагами, является Московская межбанковская валютная биржа – ММВБ. </w:t>
      </w:r>
    </w:p>
    <w:p w:rsidR="00C221AB" w:rsidRPr="000452AF" w:rsidRDefault="00C221AB"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основном коммерческие банки работают с корпоративными облигациями и</w:t>
      </w:r>
      <w:r w:rsidR="00FB012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государственными ценными бумагами, реже с акциями и еще реже с производными</w:t>
      </w:r>
      <w:r w:rsidR="00FB012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инструментами. Коммерческие банки могут заниматься почти всеми видами</w:t>
      </w:r>
      <w:r w:rsidR="00FB012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деятельности, которые предусмотрены действующем законодательством о рынке ценных</w:t>
      </w:r>
      <w:r w:rsidR="00FB012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 а именно:</w:t>
      </w:r>
    </w:p>
    <w:p w:rsidR="00C221AB"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w:t>
      </w:r>
      <w:r w:rsidR="00C221AB" w:rsidRPr="000452AF">
        <w:rPr>
          <w:rFonts w:ascii="Times New Roman" w:hAnsi="Times New Roman" w:cs="Times New Roman"/>
          <w:sz w:val="28"/>
          <w:szCs w:val="28"/>
          <w:lang w:eastAsia="en-US"/>
        </w:rPr>
        <w:t>рокерская деятельность, включая операции с физическими лицами на</w:t>
      </w:r>
      <w:r w:rsidRPr="000452AF">
        <w:rPr>
          <w:rFonts w:ascii="Times New Roman" w:hAnsi="Times New Roman" w:cs="Times New Roman"/>
          <w:sz w:val="28"/>
          <w:szCs w:val="28"/>
          <w:lang w:eastAsia="en-US"/>
        </w:rPr>
        <w:t xml:space="preserve"> </w:t>
      </w:r>
      <w:r w:rsidR="00C221AB" w:rsidRPr="000452AF">
        <w:rPr>
          <w:rFonts w:ascii="Times New Roman" w:hAnsi="Times New Roman" w:cs="Times New Roman"/>
          <w:sz w:val="28"/>
          <w:szCs w:val="28"/>
          <w:lang w:eastAsia="en-US"/>
        </w:rPr>
        <w:t>основании договоров комиссии и поручения;</w:t>
      </w:r>
    </w:p>
    <w:p w:rsidR="00C221AB" w:rsidRPr="000452AF" w:rsidRDefault="00FB0125" w:rsidP="0095418D">
      <w:pPr>
        <w:pStyle w:val="af"/>
        <w:numPr>
          <w:ilvl w:val="0"/>
          <w:numId w:val="11"/>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д</w:t>
      </w:r>
      <w:r w:rsidR="00C221AB" w:rsidRPr="000452AF">
        <w:rPr>
          <w:rFonts w:ascii="Times New Roman" w:hAnsi="Times New Roman" w:cs="Times New Roman"/>
          <w:sz w:val="28"/>
          <w:szCs w:val="28"/>
          <w:lang w:eastAsia="en-US"/>
        </w:rPr>
        <w:t>илерская деятельность – открытие котировок за собственный счет;</w:t>
      </w:r>
    </w:p>
    <w:p w:rsidR="00FB0125" w:rsidRPr="000452AF" w:rsidRDefault="00FB0125" w:rsidP="0095418D">
      <w:pPr>
        <w:pStyle w:val="af"/>
        <w:numPr>
          <w:ilvl w:val="0"/>
          <w:numId w:val="11"/>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д</w:t>
      </w:r>
      <w:r w:rsidR="00C221AB" w:rsidRPr="000452AF">
        <w:rPr>
          <w:rFonts w:ascii="Times New Roman" w:hAnsi="Times New Roman" w:cs="Times New Roman"/>
          <w:sz w:val="28"/>
          <w:szCs w:val="28"/>
          <w:lang w:eastAsia="en-US"/>
        </w:rPr>
        <w:t>еятельность в качестве финансового консультанта, включающая</w:t>
      </w:r>
      <w:r w:rsidRPr="000452AF">
        <w:rPr>
          <w:rFonts w:ascii="Times New Roman" w:hAnsi="Times New Roman" w:cs="Times New Roman"/>
          <w:sz w:val="28"/>
          <w:szCs w:val="28"/>
          <w:lang w:eastAsia="en-US"/>
        </w:rPr>
        <w:t xml:space="preserve"> </w:t>
      </w:r>
      <w:r w:rsidR="00C221AB" w:rsidRPr="000452AF">
        <w:rPr>
          <w:rFonts w:ascii="Times New Roman" w:hAnsi="Times New Roman" w:cs="Times New Roman"/>
          <w:sz w:val="28"/>
          <w:szCs w:val="28"/>
          <w:lang w:eastAsia="en-US"/>
        </w:rPr>
        <w:t>андеррайтинг – обслуживание выпусков ценных бумаг, полный или</w:t>
      </w:r>
      <w:r w:rsidRPr="000452AF">
        <w:rPr>
          <w:rFonts w:ascii="Times New Roman" w:hAnsi="Times New Roman" w:cs="Times New Roman"/>
          <w:sz w:val="28"/>
          <w:szCs w:val="28"/>
          <w:lang w:eastAsia="en-US"/>
        </w:rPr>
        <w:t xml:space="preserve"> </w:t>
      </w:r>
      <w:r w:rsidR="00C221AB" w:rsidRPr="000452AF">
        <w:rPr>
          <w:rFonts w:ascii="Times New Roman" w:hAnsi="Times New Roman" w:cs="Times New Roman"/>
          <w:sz w:val="28"/>
          <w:szCs w:val="28"/>
          <w:lang w:eastAsia="en-US"/>
        </w:rPr>
        <w:t>частичный выкуп эмиссии, или гарантирование выкупа эмиссии;</w:t>
      </w:r>
      <w:r w:rsidRPr="000452AF">
        <w:rPr>
          <w:rFonts w:ascii="Times New Roman" w:hAnsi="Times New Roman" w:cs="Times New Roman"/>
          <w:sz w:val="28"/>
          <w:szCs w:val="28"/>
          <w:lang w:eastAsia="en-US"/>
        </w:rPr>
        <w:t xml:space="preserve"> </w:t>
      </w:r>
      <w:r w:rsidR="00C221AB" w:rsidRPr="000452AF">
        <w:rPr>
          <w:rFonts w:ascii="Times New Roman" w:hAnsi="Times New Roman" w:cs="Times New Roman"/>
          <w:sz w:val="28"/>
          <w:szCs w:val="28"/>
          <w:lang w:eastAsia="en-US"/>
        </w:rPr>
        <w:t>обслуживание сделок слияния и поглощения и др.;</w:t>
      </w:r>
    </w:p>
    <w:p w:rsidR="00E864CA" w:rsidRPr="000452AF" w:rsidRDefault="00FB0125" w:rsidP="0095418D">
      <w:pPr>
        <w:pStyle w:val="af"/>
        <w:numPr>
          <w:ilvl w:val="0"/>
          <w:numId w:val="11"/>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lang w:eastAsia="en-US"/>
        </w:rPr>
        <w:t>д</w:t>
      </w:r>
      <w:r w:rsidR="00C221AB" w:rsidRPr="000452AF">
        <w:rPr>
          <w:rFonts w:ascii="Times New Roman" w:hAnsi="Times New Roman" w:cs="Times New Roman"/>
          <w:sz w:val="28"/>
          <w:szCs w:val="28"/>
          <w:lang w:eastAsia="en-US"/>
        </w:rPr>
        <w:t>епозитарная деятельность;</w:t>
      </w:r>
    </w:p>
    <w:p w:rsidR="00FB0125" w:rsidRPr="000452AF" w:rsidRDefault="00FB0125" w:rsidP="0095418D">
      <w:pPr>
        <w:pStyle w:val="af"/>
        <w:numPr>
          <w:ilvl w:val="0"/>
          <w:numId w:val="11"/>
        </w:numPr>
        <w:spacing w:line="360" w:lineRule="auto"/>
        <w:ind w:left="0" w:firstLine="709"/>
        <w:jc w:val="both"/>
        <w:rPr>
          <w:rFonts w:ascii="Times New Roman" w:hAnsi="Times New Roman" w:cs="Times New Roman"/>
          <w:sz w:val="28"/>
          <w:szCs w:val="28"/>
        </w:rPr>
      </w:pPr>
      <w:r w:rsidRPr="000452AF">
        <w:rPr>
          <w:rFonts w:ascii="Times New Roman" w:hAnsi="Times New Roman" w:cs="Times New Roman"/>
          <w:sz w:val="28"/>
          <w:szCs w:val="28"/>
        </w:rPr>
        <w:t>деятельности по управлению ценными бумагами – доверительное управление, персональное управление.</w:t>
      </w:r>
    </w:p>
    <w:p w:rsidR="00FB0125" w:rsidRPr="000452AF" w:rsidRDefault="00FB0125"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Коммерческие банки, работая на рынке ценных бумаг, могут привлекать капитал, получать прибыль, поддерживать ликвидность, улучшать качество обеспечения. У банков существуют свободные ресурсы и поэтому они являются достаточно крупными игроками на рынке ценных бумаг. Банки могут работать и как инвесторы и как финансовые посредники, организовывать выпуски ценных бумаг для своих клиентов и размещать их на рынке (в том числе международном). Также банки могут размещать и собственные ценные бумаги для привлечения финансирования.</w:t>
      </w:r>
    </w:p>
    <w:p w:rsidR="00FB0125" w:rsidRPr="000452AF" w:rsidRDefault="00FB0125"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В коммерческом банке существует ряд, структурных подразделений, постоянно работающих с ценными бумагами. Вместе с тем, у каждого из этих подразделений есть соответствующие особенности в работе, которые обусловлены различными функциями, выполняемыми подразделениями банка</w:t>
      </w:r>
      <w:r w:rsidR="00812C1E" w:rsidRPr="000452AF">
        <w:rPr>
          <w:rFonts w:ascii="Times New Roman" w:hAnsi="Times New Roman" w:cs="Times New Roman"/>
          <w:sz w:val="28"/>
          <w:szCs w:val="28"/>
        </w:rPr>
        <w:t xml:space="preserve"> (рис. 1)</w:t>
      </w:r>
      <w:r w:rsidRPr="000452AF">
        <w:rPr>
          <w:rFonts w:ascii="Times New Roman" w:hAnsi="Times New Roman" w:cs="Times New Roman"/>
          <w:sz w:val="28"/>
          <w:szCs w:val="28"/>
        </w:rPr>
        <w:t>.</w:t>
      </w:r>
    </w:p>
    <w:p w:rsidR="00D737C4" w:rsidRPr="000452AF" w:rsidRDefault="00FB0125"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Рассмотрим схему, на которой отражены наиболее часто работающие с ценными бумагами банковские структуры.</w:t>
      </w:r>
    </w:p>
    <w:p w:rsidR="00812C1E" w:rsidRPr="000452AF" w:rsidRDefault="00812C1E" w:rsidP="0095418D">
      <w:pPr>
        <w:pStyle w:val="af"/>
        <w:spacing w:line="360" w:lineRule="auto"/>
        <w:ind w:firstLine="709"/>
        <w:jc w:val="both"/>
        <w:rPr>
          <w:rFonts w:ascii="Times New Roman" w:hAnsi="Times New Roman" w:cs="Times New Roman"/>
          <w:sz w:val="28"/>
          <w:szCs w:val="28"/>
        </w:rPr>
      </w:pPr>
    </w:p>
    <w:p w:rsidR="00FB0125" w:rsidRPr="000452AF" w:rsidRDefault="009D6FFB" w:rsidP="0095418D">
      <w:pPr>
        <w:pStyle w:val="af"/>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0.5pt;height:168pt;visibility:visible">
            <v:imagedata r:id="rId7" o:title=""/>
          </v:shape>
        </w:pict>
      </w:r>
    </w:p>
    <w:p w:rsidR="00056EF8" w:rsidRPr="000452AF" w:rsidRDefault="00FB0125"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Рис.</w:t>
      </w:r>
      <w:r w:rsidR="00812C1E" w:rsidRPr="000452AF">
        <w:rPr>
          <w:rFonts w:ascii="Times New Roman" w:hAnsi="Times New Roman" w:cs="Times New Roman"/>
          <w:sz w:val="28"/>
          <w:szCs w:val="28"/>
        </w:rPr>
        <w:t xml:space="preserve"> </w:t>
      </w:r>
      <w:r w:rsidRPr="000452AF">
        <w:rPr>
          <w:rFonts w:ascii="Times New Roman" w:hAnsi="Times New Roman" w:cs="Times New Roman"/>
          <w:sz w:val="28"/>
          <w:szCs w:val="28"/>
        </w:rPr>
        <w:t>1</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Все вышеуказанные подразделения подчиняются Правлению банка, также видно, что они активно взаимодействуют друг с другом.</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Казначейство, которое можно образно определить как «сердце» коммерческого банка, чаще, чем другие подразделения, работает с ценными бумагами. Его основными функциями являются размещение свободных средств банка с соблюдением баланса доходности и риска и поддержание ликвидности банка.</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Организационная структура казначейства зависит от масштабов бизнеса банка, его «специализации» и имеющейся линейки продуктов, которые предлагаются банком рынку. В большинстве банков в составе казначейства (на профессиональном слэнге употребляют еще термины «трейдинг», «дилинг» или «desk») существуют различные отделы/управления. Мы перечислим лишь некоторые, наиболее распространенные:</w:t>
      </w:r>
    </w:p>
    <w:p w:rsidR="00FB0125" w:rsidRPr="000452AF" w:rsidRDefault="00FB0125" w:rsidP="0095418D">
      <w:pPr>
        <w:pStyle w:val="af"/>
        <w:numPr>
          <w:ilvl w:val="0"/>
          <w:numId w:val="12"/>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от</w:t>
      </w:r>
      <w:r w:rsidR="00812C1E" w:rsidRPr="000452AF">
        <w:rPr>
          <w:rFonts w:ascii="Times New Roman" w:hAnsi="Times New Roman" w:cs="Times New Roman"/>
          <w:sz w:val="28"/>
          <w:szCs w:val="28"/>
          <w:lang w:eastAsia="en-US"/>
        </w:rPr>
        <w:t>дел по работе на рынке капитала</w:t>
      </w:r>
    </w:p>
    <w:p w:rsidR="00FB0125" w:rsidRPr="000452AF" w:rsidRDefault="00FB0125" w:rsidP="0095418D">
      <w:pPr>
        <w:pStyle w:val="af"/>
        <w:numPr>
          <w:ilvl w:val="0"/>
          <w:numId w:val="12"/>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отдел по работе с долговыми инструментами /инструментами с фиксированной доходностью,</w:t>
      </w:r>
    </w:p>
    <w:p w:rsidR="00FB0125" w:rsidRPr="000452AF" w:rsidRDefault="00FB0125" w:rsidP="0095418D">
      <w:pPr>
        <w:pStyle w:val="af"/>
        <w:numPr>
          <w:ilvl w:val="0"/>
          <w:numId w:val="12"/>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отдел операций на денежном рынке и др.</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Например, отдел/управление долговых обязательств, проводит операции с облигациями, векселями и другими долговыми инструментами. При этом он обязан соблюдать баланс между их доходностью и риском, стремясь максимизировать первое и минимизировать последние. Все отделы/управления, входящие в состав трейдинговых подразделений, занимаются активными операциями. Более подробно они будут рассмотрены ниже, но их отношение к проводимым операциям с ценными бумагами или другими финансовыми инструментами формируется также под влиянием необходимости выполнения требований соотношения риск/доходность. Особенно это актуально тогда, когда банк работает на свои средства (собственную позицию), исполняя функции дилера и принимая все риски, сопутствующие сделкам с ценными бумагами, на свой баланс (в случае исполнения сделки по приказу клиента и за его счет – то есть выполнения функции брокера, риски ложатся на клиента).</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Кроме торговли, банк может использовать ценные бумаги в качестве инструмента привлечения финансирования с рынка для собственных нужд, то есть выпускать свои собственные выпуски ценных бумаг, а также быть андеррайтером или со-андеррайтером ценных бумаг сторонних эмитентов, то есть заниматься торговым и корпоративным финансированием, однако в обоих случаях предметом его деятельности становятся ценные бумаги.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Существует рынок межбанковского кредита, на котором банки привлекают средства, в основном короткие – день, неделя, реже месяц. Эти операции также находятся в ведении казначейства. Работать на этом рынке в банковской практике принято либо «при открытии чистого лимита» - без обеспечения, либо с обеспечением, которым могут быть ценные бумаги. На практике в качестве обеспечения банками принимаются и другие активы – недвижимость, транспортные средства, товарные запасы, экспортная выручка, наличие которой подтверждается заключенными экспортными контрактами, или какие либо другие активы. В качестве объекта залога ценные бумаги изучаются и анализируются не казначейством, а другими подразделениями банка, функции которых будут рассмотрены далее.</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Казначейство в подавляющем большинстве рассматривает ценные бумаги и финансовые инструменты в процессе своей деятельности как инструменты получения прибыли и поддержания ликвидности.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Бэк-офис – занимается учетом всех сделок и операций с ценными бумагами и финансовыми инструментами. Организация работы бэк-офиса подчинена требованиям регуляторов – в данном случае Министерства финансов РФ и ФКЦБ (предшественницы ФСФР). Они сформ</w:t>
      </w:r>
      <w:r w:rsidR="005E4535" w:rsidRPr="000452AF">
        <w:rPr>
          <w:rFonts w:ascii="Times New Roman" w:hAnsi="Times New Roman" w:cs="Times New Roman"/>
          <w:sz w:val="28"/>
          <w:szCs w:val="28"/>
          <w:lang w:eastAsia="en-US"/>
        </w:rPr>
        <w:t>улированы в постановлении ФКЦБ №</w:t>
      </w:r>
      <w:r w:rsidRPr="000452AF">
        <w:rPr>
          <w:rFonts w:ascii="Times New Roman" w:hAnsi="Times New Roman" w:cs="Times New Roman"/>
          <w:sz w:val="28"/>
          <w:szCs w:val="28"/>
          <w:lang w:eastAsia="en-US"/>
        </w:rPr>
        <w:t xml:space="preserve"> 32, Министерства Финансов </w:t>
      </w:r>
      <w:r w:rsidR="005E4535" w:rsidRPr="000452AF">
        <w:rPr>
          <w:rFonts w:ascii="Times New Roman" w:hAnsi="Times New Roman" w:cs="Times New Roman"/>
          <w:sz w:val="28"/>
          <w:szCs w:val="28"/>
          <w:lang w:eastAsia="en-US"/>
        </w:rPr>
        <w:t>Российской Федерации №</w:t>
      </w:r>
      <w:r w:rsidRPr="000452AF">
        <w:rPr>
          <w:rFonts w:ascii="Times New Roman" w:hAnsi="Times New Roman" w:cs="Times New Roman"/>
          <w:sz w:val="28"/>
          <w:szCs w:val="28"/>
          <w:lang w:eastAsia="en-US"/>
        </w:rPr>
        <w:t xml:space="preserve"> 108н от 11 декабря 2001 года (новая редакция Постановления </w:t>
      </w:r>
      <w:r w:rsidR="005E4535" w:rsidRPr="000452AF">
        <w:rPr>
          <w:rFonts w:ascii="Times New Roman" w:hAnsi="Times New Roman" w:cs="Times New Roman"/>
          <w:sz w:val="28"/>
          <w:szCs w:val="28"/>
          <w:lang w:eastAsia="en-US"/>
        </w:rPr>
        <w:t>ФКЦБ РФ № 04-1/пс, Минфина РФ №</w:t>
      </w:r>
      <w:r w:rsidRPr="000452AF">
        <w:rPr>
          <w:rFonts w:ascii="Times New Roman" w:hAnsi="Times New Roman" w:cs="Times New Roman"/>
          <w:sz w:val="28"/>
          <w:szCs w:val="28"/>
          <w:lang w:eastAsia="en-US"/>
        </w:rPr>
        <w:t xml:space="preserve"> 15н от 04.02.2004), которым введен в действие «Порядок ведения внутреннего учета сделок, включая срочные сделки, и операций с ценными бумагами профессиональными участниками рынка ценных бумаг, осуществляющими брокерскую, дилерскую деятельность и деятельность по управлению ценными бумагами». Система внутреннего учета отличается как от системы бухгалтерского учета, так и от иных систем учета (например, учета в целях налогообложения, управленческого учета). Ее цель – максимально полно учесть всю информацию относительно сделок банка с финансовыми инструментами, обработать ее и подготовить для дальнейшей передачи в систему бухгалтерского и депозитарного учета, а также обеспечить полноту раскрытия информации для клиентов, по поручению которых выполняются сделки.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Банк, выступающий в качестве профессионального участника на рынке ценных бумаг, может иметь лицензию и на ведение депозитарной деятельности. Депозитарий –</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кастодиан, которыми в большинстве случаев являются банковские депозитарии,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выполняет две основные функции: во-первых, учитывает права собственности, которые</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представляют своим владельцам ценные бумаги (фиксируя все, что связано с этим –</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обременение, перемещение, информацию о корпоративных событиях эмитента и т.д.), 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во-вторых – хранит ценные бумаги.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 точки зрения отношения к ценной бумаге или другим финансовым инструментам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бэк-офису и депозитарию-кастодиану не важны инвестиционные качества конкретной</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ценной бумаги и риски, которые возникаю</w:t>
      </w:r>
      <w:r w:rsidR="0094223C" w:rsidRPr="000452AF">
        <w:rPr>
          <w:rFonts w:ascii="Times New Roman" w:hAnsi="Times New Roman" w:cs="Times New Roman"/>
          <w:sz w:val="28"/>
          <w:szCs w:val="28"/>
          <w:lang w:eastAsia="en-US"/>
        </w:rPr>
        <w:t xml:space="preserve">т при работе с ней. Их задача – </w:t>
      </w:r>
      <w:r w:rsidRPr="000452AF">
        <w:rPr>
          <w:rFonts w:ascii="Times New Roman" w:hAnsi="Times New Roman" w:cs="Times New Roman"/>
          <w:sz w:val="28"/>
          <w:szCs w:val="28"/>
          <w:lang w:eastAsia="en-US"/>
        </w:rPr>
        <w:t>вести учет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сделок и операций с ценными бумагами и другими финансовыми инструментами и учет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самих прав, предоставляемых ценными бумагами, а также обеспечивать клиентам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возможность реализации прав, предоставляемых данной ценной бумагой, предоставлять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всю информации, необходимую как для реализации имеющихся у владельца прав, так 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для проведения сделок и операций с ценными бумагами.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Иная ситуация в расчетных депозитариях, а также международных депозитарно-клиринговых системах. Эти институты фондового рынка являются основой его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инфраструктуры и работают в качестве самостоятельных хозяйствующих субъектов, в то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время как большинство работающих в России депозитариев-кастодианов являются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структурными подразделениями коммерческих банков. Поэтому расчетные депозитарии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международные депозитарно-клиринговые институты придирчиво отслеживают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инвестиционные качества инструментов, с которыми работают и ограничивают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возможности обслуживания ценных бумаг низкого инвестиционного качества.</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Во всех банках существуют управления/департаменты управления рисками. Эти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структурные подразделения появились в российских финансовых институтах</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сравнительно недавно и в значительной степени их позиционирование в бизнес-процессах коммерческих банков находится в развитии. Наиболее тесно они сотрудничают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 теми подразделениями банков, которые занимаются активными операциями, то есть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казначейством, инвестиционным департаментом и управлением/департаментом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кредитования. Схему взаимодействия между этими подразделениями можно представить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следующим образом.</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До начала проведения операции с долговыми инструментами риск-менеджеры по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инициативе казначейства определяют объемы финансовых ресурсов, которые могут быть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использованы. При этом во внимание принимаются такие факторы как сроки проведения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операций, имеющаяся практика работы с контрагентом по сделке, тип сделки, стоимость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используемых ресурсов, условия расчетов по сделкам, порядок проведения транзакции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(перемещения активов) в соответствии с условиями сделки и многое другое.</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случаях, когда сотрудники казначейства/инвестдепартамента исполняют заявки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клиентов по покупке/продаже ценных бумаг или иных финансовых инструментов, степень</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риска определяют непосредственно клиенты, отдающие приказы. В этой ситуации банк</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выступает как брокер. Сотрудники риск-менеджмента при исполнении банком функции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брокера привлекаются только в случае проведения маржинальных сделок или сделок</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РЕПО, если клиент становится одним из участников таких сделок.</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процессе формирования собственной позиции банка ценные бумаги учитываются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 его балансе, что требует привлечения сотрудников управления рисками к оценке риска</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соответственно формированию предложений относительно величины «открытых»</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лимитов.</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Современная практика работы с крупными клиентами даже в качестве брокера</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требует аккумуляции пакета ценных бумаг для более качественной и эффективной</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работы. В этом случае банку приходится учитывать на собственном балансе достаточно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крупные пакеты ценных бумаг до момента продажи их клиенту (например, хеджевому</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фонду). В подобной ситуации банк временно принимает риски, связанные с</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аккумулируемыми ценными бумагами на себя. Последствия подобных сделок требуют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обязательной оценки со стороны риск-менеджеров, и, до начала работы,</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управление/департамент рисков оценивает риски связанные с подобными операциями 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выдает свое заключение, например, открывает лимит на покупку долговых инструментов</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 определенную сумму. Анализ проводится как технический, так и фундаментальный,</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также учитываются иные факторы риска.</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Риск-менеджеры рассматривают ценные бумаги как объект, который постоянно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создает те или иные виды рисков. В идеальной ситуации необходимо найти инструмент,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обеспечивающий достаточно высокую доходность (выше эталонных значений, например,</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соответствующих индексов) и надежность. В рыночной практике такие инструменты</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достаточно редки, поэтому конфликт интересов между риск-менеджментом 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казначейством вызван объективными условиями и задача руководителей обоих</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подразделений – найти консенсус в интересах банка в целом. Рассмотренная ситуация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касается не только операций с ценными бумагами, но также и работы на денежном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рынке или на рынке межбанковского кредита. Как указывалось выше, казначейство может</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проводить операции используя в качестве обеспечения залоги различных активов (кроме</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ценных бумаг), однако и в этом случае «открытие» лимита на межбанковском рынке</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находится в компетенции управления рисков – они оценивают риски, сопутствующие</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реализации залоговых активов (мы рассматриваем наихудший вариант – отказ</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контрагента по сделки выполнять принятые в срок обязательства, т.е. дефолт по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инструменту) и решают работать с залогом или нет. Чем больше масштаб операций</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коммерческого банка, тем больше у него возникает различного рода рисков 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соответственно, сложнее процессы взаимодействия между структурными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подразделениями и механизмы «настройки» внутрибанковских систем проведения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активных операций и систем управления рисками. При этом последние в обязательном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порядке должны охватывать все операции банка, включая и те, в которых ценные бумаги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не являются предметами сделок.</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Управление (департамент) выдачи кредитов в основном использует ценные бумаги в</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качестве залогового инструмента. Исключение составляют операции вексельного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кредитования, но в рамках данной работы мы не станем рассматривать этот аспект в связи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 особыми свойствами векселя как ценной бумаги.</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Кредиты могут быть разные: коммерческие, потребительские, целевые и другие. </w:t>
      </w:r>
      <w:r w:rsidR="0094223C" w:rsidRPr="000452AF">
        <w:rPr>
          <w:rFonts w:ascii="Times New Roman" w:hAnsi="Times New Roman" w:cs="Times New Roman"/>
          <w:sz w:val="28"/>
          <w:szCs w:val="28"/>
          <w:lang w:eastAsia="en-US"/>
        </w:rPr>
        <w:t>Необходимо</w:t>
      </w:r>
      <w:r w:rsidRPr="000452AF">
        <w:rPr>
          <w:rFonts w:ascii="Times New Roman" w:hAnsi="Times New Roman" w:cs="Times New Roman"/>
          <w:sz w:val="28"/>
          <w:szCs w:val="28"/>
          <w:lang w:eastAsia="en-US"/>
        </w:rPr>
        <w:t xml:space="preserve"> подчеркн</w:t>
      </w:r>
      <w:r w:rsidR="0094223C" w:rsidRPr="000452AF">
        <w:rPr>
          <w:rFonts w:ascii="Times New Roman" w:hAnsi="Times New Roman" w:cs="Times New Roman"/>
          <w:sz w:val="28"/>
          <w:szCs w:val="28"/>
          <w:lang w:eastAsia="en-US"/>
        </w:rPr>
        <w:t>уть</w:t>
      </w:r>
      <w:r w:rsidRPr="000452AF">
        <w:rPr>
          <w:rFonts w:ascii="Times New Roman" w:hAnsi="Times New Roman" w:cs="Times New Roman"/>
          <w:sz w:val="28"/>
          <w:szCs w:val="28"/>
          <w:lang w:eastAsia="en-US"/>
        </w:rPr>
        <w:t>, что рынок межбанковского кредита занимает в кредитной работе особое</w:t>
      </w:r>
      <w:r w:rsidR="0094223C" w:rsidRPr="000452AF">
        <w:rPr>
          <w:rFonts w:ascii="Times New Roman" w:hAnsi="Times New Roman" w:cs="Times New Roman"/>
          <w:sz w:val="28"/>
          <w:szCs w:val="28"/>
          <w:lang w:eastAsia="en-US"/>
        </w:rPr>
        <w:t xml:space="preserve"> место – </w:t>
      </w:r>
      <w:r w:rsidRPr="000452AF">
        <w:rPr>
          <w:rFonts w:ascii="Times New Roman" w:hAnsi="Times New Roman" w:cs="Times New Roman"/>
          <w:sz w:val="28"/>
          <w:szCs w:val="28"/>
          <w:lang w:eastAsia="en-US"/>
        </w:rPr>
        <w:t>на нем традиционно «правит бал» казначейство. Разработкой же и реализация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банковских продуктов, связанных с традиционными видами кредитования, обычно</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занимается кредитный департамент коммерческого банка. Кредитный департамент при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выдаче кредита в рамках установленных ему полномочий решает, брать предложенное</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имущество в залог или нет, как более надежно оформлять залог. </w:t>
      </w:r>
      <w:r w:rsidR="0094223C" w:rsidRPr="000452AF">
        <w:rPr>
          <w:rFonts w:ascii="Times New Roman" w:hAnsi="Times New Roman" w:cs="Times New Roman"/>
          <w:sz w:val="28"/>
          <w:szCs w:val="28"/>
          <w:lang w:eastAsia="en-US"/>
        </w:rPr>
        <w:t>Следует о</w:t>
      </w:r>
      <w:r w:rsidRPr="000452AF">
        <w:rPr>
          <w:rFonts w:ascii="Times New Roman" w:hAnsi="Times New Roman" w:cs="Times New Roman"/>
          <w:sz w:val="28"/>
          <w:szCs w:val="28"/>
          <w:lang w:eastAsia="en-US"/>
        </w:rPr>
        <w:t>тмети</w:t>
      </w:r>
      <w:r w:rsidR="0094223C" w:rsidRPr="000452AF">
        <w:rPr>
          <w:rFonts w:ascii="Times New Roman" w:hAnsi="Times New Roman" w:cs="Times New Roman"/>
          <w:sz w:val="28"/>
          <w:szCs w:val="28"/>
          <w:lang w:eastAsia="en-US"/>
        </w:rPr>
        <w:t>ть</w:t>
      </w:r>
      <w:r w:rsidRPr="000452AF">
        <w:rPr>
          <w:rFonts w:ascii="Times New Roman" w:hAnsi="Times New Roman" w:cs="Times New Roman"/>
          <w:sz w:val="28"/>
          <w:szCs w:val="28"/>
          <w:lang w:eastAsia="en-US"/>
        </w:rPr>
        <w:t>, в этой ситуации</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достаточно часто возникают конфликты (несовпадение мнений) между управлением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рисками и кредитным департаментом. В таком случае решение принимается</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вышестоящим органом управления – Правлен</w:t>
      </w:r>
      <w:r w:rsidR="0094223C" w:rsidRPr="000452AF">
        <w:rPr>
          <w:rFonts w:ascii="Times New Roman" w:hAnsi="Times New Roman" w:cs="Times New Roman"/>
          <w:sz w:val="28"/>
          <w:szCs w:val="28"/>
          <w:lang w:eastAsia="en-US"/>
        </w:rPr>
        <w:t xml:space="preserve">ием, а в более крупных банках – </w:t>
      </w:r>
      <w:r w:rsidRPr="000452AF">
        <w:rPr>
          <w:rFonts w:ascii="Times New Roman" w:hAnsi="Times New Roman" w:cs="Times New Roman"/>
          <w:sz w:val="28"/>
          <w:szCs w:val="28"/>
          <w:lang w:eastAsia="en-US"/>
        </w:rPr>
        <w:t>кредитным</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или иным профильным комитетом.</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видно, разные подразделения относятся к ценным бумагам по-разному:</w:t>
      </w:r>
    </w:p>
    <w:p w:rsidR="00FB0125" w:rsidRPr="000452AF" w:rsidRDefault="00FB0125" w:rsidP="0095418D">
      <w:pPr>
        <w:pStyle w:val="af"/>
        <w:numPr>
          <w:ilvl w:val="0"/>
          <w:numId w:val="13"/>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к инструменту получения прибыли</w:t>
      </w:r>
    </w:p>
    <w:p w:rsidR="00FB0125" w:rsidRPr="000452AF" w:rsidRDefault="00FB0125" w:rsidP="0095418D">
      <w:pPr>
        <w:pStyle w:val="af"/>
        <w:numPr>
          <w:ilvl w:val="0"/>
          <w:numId w:val="13"/>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к инструменту поддержания ликвидности</w:t>
      </w:r>
    </w:p>
    <w:p w:rsidR="00FB0125" w:rsidRPr="000452AF" w:rsidRDefault="00FB0125" w:rsidP="0095418D">
      <w:pPr>
        <w:pStyle w:val="af"/>
        <w:numPr>
          <w:ilvl w:val="0"/>
          <w:numId w:val="13"/>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к инструменту залога.</w:t>
      </w:r>
    </w:p>
    <w:p w:rsidR="00FB0125" w:rsidRPr="000452AF" w:rsidRDefault="00FB012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Однако в любом случае общим для всех перечисленных банковских</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подразделений</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является стремление получения прибыли. Даже принимая в залог ценные бумаги, их</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оценивают с учетом вероятной продажи в условиях «низкого рынка» с тем, чтобы</w:t>
      </w:r>
      <w:r w:rsidR="0094223C"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реализация залогового имущества позволяла покрыть все возможные потери банка.</w:t>
      </w:r>
    </w:p>
    <w:p w:rsidR="00D10BB2" w:rsidRPr="000452AF" w:rsidRDefault="00812C1E" w:rsidP="0095418D">
      <w:pPr>
        <w:shd w:val="clear" w:color="auto" w:fill="FFFFFF"/>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sz w:val="28"/>
          <w:szCs w:val="28"/>
          <w:lang w:eastAsia="en-US"/>
        </w:rPr>
        <w:br w:type="page"/>
      </w:r>
      <w:r w:rsidR="0094223C" w:rsidRPr="000452AF">
        <w:rPr>
          <w:rFonts w:ascii="Times New Roman" w:hAnsi="Times New Roman" w:cs="Times New Roman"/>
          <w:b/>
          <w:bCs/>
          <w:sz w:val="28"/>
          <w:szCs w:val="28"/>
        </w:rPr>
        <w:t>2. ОСНОВНЫЕ ВИДЫ СДЕЛОК С ЦЕННЫМИ БУМАГАМИ, ИСПОЛЬЗУЕМЫЕ В</w:t>
      </w:r>
      <w:r w:rsidRPr="000452AF">
        <w:rPr>
          <w:rFonts w:ascii="Times New Roman" w:hAnsi="Times New Roman" w:cs="Times New Roman"/>
          <w:b/>
          <w:bCs/>
          <w:sz w:val="28"/>
          <w:szCs w:val="28"/>
        </w:rPr>
        <w:t xml:space="preserve"> </w:t>
      </w:r>
      <w:r w:rsidR="0094223C" w:rsidRPr="000452AF">
        <w:rPr>
          <w:rFonts w:ascii="Times New Roman" w:hAnsi="Times New Roman" w:cs="Times New Roman"/>
          <w:b/>
          <w:bCs/>
          <w:sz w:val="28"/>
          <w:szCs w:val="28"/>
        </w:rPr>
        <w:t xml:space="preserve">ДЕЯТЕЛЬНОСТИ КОММЕРЧЕСКИХ БАНКОВ </w:t>
      </w:r>
    </w:p>
    <w:p w:rsidR="00D10BB2" w:rsidRPr="000452AF" w:rsidRDefault="00D10BB2" w:rsidP="0095418D">
      <w:pPr>
        <w:spacing w:line="360" w:lineRule="auto"/>
        <w:ind w:firstLine="709"/>
        <w:jc w:val="both"/>
        <w:rPr>
          <w:rFonts w:ascii="Times New Roman" w:hAnsi="Times New Roman" w:cs="Times New Roman"/>
          <w:sz w:val="28"/>
          <w:szCs w:val="28"/>
        </w:rPr>
      </w:pPr>
    </w:p>
    <w:p w:rsidR="00827691" w:rsidRPr="000452AF" w:rsidRDefault="00812C1E" w:rsidP="00812C1E">
      <w:pPr>
        <w:pStyle w:val="af"/>
        <w:widowControl/>
        <w:autoSpaceDE/>
        <w:autoSpaceDN/>
        <w:adjustRightInd/>
        <w:spacing w:line="360" w:lineRule="auto"/>
        <w:ind w:firstLine="700"/>
        <w:jc w:val="both"/>
        <w:rPr>
          <w:rFonts w:ascii="Times New Roman" w:hAnsi="Times New Roman" w:cs="Times New Roman"/>
          <w:b/>
          <w:bCs/>
          <w:sz w:val="28"/>
          <w:szCs w:val="28"/>
        </w:rPr>
      </w:pPr>
      <w:r w:rsidRPr="000452AF">
        <w:rPr>
          <w:rFonts w:ascii="Times New Roman" w:hAnsi="Times New Roman" w:cs="Times New Roman"/>
          <w:b/>
          <w:bCs/>
          <w:sz w:val="28"/>
          <w:szCs w:val="28"/>
          <w:lang w:eastAsia="en-US"/>
        </w:rPr>
        <w:t xml:space="preserve">2.1 </w:t>
      </w:r>
      <w:r w:rsidR="00381DE1" w:rsidRPr="000452AF">
        <w:rPr>
          <w:rFonts w:ascii="Times New Roman" w:hAnsi="Times New Roman" w:cs="Times New Roman"/>
          <w:b/>
          <w:bCs/>
          <w:sz w:val="28"/>
          <w:szCs w:val="28"/>
          <w:lang w:eastAsia="en-US"/>
        </w:rPr>
        <w:t>Операции с ценными бумагами</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Коммерческие банки занимают на рынке ценных бумаг достаточно заметное место, они могут работать со всеми видами финансовых и производных инструментов и производить различные операции на рынке ценных бумаг.</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Операции коммерческих банков можно поделить на:</w:t>
      </w:r>
    </w:p>
    <w:p w:rsidR="00381DE1" w:rsidRPr="000452AF" w:rsidRDefault="00381DE1" w:rsidP="0095418D">
      <w:pPr>
        <w:pStyle w:val="af"/>
        <w:numPr>
          <w:ilvl w:val="0"/>
          <w:numId w:val="14"/>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спекулятивные</w:t>
      </w:r>
    </w:p>
    <w:p w:rsidR="00381DE1" w:rsidRPr="000452AF" w:rsidRDefault="00381DE1" w:rsidP="0095418D">
      <w:pPr>
        <w:pStyle w:val="af"/>
        <w:numPr>
          <w:ilvl w:val="0"/>
          <w:numId w:val="14"/>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хеджирование</w:t>
      </w:r>
    </w:p>
    <w:p w:rsidR="00381DE1" w:rsidRPr="000452AF" w:rsidRDefault="00381DE1" w:rsidP="0095418D">
      <w:pPr>
        <w:pStyle w:val="af"/>
        <w:numPr>
          <w:ilvl w:val="0"/>
          <w:numId w:val="14"/>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портфельные</w:t>
      </w:r>
    </w:p>
    <w:p w:rsidR="00381DE1" w:rsidRPr="000452AF" w:rsidRDefault="00381DE1" w:rsidP="0095418D">
      <w:pPr>
        <w:pStyle w:val="af"/>
        <w:numPr>
          <w:ilvl w:val="0"/>
          <w:numId w:val="14"/>
        </w:numPr>
        <w:spacing w:line="360" w:lineRule="auto"/>
        <w:ind w:left="0"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эмиссионные</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Спекуляция – купля-продажа активов с целью последующей перепродажи для получения прибыли.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банковской практике предметом спекулятивных сделок могут быть как финансовые активы (включая ценные бумаги и валютные ценности), так и их производные, включая производные на биржевые товары (например, товарные фьючерсы). Основной целью спекулятивных операций, как видно из определения, является получение максимальной прибыли. Спекулянт использует различные приемы, например различные сообщения, которые могут повлиять на стоимость инструмента, слухи, компиляции различных видов рисков (политические, финансовые и др.) для максимизации прибыли. Спекулянт выполняет некие «санитарные» функции, «срезая» ценовые пики. На финансовом рынке наиболее популярно «скальпирование» - получение прибыли посредством проведения значительного количества сделок в течение одного торгового дня с минимальной разницей в ценах. Спекулянт, «скальпер» как правило, использует агрессивную, рискованную тактику проведения операций на рынке.</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Существует два основных вида стратегий спекулятивных операций: «бычья» - игра на повышение и «медвежья» - игра на понижение.</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Сущность стратегии «быков» заключается в том, что котировки инструментов идут вверх, в зависимости от этого можно открывать позиции за свой счет или использовать заемные средства для получения дополнительной прибыли (использование «levereage/рычага»).</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При стратегии «медведей» игра идет, наоборот, на понижение котировок инструментов, что также позволяет работать с собственными или заемными средствами. Использование leverage на «медвежьем» рынке гораздо рискованнее, чем на «бычьем». Это связано в первую очередь с психологией участников рынка: психологически продавать актив (базовые финансовые инструменты или их производные) а тем более фиксировать убыток (выполнять требования «stop-loss») гораздо сложнее, чем фиксировать прибыль (выполнять требования «take profit»).</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Спекулятивные операции совершаются в довольно короткий период времени, чаще всего в течение одного дня, хотя период может быть продлен до нескольких дней.</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Скальперы совершают максимальное количество сделок (несколько десятков) в течение торгового дня и вынуждены платить значительные суммы в качестве комиссионных брокерам и торговым площадкам. Именно среди них особой популярностью пользуется интернет-торговля.</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Спекулятивные операции особенно эффективны при высокой волатильности рынка, когда котировки инструментов могут значительно колебаться в течение дня. Таким образом, наибольшей эффективности спекулятивные операции достигают на развивающихся рынках с высокими рисками. Стоит отметить, что чем больше средств вовлечено в спекулятивные операции, тем больше объем, а соответственно и возможная прибыль. В течение одного дня котировки могут колебаться незначительно и соответственно если заниматься куплей-продажей с малыми объемами, то прибыль будет небольшая, тот же принцип можно применить и относительно времени удержания спекулятивных позиций: чем дольше удерживаются позиции, тем больше возможности получить сверхприбыль, но, соответственно, пропорционально времени удержания позиций растут и риски.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Крупные коммерческие банки, являясь искушенными инвесторами и располагая мощными информационными системами (такими, как например Reuter) и значительными финансовыми ресурсами, могут использовать спекулятивные операции с большой выгодой для себя. Как указывалось выше одной и функций банка является аккумулирование временно свободных средств корпораций и населения, поэтому у него существуют свободные средства и возможности совершать спекулятивные сделки с большими объемами. Кроме того, банки в состоянии привлекать высокопрофессиональные команды аналитиков и трейдеров, умеющих улавливать малейшие колебания различных сегментов финансового рынка (в том числе зарубежных рынков) и давать рекомендации по использованию этой информации в интересах банка.</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Спекулятивные сделки, могут быть связаны и с использованием инсайдерской информации. Например, готовится существенная информация о какой-либо компании и соответственно если она будет позитивная, то котировки пойдут вверх, если негативная – вниз (например, финансовые итоги квартала, полугодия, готовящаяся крупная сделка или иное существенное событие в жизни акционерного общества). Сущность заключается в том, что спекулянты заранее узнают о ней и соответственно выстраивают торговые стратегии.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Существующее в России законодательство не обеспечивает полноценной защиты рынка от использования инсайдерской информации и манипулирования на этой основе ценами. В странах с более развитой инфраструктурой фондового рынка и более совершенными правовыми отношениями между участниками фондового рынка, например в США, за использование инсайдерской информации грозит крупный штраф или тюремное заключение на срок до 10 лет. Справедливости ради </w:t>
      </w:r>
      <w:r w:rsidR="009D1179" w:rsidRPr="000452AF">
        <w:rPr>
          <w:rFonts w:ascii="Times New Roman" w:hAnsi="Times New Roman" w:cs="Times New Roman"/>
          <w:sz w:val="28"/>
          <w:szCs w:val="28"/>
          <w:lang w:eastAsia="en-US"/>
        </w:rPr>
        <w:t xml:space="preserve">стоит </w:t>
      </w:r>
      <w:r w:rsidRPr="000452AF">
        <w:rPr>
          <w:rFonts w:ascii="Times New Roman" w:hAnsi="Times New Roman" w:cs="Times New Roman"/>
          <w:sz w:val="28"/>
          <w:szCs w:val="28"/>
          <w:lang w:eastAsia="en-US"/>
        </w:rPr>
        <w:t>отмет</w:t>
      </w:r>
      <w:r w:rsidR="009D1179" w:rsidRPr="000452AF">
        <w:rPr>
          <w:rFonts w:ascii="Times New Roman" w:hAnsi="Times New Roman" w:cs="Times New Roman"/>
          <w:sz w:val="28"/>
          <w:szCs w:val="28"/>
          <w:lang w:eastAsia="en-US"/>
        </w:rPr>
        <w:t>ить</w:t>
      </w:r>
      <w:r w:rsidRPr="000452AF">
        <w:rPr>
          <w:rFonts w:ascii="Times New Roman" w:hAnsi="Times New Roman" w:cs="Times New Roman"/>
          <w:sz w:val="28"/>
          <w:szCs w:val="28"/>
          <w:lang w:eastAsia="en-US"/>
        </w:rPr>
        <w:t>, что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полностью решить проблему использования инсайда не удается пока ни одному</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регулятору.</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Коммерческие банки могут проводить спекулятивные операции как с</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инструментами базового актива, так и с их производными.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Спекулятивными сделками также можно признать искусственное завышение цены</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котировок инструментов. Например, акции компании, не торгующиеся на бирже активно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не имеющие достаточного «free float» за короткое время взлетаю вверх в несколько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десятков раз. Подобные операции могут производиться и в достаточно долгосрочной</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перспективе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маркетмейкерами при подготовке к дополнительному выпуску акций на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рынок, при подготовке сделок по слиянию, продаже части общества и других рыночных</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ситуация. Смысл спекулятивных действий заключается в том, чтобы поднять на рынке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инвестиционную привлекательность инструмента путем временного повышения</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котировок. На практике чрезвычайно трудно доказать, не являются ли при этом подобного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рода действия маркетмейкеров манипулированием ценами на основе инсайдерской</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информации.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зависимости от стратегии, выбранной банком для работы на рынке, спекулятивные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операции могут занимать значительную долю от объема операций с ценными бумагами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или наоборот.</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Арбитражные сделки являются условно-спекулятивными, они занимают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промежуточное положение между сделками спекуляции и сделками хеджирования.</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Арбитражные сделки – сделки, основанные на разной стоимости актива. По сути,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арбитраж с базовым активом сводится к тому, что участник арбитражной сделки покупает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актив по одной цене в одном месте, а продает в другом и за счет разницы в ценах получает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прибыль. Арбитраж может быть как на рынке ценных бумаг, так и на денежном рынке –</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валютный арбитраж, основанный на разнице курсовой стоимости. Российский рынок</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пережил период массового распространения арбитражных сделок, приносящих</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брокерским компаниям львиную долю дохода, в конце </w:t>
      </w:r>
      <w:r w:rsidR="009D1179" w:rsidRPr="000452AF">
        <w:rPr>
          <w:rFonts w:ascii="Times New Roman" w:hAnsi="Times New Roman" w:cs="Times New Roman"/>
          <w:sz w:val="28"/>
          <w:szCs w:val="28"/>
          <w:lang w:eastAsia="en-US"/>
        </w:rPr>
        <w:t>19</w:t>
      </w:r>
      <w:r w:rsidRPr="000452AF">
        <w:rPr>
          <w:rFonts w:ascii="Times New Roman" w:hAnsi="Times New Roman" w:cs="Times New Roman"/>
          <w:sz w:val="28"/>
          <w:szCs w:val="28"/>
          <w:lang w:eastAsia="en-US"/>
        </w:rPr>
        <w:t>90-х начале 2000-х годов.</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Основной для столь широкого распространения арбитража была существовавшая в эти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годы разница в ценах на ценные бумаги российских эмитентов на внутреннем 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международном рынках. Пример арбитража с акциями Газпром стал уже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хрестоматийным. В арбитражные сделки были вовлечены как непосредственно акции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российских эмитентов (того же Газпрома) на внутреннем рынке, таки и их ADR – на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внешнем. Использование оффшорных фирм и «серых» схем позволяло обходить</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установленные ограничения на участие иностранных инвесторов в капитале акциями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газового гиганта.</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Операции хеджирования используется практически всеми участниками рынка.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Термин происходит от английского слова хедж – изгородь и др.</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Смысл хеджирования заключается в том, чтобы перенести риски от операции от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того кто хеджирует (хеджера) на другого участника рынка. Другими словами это защита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 риска.</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Операции хеджирования положены в основу деятельности хеджевых фондов,</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участников рынка, операции которых характеризуются высокой степенью риска. Фонды</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проводят преимущественно спекулятивные операции, ориентированы на получение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сверхприбыли, часто работают на развивающихся рынках. Обычно в хедж-фондах</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участвуют небольшие группы людей из обеспеченных слоев населения, которые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способные содержать его операции связанные с высокими рисками. Число участников</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может быть разным, например, в США количество ограничено 100 человек.</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Хедж-фонд не регистрируется финансовым регулятором как таковой, не раскрывает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информацию о своих участниках, на его деятельность наложено меньше ограничений, чем</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 другие институты коллективного инвестирования, которые ориентированы на более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мелких держателей (хотя в последние годы в Комиссия по ценным бумагам и биржам</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США все настойчивее говорит о необходимости регулирования деятельности хедж-фондов).</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Хедж-фонды представляют собой партнерства, которые управляются генеральным</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партнерам. В российской практике организация хеджевого фонда в классическом виде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крайне затруднена, поэтому коммерческие банки работают с хедж-фондами в основном</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как со своими клиентами, по поручению которых приобретают/продают те или иные виды</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финансовых инструментов.</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Операции хеджирования в каждодневной деятельности коммерческого банка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ориентированы в основном на минимизацию всех видов рисков, присущих деятельности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банка на финансовых рынках. Использование хеджирование не единственная стратегия,</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которая может применяться участниками рынка для управления рисками. Наиболее</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распространенным и доступным методом является диверсификация активов, мест</w:t>
      </w:r>
      <w:r w:rsidR="009D1179" w:rsidRPr="000452AF">
        <w:rPr>
          <w:rFonts w:ascii="Times New Roman" w:hAnsi="Times New Roman" w:cs="Times New Roman"/>
          <w:sz w:val="28"/>
          <w:szCs w:val="28"/>
          <w:lang w:eastAsia="en-US"/>
        </w:rPr>
        <w:t xml:space="preserve"> проведения сделок – </w:t>
      </w:r>
      <w:r w:rsidRPr="000452AF">
        <w:rPr>
          <w:rFonts w:ascii="Times New Roman" w:hAnsi="Times New Roman" w:cs="Times New Roman"/>
          <w:sz w:val="28"/>
          <w:szCs w:val="28"/>
          <w:lang w:eastAsia="en-US"/>
        </w:rPr>
        <w:t>торговых площадок, мест хранения ценных бумаг и т.д. Вместе с тем,</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применение в торговой практике операций хеджирования свидетельствует о достижении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банком высокого уровне развития бизнеса (сравнимого с практикой работы на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международных финансовых рынках) и наличии профессиональной команды.</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мы уже отмечали, в коммерческом банке существуют два вида портфеля ценных</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 торговый и инвестиционный.</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Инвестиционный портфель формируется для получения доходов и реализации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стратегии «купил и держи». Он формируется в основном за счет инструментов с</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фиксированной доходнос</w:t>
      </w:r>
      <w:r w:rsidR="009D1179" w:rsidRPr="000452AF">
        <w:rPr>
          <w:rFonts w:ascii="Times New Roman" w:hAnsi="Times New Roman" w:cs="Times New Roman"/>
          <w:sz w:val="28"/>
          <w:szCs w:val="28"/>
          <w:lang w:eastAsia="en-US"/>
        </w:rPr>
        <w:t xml:space="preserve">тью – </w:t>
      </w:r>
      <w:r w:rsidRPr="000452AF">
        <w:rPr>
          <w:rFonts w:ascii="Times New Roman" w:hAnsi="Times New Roman" w:cs="Times New Roman"/>
          <w:sz w:val="28"/>
          <w:szCs w:val="28"/>
          <w:lang w:eastAsia="en-US"/>
        </w:rPr>
        <w:t>облигаций первоклассных эмитентов – государства,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крупных корпоративных компаний. Обычно этот портфель формируют из бумаг высокого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инвестиционного качества и держат их до погашения. Указанные бумаги находятся на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балансе банка. В силу того, что бумаги являются «первоклассными» вероятность дефолта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 ним минимальная, так же как и их волатильность. Эти же бумаги могут быть</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использованы при проведении сделок РЕПО для привлечения банком дополнительного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финансирования. Кроме того, облигации первоклассных эмитентов обеспечивают их</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владельцу получение гарантированного дохода в виде процентных выплат.</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Торговый портфель также формируется из ценных бумаг, но в него кроме облигаций</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могут входить и акции, кроме того, инвестиционные качества бумаг, входящих в этот</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портфель, могут быть значительно ниже. Сделки с бумагами этого портфеля совершаются</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гораздо чаще, чем инвестиционного.</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 января 2008 года согласно Положению 302-П «О правилах ведения бухгалтерского</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учета в кредитных организациях» от 26.03.2007 года, ценные бумаги, приобретенные за</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счет собственных средств, учитываются по следующим позициям: ценные бумаги,</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удерживаемые для перепродажи и ценные бумаги, оцениваемые по справедливой</w:t>
      </w:r>
      <w:r w:rsidR="009D117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стоимости через прибыль или убыток.</w:t>
      </w:r>
    </w:p>
    <w:p w:rsidR="00381DE1" w:rsidRPr="000452AF" w:rsidRDefault="00C12D4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Рынок акций имеют более высокую</w:t>
      </w:r>
      <w:r w:rsidR="00381DE1" w:rsidRPr="000452AF">
        <w:rPr>
          <w:rFonts w:ascii="Times New Roman" w:hAnsi="Times New Roman" w:cs="Times New Roman"/>
          <w:sz w:val="28"/>
          <w:szCs w:val="28"/>
          <w:lang w:eastAsia="en-US"/>
        </w:rPr>
        <w:t xml:space="preserve"> волатильность по сравнению с</w:t>
      </w:r>
      <w:r w:rsidR="009D1179"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рынком</w:t>
      </w:r>
      <w:r w:rsidR="009D1179"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облигаций. Это обстоятельство принимается во внимание при формировании банковских</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портфелей. Значительное влияние на структуру портфелей ценных бумаг оказывают и</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методики их учета. Так как ценные бумаги учитываются на балансе по цене приобретения</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с последующей регулярной переоценкой, то волатильность рынка скажется на стоимости</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портфеля при переоценках. При этом отрицательные переоценки негативно отражаются</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на результатах деятельности банка и вызывают дополнительное внимание к нему как со</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стороны надзорных органов и регуляторов, так и со стороны учредителей. В этой связи</w:t>
      </w:r>
      <w:r w:rsidRPr="000452AF">
        <w:rPr>
          <w:rFonts w:ascii="Times New Roman" w:hAnsi="Times New Roman" w:cs="Times New Roman"/>
          <w:sz w:val="28"/>
          <w:szCs w:val="28"/>
          <w:lang w:eastAsia="en-US"/>
        </w:rPr>
        <w:t xml:space="preserve"> банки оперируют </w:t>
      </w:r>
      <w:r w:rsidR="00381DE1" w:rsidRPr="000452AF">
        <w:rPr>
          <w:rFonts w:ascii="Times New Roman" w:hAnsi="Times New Roman" w:cs="Times New Roman"/>
          <w:sz w:val="28"/>
          <w:szCs w:val="28"/>
          <w:lang w:eastAsia="en-US"/>
        </w:rPr>
        <w:t>весьма ограниченным перечнем акций первоклассных эмитентов, что</w:t>
      </w:r>
      <w:r w:rsidRPr="000452AF">
        <w:rPr>
          <w:rFonts w:ascii="Times New Roman" w:hAnsi="Times New Roman" w:cs="Times New Roman"/>
          <w:sz w:val="28"/>
          <w:szCs w:val="28"/>
          <w:lang w:eastAsia="en-US"/>
        </w:rPr>
        <w:t xml:space="preserve"> </w:t>
      </w:r>
      <w:r w:rsidR="00381DE1" w:rsidRPr="000452AF">
        <w:rPr>
          <w:rFonts w:ascii="Times New Roman" w:hAnsi="Times New Roman" w:cs="Times New Roman"/>
          <w:sz w:val="28"/>
          <w:szCs w:val="28"/>
          <w:lang w:eastAsia="en-US"/>
        </w:rPr>
        <w:t>подтверждается данными о доле акций в банковским активах.</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Эмиссионные операции – операции по выпуску собственных ценных бумаг.</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Коммерческие банки могут выпускать собственные ценные бумаги. Акции обычно</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выпускаются для формирования уставного капитала, его дальнейшего увеличения, а также</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 реорганизации кредитной организации.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Процедура эмиссии акций коммерческими банками регулируется Банком России 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ФСФР. Все выпуски акций коммерческими банками подлежат обязательной регистрации.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Процедура эмиссии включает в себя несколько этапов: принятие решения, подготовка</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проспекта эмиссии, государственная регистрация выпуска ценных бумаг, реализация</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выпуска, отчет об итогах эмиссии.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Банки могут выпускать, как обыкновенные акции, так и привилегированные.</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указывалось выше, банки выпускают акции для формирования/увеличения</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уставного капитала, но в последнее время стала нарастать тенденция вывода ценных</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 на фондовые биржи, примером для банков могут служить ВТБ, Сбербанк –</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проводившие IPO – первичное размещение сравнительно недавно, и банки которые</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вывели акции на биржу несколько лет назад – Возрождение, Росбанк, УрсаБанк и др.</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стратегии банков, особенно крупных, в последнее время присутствуют тенденции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проведения IPO, этот способ является достаточно хорошим для увеличения капитализации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банка и улучшения его инвестиционной привлекательности.</w:t>
      </w:r>
    </w:p>
    <w:p w:rsidR="00381DE1" w:rsidRPr="000452AF" w:rsidRDefault="00381DE1"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Кроме акций банки могут проводить эмиссию облигаций. Как указывалось выше,</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облигации являются долговым инструментом и их выпуск осуществляется для</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привлечения дополнительных средств.</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Процедура эмиссии облигаций практически схожа с выпуском акций. Коммерческие</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банки часто выпускают облигации не только для внутреннего рынка, но для внешних</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рынков – еврооблигации. Выпуск облигаций является достаточно распространенным</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явлением, причем многие банки имеют не один, а несколько выпусков облигаций, так как</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это сравнительно простой способ привлечения дополнительных свободных ресурсов с</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рынка.</w:t>
      </w:r>
    </w:p>
    <w:p w:rsidR="00812C1E" w:rsidRPr="000452AF" w:rsidRDefault="00381DE1" w:rsidP="0095418D">
      <w:pPr>
        <w:pStyle w:val="af"/>
        <w:spacing w:line="360" w:lineRule="auto"/>
        <w:ind w:firstLine="709"/>
        <w:jc w:val="both"/>
        <w:rPr>
          <w:rFonts w:ascii="Times New Roman" w:hAnsi="Times New Roman" w:cs="Times New Roman"/>
          <w:b/>
          <w:bCs/>
          <w:i/>
          <w:iCs/>
          <w:sz w:val="28"/>
          <w:szCs w:val="28"/>
          <w:u w:val="single"/>
        </w:rPr>
      </w:pPr>
      <w:r w:rsidRPr="000452AF">
        <w:rPr>
          <w:rFonts w:ascii="Times New Roman" w:hAnsi="Times New Roman" w:cs="Times New Roman"/>
          <w:sz w:val="28"/>
          <w:szCs w:val="28"/>
          <w:lang w:eastAsia="en-US"/>
        </w:rPr>
        <w:t>Кроме этих ценных бумаг, коммерческие банки могут выпускать депозитные и</w:t>
      </w:r>
      <w:r w:rsidR="00C12D4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сберегательные сертификаты, но хождение этих ценных бумаг в РФ не распространено.</w:t>
      </w:r>
      <w:r w:rsidRPr="000452AF">
        <w:rPr>
          <w:rFonts w:ascii="Times New Roman" w:hAnsi="Times New Roman" w:cs="Times New Roman"/>
          <w:b/>
          <w:bCs/>
          <w:i/>
          <w:iCs/>
          <w:sz w:val="28"/>
          <w:szCs w:val="28"/>
          <w:u w:val="single"/>
        </w:rPr>
        <w:t xml:space="preserve"> </w:t>
      </w:r>
    </w:p>
    <w:p w:rsidR="00827691" w:rsidRPr="000452AF" w:rsidRDefault="00812C1E" w:rsidP="00812C1E">
      <w:pPr>
        <w:pStyle w:val="af"/>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b/>
          <w:bCs/>
          <w:i/>
          <w:iCs/>
          <w:sz w:val="28"/>
          <w:szCs w:val="28"/>
          <w:u w:val="single"/>
        </w:rPr>
        <w:br w:type="page"/>
      </w:r>
      <w:r w:rsidRPr="000452AF">
        <w:rPr>
          <w:rFonts w:ascii="Times New Roman" w:hAnsi="Times New Roman" w:cs="Times New Roman"/>
          <w:b/>
          <w:bCs/>
          <w:sz w:val="28"/>
          <w:szCs w:val="28"/>
        </w:rPr>
        <w:t xml:space="preserve">2.2 </w:t>
      </w:r>
      <w:r w:rsidR="00C12D44" w:rsidRPr="000452AF">
        <w:rPr>
          <w:rFonts w:ascii="Times New Roman" w:hAnsi="Times New Roman" w:cs="Times New Roman"/>
          <w:b/>
          <w:bCs/>
          <w:sz w:val="28"/>
          <w:szCs w:val="28"/>
          <w:lang w:eastAsia="en-US"/>
        </w:rPr>
        <w:t>Операции с ценными бумагами обеспечивающие условно-традиционные банковские сделки: РЕПО, кредитование под залог, вексельные сделки</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C12D44" w:rsidRPr="000452AF" w:rsidRDefault="00C12D4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Рынок РЕПО появился в России несколько лет назад и в настоящее время развивается весьма динамично. Причин тому несколько: во-первых, без рынка РЕПО, без финансирования позиций и заимствования ценных бумаг практически невозможно развивать торговлю ценными бумагами. РЕПО позволяет дополнительно задействовать имеющиеся фондовые активы (что очень важно в условиях их недостатка), а также повысить эффективность операций с ними; во-вторых, российские банки, в любом случае, вынуждены развивать данные операции, являясь контрагентами своих западных партнеров. Таким образом, рынок РЕПО перспективен как с точки зрения развития создаваемой Банком России системы рефинансирования кредитных учреждений, так и с точки зрения развития системы кредитования коммерческих банков, посредством биржевого междилерского РЕПО. Постоянно растущие объемы операций РЕПО на западных рынках позволяют судить об их востребованности и экономической эффективности для участников финансового рынка.</w:t>
      </w:r>
    </w:p>
    <w:p w:rsidR="006950AE" w:rsidRPr="000452AF" w:rsidRDefault="00C12D4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своем развитии российский сегмент РЕПО прошел 2 этапа. Первый характеризовался в основном применением локальных практик и использованием в</w:t>
      </w:r>
      <w:r w:rsidR="006950AE" w:rsidRPr="000452AF">
        <w:rPr>
          <w:rFonts w:ascii="Times New Roman" w:hAnsi="Times New Roman" w:cs="Times New Roman"/>
          <w:sz w:val="28"/>
          <w:szCs w:val="28"/>
          <w:lang w:eastAsia="en-US"/>
        </w:rPr>
        <w:t xml:space="preserve"> подавляющем большинстве случае государственных ценных бумаг (ГКО-ОФЗ) в качестве предметов сделок. На первоначальном этапе (до 1998 года) в роли кредиторов коммерческих банков – дилеров ГКО-ОФЗ выступали Банк России и крупные иностранные банки. При этом если Банк России не использовал механизмы дисконтирования и переоценки ценных бумаг, участвующих в сделках, то иностранные банки, как более искушенные операторы этого сегмента рынка, встраивали названные механизмы в свои договорные конструкции. В итоге имущественные потери иностранных банков оказались несравненно ниже, чем у российских участников. В результате 1998 года кризиса выявились ошибки «доморощенных» практик проведения операций РЕПО и у всех участников рынка появилось понимание необходимости интеграции российских обычаев делового оборота в части операций РЕПО в мировую практику проведения сделок рефинансирования. Несмотря на то, что после кризиса 1998 года у Банка России остались в качестве обеспечения по сделкам государственные ценные бумаги, их портфель резко обесценился, а отсутствие практики дисконтирования и переоценки бумаг в течение операции РЕПО только усугубило ситуацию. По нашему мнению, имеющийся печальный опыт был одной из причин, не позволявшей Банку России в течение длительного времени возобновлять рефинансирование банковской системы посредством проведения операций РЕПО.</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Началом второго этапа развития рынка РЕПО можно считать 2000 год. В отличии от предшествующего периода, активно начали развиваться операции биржевого РЕПО, а также РЕПО с банками-нерезидентами. Наученные горьким опытом, участники рынка в первую очередь обратились к инструментам, обеспечивающим максимальную надежность и транспарентность сделок рефинансирования. Такими оказались сделки, проводимые на ММВБ и сделки с западными контрагентами, работающими по стандартам и технологиям ICMA.</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 юридической точки зрения РЕПО это две связанные сделки купли-продажи ценных бумаг с обязательством обратного выкупа по оговоренной цене и в оговоренный срок. По экономической сущности РЕПО является сделкой кредитования под обеспечение ценными бумагами. При этом в течение срока РЕПО к кредитору переходят права собственности на ценные бумаги, являющиеся предметом сделки РЕПО, и уже кредитор может воспользоваться имеющимися у него бумагами с целью рефинансирования своих операций. По своей экономической сущности сделки РЕПО схожи с операциями кредитования под залог ценных бумаг, однако кредитование под залог не предусматривает переход прав собственности. Таким образом, в сделках РЕПО права кредитора, на наш взгляд, защищены надежнее. Кроме того, технологии ICMA, получившие распространение в среде крупных банков – операторов рынка РЕПО и в России, предусматривают и возможность переоценки актива, переданного кредитору в качестве обеспечения в течение срока сделки с одновременным выставлением заемщику требований margin-call’ов в случае необходимости. Это также снижает риск невозврата денежных средств со стороны заемщика.</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Нормативно-правовой базой для проведения сделок РЕПО являются Налоговый кодекс РФ (часть II) и «Положением о порядке заключения и исполнения сделок РЕПО с государственными ценными бумагами Российской Федерации» от 25.03.2003 г. № 220-П.</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Наиболее строгое определение РЕПО дано в ст. 282 Налогового кодекса (часть II): «под операцией РЕПО понимаются две заключаемые одновременно взаимосвязанные сделки по реализации и последующему приобретению эмиссионных ценных бумаг того же выпуска в том же количестве, осуществляемые по ценам, установленным соответствующим договором (договорами)». Операции РЕПО могут проводиться как непосредственно</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между сторонами операции РЕПО, так и через организатора торговли. Сделки по</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реализации ценных бумаг признаются взаимосвязанными, если продавец ценных бумаг</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(далее – продавец) по первой сделке является покупателем ценных бумаг (далее –</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покупатель) по второй сделке, а покупатель по первой сделке является продавцом по</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второй сделке. Первая по времени исполнения сделка признается первой частью РЕПО, а</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вторая сделка – второй частью РЕПО, при этом обязательства участников по второй части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РЕПО возникают при условии исполнения первой части РЕПО.» Кодексом ограничен</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срок между датами исполнения первой и второй частей РЕПО - не более одного года.</w:t>
      </w:r>
    </w:p>
    <w:p w:rsidR="00024FA9"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настоящее время основной торговой площадкой, на которой проводятся сделки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биржевого междилерского РЕПО остается ММВ</w:t>
      </w:r>
      <w:r w:rsidR="00024FA9" w:rsidRPr="000452AF">
        <w:rPr>
          <w:rFonts w:ascii="Times New Roman" w:hAnsi="Times New Roman" w:cs="Times New Roman"/>
          <w:sz w:val="28"/>
          <w:szCs w:val="28"/>
          <w:lang w:eastAsia="en-US"/>
        </w:rPr>
        <w:t>Б</w:t>
      </w:r>
      <w:r w:rsidRPr="000452AF">
        <w:rPr>
          <w:rFonts w:ascii="Times New Roman" w:hAnsi="Times New Roman" w:cs="Times New Roman"/>
          <w:sz w:val="28"/>
          <w:szCs w:val="28"/>
          <w:lang w:eastAsia="en-US"/>
        </w:rPr>
        <w:t>. Кроме того, такие сделки можно</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заключать по телефону и в системе Reuters и Bloomberg, а также на неорганизованном</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рынке. </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Необходимо отметить, что разразившийся осенью прошлого года кризис на рынке</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ипотечных ценных бумаг в США отразился и на рынке операций РЕПО в России. В среде</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коммерческих банков отмечаются конфликты, связанные с междилерским РЕПО. Если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раньше банки между собой могли работать на рынке МБК под залог, то есть без перехода</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прав собственности, то в связи с ухудшением ситуации на финансовых рынках 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комментариями Банка России, банки-нетто-кредиторы стали вместо залога предлагать</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сделки РЕПО, что не удовлетворяет сторону, которая берет денежные средства, так как</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бумаги придется выкупать с определенными условиями и в определенный срок.</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Сделки РЕПО делятся на три вида операций по срочности: ночные – один день,</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открытые – срок операции точно не установлен и срочные – с фиксированным сроком.</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Банк России в качестве инструментов рефинансирования предлагает рынку два</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вида РЕПО: прямое и обратное РЕПО и Биржевое модифицированное РЕПО – БМР. Но в</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последние годы стало активно развиваться междилерское РЕПО – между коммерческими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банками.</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настоящее время вводятся новые виды сделок РЕПО, например сделки с</w:t>
      </w:r>
      <w:r w:rsidR="00024FA9" w:rsidRPr="000452AF">
        <w:rPr>
          <w:rFonts w:ascii="Times New Roman" w:hAnsi="Times New Roman" w:cs="Times New Roman"/>
          <w:sz w:val="28"/>
          <w:szCs w:val="28"/>
          <w:lang w:eastAsia="en-US"/>
        </w:rPr>
        <w:t xml:space="preserve"> Центральным Контрагентом – </w:t>
      </w:r>
      <w:r w:rsidRPr="000452AF">
        <w:rPr>
          <w:rFonts w:ascii="Times New Roman" w:hAnsi="Times New Roman" w:cs="Times New Roman"/>
          <w:sz w:val="28"/>
          <w:szCs w:val="28"/>
          <w:lang w:eastAsia="en-US"/>
        </w:rPr>
        <w:t>появление таких сделок позволяет гарантировать</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исполнение обязательств, снижает издержки.</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Банки используют в основном сделки РЕПО в целях управления ликвидностью,</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снижения риска банкротств, финансирование банковской деятельности и повышение</w:t>
      </w:r>
      <w:r w:rsidR="00024FA9"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надежности всей банковской системы.</w:t>
      </w:r>
    </w:p>
    <w:p w:rsidR="006950AE" w:rsidRPr="000452AF" w:rsidRDefault="00024FA9"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 xml:space="preserve">Другой вид операций – операции с векселями – в деятельности </w:t>
      </w:r>
      <w:r w:rsidR="006950AE" w:rsidRPr="000452AF">
        <w:rPr>
          <w:rFonts w:ascii="Times New Roman" w:hAnsi="Times New Roman" w:cs="Times New Roman"/>
          <w:sz w:val="28"/>
          <w:szCs w:val="28"/>
          <w:lang w:eastAsia="en-US"/>
        </w:rPr>
        <w:t>коммерческих банков занимают все большее</w:t>
      </w:r>
      <w:r w:rsidRPr="000452AF">
        <w:rPr>
          <w:rFonts w:ascii="Times New Roman" w:hAnsi="Times New Roman" w:cs="Times New Roman"/>
          <w:sz w:val="28"/>
          <w:szCs w:val="28"/>
          <w:lang w:eastAsia="en-US"/>
        </w:rPr>
        <w:t xml:space="preserve"> </w:t>
      </w:r>
      <w:r w:rsidR="006950AE" w:rsidRPr="000452AF">
        <w:rPr>
          <w:rFonts w:ascii="Times New Roman" w:hAnsi="Times New Roman" w:cs="Times New Roman"/>
          <w:sz w:val="28"/>
          <w:szCs w:val="28"/>
          <w:lang w:eastAsia="en-US"/>
        </w:rPr>
        <w:t>место. Одним из главных преимуществ выпуска векселей является, то что не надо</w:t>
      </w:r>
      <w:r w:rsidRPr="000452AF">
        <w:rPr>
          <w:rFonts w:ascii="Times New Roman" w:hAnsi="Times New Roman" w:cs="Times New Roman"/>
          <w:sz w:val="28"/>
          <w:szCs w:val="28"/>
          <w:lang w:eastAsia="en-US"/>
        </w:rPr>
        <w:t xml:space="preserve"> </w:t>
      </w:r>
      <w:r w:rsidR="006950AE" w:rsidRPr="000452AF">
        <w:rPr>
          <w:rFonts w:ascii="Times New Roman" w:hAnsi="Times New Roman" w:cs="Times New Roman"/>
          <w:sz w:val="28"/>
          <w:szCs w:val="28"/>
          <w:lang w:eastAsia="en-US"/>
        </w:rPr>
        <w:t>полностью раскрывать информацию об эмитенте.</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Банки выпускают векселя для привлечения средств. С одной стороны эмитент векселя</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выпускает вексель и продает его, тем самым получая необходимые ему средства, с другой</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стороны покупатель векселя может размещать свободные средства с целью получения</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дохода, а в случае необходимости – продать вексель.</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указывалось выше, векселя заняли нишу коммерческих бумаг в России 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наиболее популярными являются операции с простыми векселями.</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Среди основных операций коммерческих банков с векселями можно выделить,</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выпуск собственных векселей, предоставление так называемых вексельных кредитов –</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учет векселей, форфейтинговые операции и др., комиссионные операции с векселями 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кредитование под залог векселей других участников рынка.</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Вексельный кредит – кредит, получаемый векселедержателем путем досрочного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учета (продажи) векселя.</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Вексельные кредиты делятся на постоянные и единовременные. Основные их</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различия заключаются в том, что по постоянному кредиту клиент может использовать</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средства в разрешенных пределах неоднократно, а по единовременному использование</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суммы разрешается только один раз.</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Под учетом векселя понимается передача его векселедержателем банку по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индоссаменту до наступления срока платежа и получение за это вексельной суммы за</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минусом определенного процента.</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Экономический смысл операции заключается в том, что векселедержатель получает</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ссуду, которая будет погашена в последующем плательщиком по векселю.</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 комиссионным операциям можно отнести операции авалирования,</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акцептирования, инкассирования. За эти услуги банк получает определенную комиссию.</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Операции инкассирования это операции, в которых банк выполняет поручение</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векселедержателя по получению платежа по векселю в установленный срок. Эти операции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имеют для векселедержателя определенные преимущества: в случае наличия у банка</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широкой филиальной и корреспондентской сети операции инкассирования можно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проводить в достаточно быстрый срок с минимальными накладными расходами.</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Передавая вексель на инкассирование, векселедержатель утрачивает возможность</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следить за сроками векселей, предъявления их к платежу и других операций. Таким</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образом, операции инкассирования создают для векселедержателя определенные риски.</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Для банка также эти операции выгодны тем, что, во-первых, банк не вкладывает в</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них собственные средства и соответственно не несет никаких рисков, во-вторых,</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привлекается в оборот банка крупные суммы от плательщика по векселю 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векселедержателя и наконец, это достаточно прибыльные операции.</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Операциями авалирования, называются операции по подтверждению векселей</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банком. Данное поручительство означает, что плательщик по векселю погасит все свои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обязательства. В основном авалированием занимаются коммерческие банки или другие</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кредитные организации. Стоит отметить, что авалирование векселей подтверждает их</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надежность и их более охотно принимают участники сделок.</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Акцептом называется подтверждение плательщиком согласие на оплату по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переводному векселю. Такие операции широко применяются при внешнеторговых</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сделках.</w:t>
      </w:r>
    </w:p>
    <w:p w:rsidR="006950AE"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Залоговые операции достаточно часто применяются банками как при работе на</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рынке МБК, так и при кредитовании. Предметом залога может быть любое имущество,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определенное законодательством, мы же рассмотрим кредитование под залог ценных</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бумаг.</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Кредитование под залог ценных бумаг достаточно распространенные залоговые</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операции. Прежде всего, стоит отметить, что при залоговой операции право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собственности не меняется. Собственник ценных бумаг передает их в залог банку, 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взамен получает необходимые ему средства. Если средства вовремя не возвращены, то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 может использовать залог по своему усмотрению, реализовать его или оставить у</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себя. Ре</w:t>
      </w:r>
      <w:r w:rsidR="002D1B95" w:rsidRPr="000452AF">
        <w:rPr>
          <w:rFonts w:ascii="Times New Roman" w:hAnsi="Times New Roman" w:cs="Times New Roman"/>
          <w:sz w:val="28"/>
          <w:szCs w:val="28"/>
          <w:lang w:eastAsia="en-US"/>
        </w:rPr>
        <w:t>ализация залогового имущества (</w:t>
      </w:r>
      <w:r w:rsidRPr="000452AF">
        <w:rPr>
          <w:rFonts w:ascii="Times New Roman" w:hAnsi="Times New Roman" w:cs="Times New Roman"/>
          <w:sz w:val="28"/>
          <w:szCs w:val="28"/>
          <w:lang w:eastAsia="en-US"/>
        </w:rPr>
        <w:t>в том числе и ценных бумаг) осуществляется по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установленной процедуре, что значительно увеличивает срок поступления средств от</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реализации. Еще одним негативным моментом для банка-залогодержателя является</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существование очереди кредиторов в случае банкротства должника и банк-</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залогодержатель попадает в общую очередь.</w:t>
      </w:r>
    </w:p>
    <w:p w:rsidR="00C12D44" w:rsidRPr="000452AF" w:rsidRDefault="006950AE"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Каждый банк формирует список ценных бумаг и векселей, которые можно</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принимать под залог, самостоятельно. В основном в этот список включают ценные бумаги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высоколиквидных эмитентов, этот список может также частично пересекаться с</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«ломбардным списком» Центрального банка РФ. Затем, беря бумаги в залог, банк</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открывает кредитную линию. Общими требованиями считаются: ценность залога, то есть</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ценные бумаги, которые можно будет потом реализовать, желательно в срок до 180 дней и</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правильное оформление юридической документации в отношении залоговых прав</w:t>
      </w:r>
      <w:r w:rsidR="002D1B95"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кредитора</w:t>
      </w:r>
      <w:r w:rsidR="002D1B95" w:rsidRPr="000452AF">
        <w:rPr>
          <w:rFonts w:ascii="Times New Roman" w:hAnsi="Times New Roman" w:cs="Times New Roman"/>
          <w:sz w:val="28"/>
          <w:szCs w:val="28"/>
          <w:lang w:eastAsia="en-US"/>
        </w:rPr>
        <w:t>.</w:t>
      </w:r>
    </w:p>
    <w:p w:rsidR="00812C1E" w:rsidRPr="000452AF" w:rsidRDefault="00812C1E" w:rsidP="0095418D">
      <w:pPr>
        <w:pStyle w:val="af"/>
        <w:spacing w:line="360" w:lineRule="auto"/>
        <w:ind w:firstLine="709"/>
        <w:jc w:val="both"/>
        <w:rPr>
          <w:rFonts w:ascii="Times New Roman" w:hAnsi="Times New Roman" w:cs="Times New Roman"/>
          <w:b/>
          <w:bCs/>
          <w:i/>
          <w:iCs/>
          <w:sz w:val="28"/>
          <w:szCs w:val="28"/>
          <w:u w:val="single"/>
        </w:rPr>
      </w:pPr>
    </w:p>
    <w:p w:rsidR="00827691" w:rsidRPr="000452AF" w:rsidRDefault="00812C1E" w:rsidP="00812C1E">
      <w:pPr>
        <w:pStyle w:val="af"/>
        <w:widowControl/>
        <w:autoSpaceDE/>
        <w:autoSpaceDN/>
        <w:adjustRightInd/>
        <w:spacing w:line="360" w:lineRule="auto"/>
        <w:ind w:firstLine="700"/>
        <w:jc w:val="both"/>
        <w:rPr>
          <w:rFonts w:ascii="Times New Roman" w:hAnsi="Times New Roman" w:cs="Times New Roman"/>
          <w:b/>
          <w:bCs/>
          <w:sz w:val="28"/>
          <w:szCs w:val="28"/>
        </w:rPr>
      </w:pPr>
      <w:r w:rsidRPr="000452AF">
        <w:rPr>
          <w:rFonts w:ascii="Times New Roman" w:hAnsi="Times New Roman" w:cs="Times New Roman"/>
          <w:b/>
          <w:bCs/>
          <w:sz w:val="28"/>
          <w:szCs w:val="28"/>
          <w:lang w:eastAsia="en-US"/>
        </w:rPr>
        <w:t xml:space="preserve">2.3 </w:t>
      </w:r>
      <w:r w:rsidR="002D1B95" w:rsidRPr="000452AF">
        <w:rPr>
          <w:rFonts w:ascii="Times New Roman" w:hAnsi="Times New Roman" w:cs="Times New Roman"/>
          <w:b/>
          <w:bCs/>
          <w:sz w:val="28"/>
          <w:szCs w:val="28"/>
          <w:lang w:eastAsia="en-US"/>
        </w:rPr>
        <w:t>Сделки секьюритизации</w:t>
      </w:r>
    </w:p>
    <w:p w:rsidR="00812C1E" w:rsidRPr="000452AF" w:rsidRDefault="00812C1E" w:rsidP="0095418D">
      <w:pPr>
        <w:pStyle w:val="af"/>
        <w:spacing w:line="360" w:lineRule="auto"/>
        <w:ind w:firstLine="709"/>
        <w:jc w:val="both"/>
        <w:rPr>
          <w:rFonts w:ascii="Times New Roman" w:hAnsi="Times New Roman" w:cs="Times New Roman"/>
          <w:sz w:val="28"/>
          <w:szCs w:val="28"/>
          <w:lang w:eastAsia="en-US"/>
        </w:rPr>
      </w:pP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Сделки секьюритизации активов вошли в банковскую практику сравнительно недавно. Несмотря на то, что первые сделки секьюритизации появились в США с</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середины </w:t>
      </w:r>
      <w:r w:rsidR="00A30DA4" w:rsidRPr="000452AF">
        <w:rPr>
          <w:rFonts w:ascii="Times New Roman" w:hAnsi="Times New Roman" w:cs="Times New Roman"/>
          <w:sz w:val="28"/>
          <w:szCs w:val="28"/>
          <w:lang w:eastAsia="en-US"/>
        </w:rPr>
        <w:t>19</w:t>
      </w:r>
      <w:r w:rsidRPr="000452AF">
        <w:rPr>
          <w:rFonts w:ascii="Times New Roman" w:hAnsi="Times New Roman" w:cs="Times New Roman"/>
          <w:sz w:val="28"/>
          <w:szCs w:val="28"/>
          <w:lang w:eastAsia="en-US"/>
        </w:rPr>
        <w:t>50-х годов, широкое распространение секьюритизация получила только с</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середины </w:t>
      </w:r>
      <w:r w:rsidR="00A30DA4" w:rsidRPr="000452AF">
        <w:rPr>
          <w:rFonts w:ascii="Times New Roman" w:hAnsi="Times New Roman" w:cs="Times New Roman"/>
          <w:sz w:val="28"/>
          <w:szCs w:val="28"/>
          <w:lang w:eastAsia="en-US"/>
        </w:rPr>
        <w:t>19</w:t>
      </w:r>
      <w:r w:rsidRPr="000452AF">
        <w:rPr>
          <w:rFonts w:ascii="Times New Roman" w:hAnsi="Times New Roman" w:cs="Times New Roman"/>
          <w:sz w:val="28"/>
          <w:szCs w:val="28"/>
          <w:lang w:eastAsia="en-US"/>
        </w:rPr>
        <w:t xml:space="preserve">80-х годов прошлого века. </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процессе секьюритизации банки решают следующие основные задачи: создание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механизма рефинансирования с использованием уже имеющихся активов и механизма</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«передачи риска» с баланса банка.</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Секюритизация позволяет заменить традиционные банковские синдицированные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кредиты новыми схемами финансирования, основанными на выпусках обращающихся на</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рынке ценных бумаг, то есть перевести имеющиеся активы из низколиквидной формы</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(кредиты) в высоколиквидную (ценные бумаги).</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Секьюритизация – процесс трансформации ссуд и других видов дебиторской</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задолженности в ценные бумаги. Другим подходом к секьюритизации является замещение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контрактов с индивидуальными условиями, на обращающиеся контракты со</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стандартными условиями, для того, чтобы сделать эти активы ликвидными, способными к</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продаже и превращению в конечном итоге в «деньги».</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банковской деятельности главная цель секьюритизации заключается в том, чтобы</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обратить в ликвидные ценные бумаги любые низколиквидные активы, имеющиеся у</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банка, и создать на их базе инструменты рефинансирования.</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Преимущества секьюритизации можно охарактеризовать в следующем:</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расширяются источники рефинансирования деятельности банка; регулируется</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ликвидность; появляется возможность привлекать заемные средства на более долгие, по</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сравнению с традиционным кредитованием, сроки, управлять дюрацией имеющихся</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обязательств и их стоимостью; возможность торговли кредитами.</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Традиционная сделка секьюритизации происходит следующим образом. Банк</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оригинатор (банк, обладающий портфелем активов, пригодных для секьюритизации) продает активы</w:t>
      </w:r>
      <w:r w:rsidR="00A30DA4" w:rsidRPr="000452AF">
        <w:rPr>
          <w:rFonts w:ascii="Times New Roman" w:hAnsi="Times New Roman" w:cs="Times New Roman"/>
          <w:sz w:val="28"/>
          <w:szCs w:val="28"/>
          <w:lang w:eastAsia="en-US"/>
        </w:rPr>
        <w:t xml:space="preserve"> (Активы должны быть по возможности однородными относительно сроков, целей заимствования, сумм выданных кредитов каждому ссудозаемщику, а также вероятности дефолта по ним)</w:t>
      </w:r>
      <w:r w:rsidRPr="000452AF">
        <w:rPr>
          <w:rFonts w:ascii="Times New Roman" w:hAnsi="Times New Roman" w:cs="Times New Roman"/>
          <w:sz w:val="28"/>
          <w:szCs w:val="28"/>
          <w:lang w:eastAsia="en-US"/>
        </w:rPr>
        <w:t xml:space="preserve"> специальному юридическому лицу – SPV. Далее SPV</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эмитирует ценные бумаги (обычно долговые инструменты с фиксированной доходность)</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предлагает их инвесторам на международном финансовом рынке.</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Банк-оригинатор, кроме наличия активов соответствующего качества, также должен</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иметь рейтинг одного из мировых рейтинговых агентств. Это условие не обязательное, но</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отсутствие рейтинга у банка-оригинатор ставить под сомнение успех всей сделки.</w:t>
      </w:r>
    </w:p>
    <w:p w:rsidR="00A30DA4"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Подробнее остановимся на таком специфическом участнике сделки как SPV. Это</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специальное юридическое лицо (Special Purpose Vehicle) – создается специально для</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привлечения финансирования путем секьюритизации активов. Обычно создается в форме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траста или хозяйственного общества. SPV не должен быть каким-либо образом</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консолидирован с банком-оигинатором, поэтому SPV создается без его участия. 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отношении него действуют нейтральный налоговый режим, чаще всего SPV учреждаются</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 зонах дружественного налогового режима. Хозяйственные цели SPV сводятся</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исключительно к покупке финансовых активов и их рефинансирования путем выпуска</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ценных бумаг. </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Секьюритизации подвергаются активы, которыми обладает банк-оигинатор,</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 SPV и банк-оригинатор в подавляющем большинстве случаев действуют в различных</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юрисдикциях. Таким образом, активы, сформированные в одной юрисдикции продаются 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страну другой юрисдикции где подвергаются соответствующей трансформации</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на их основе международным инвесторам предлагаются финансовые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инструменты. Исходя из изложенного, сделка секьюритизации изначально носит</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трансграничный характер.</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Кроме перечисленных участников процесса секьюритизации, в сделках могут быть</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задействованы гаранты. В качестве гарантов выступают крупные банки (иногда иные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компании), финансовое состояние и деловая репутация которых позволяют повышать</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рейтинг ценных бумаг, предлагаемых инвесторам.</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наконец, инвесторы, которые покупают ценные бумаги. В качестве инвесторов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выступают в основном институциональные инвесторы, такие как пенсионные фонды,</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страховые компании, хедж-фонды и другие.</w:t>
      </w:r>
    </w:p>
    <w:p w:rsidR="00A30DA4"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Кроме перечисленных участников, к проведению сделок по секьюриьтизации</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активов привлекаются крупные инвестбанки, которые поддерживают котировки созданных в итоге сделки</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финансовых инструментов. Кроме поддержания котировок в продолжении всего «срока</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жизни»</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секьюритизированных ценных бумаг необходимы услуги по их оценке, а также</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консультационные услуги. </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качестве активов, которые могут быть подвергнуты секьюритизации, российские банки</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предлагают портфели ипотечных кредитов, автокредитов, потребительских кредитов,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поступлений платежей в течение определенного периода времени (например, платежи по</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лизинговым операция или платежным картам) и т.д.</w:t>
      </w:r>
    </w:p>
    <w:p w:rsidR="002D1B95" w:rsidRPr="000452AF" w:rsidRDefault="002D1B95"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Как указывалось выше, сделки секьюритизации в качестве обычной банковской</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практики стали применяться на мировых рынках с середины 80-х, а в России появились с</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начала 2000-х. В основном российские банки секьюритизируют кредиты, причем в</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последнее время в связи с увеличением объема выдачи ипотечных кредитов и развитием</w:t>
      </w:r>
      <w:r w:rsidR="00A30DA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потребительского кредитования, секьюритизация приобретает все большую актуальность.</w:t>
      </w:r>
    </w:p>
    <w:p w:rsidR="00A30DA4" w:rsidRPr="000452AF" w:rsidRDefault="00A30DA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Секьюритизацией уже несколько лет занимается агентство «АИЖК», которое фактически рефинансирует таким образом банки, выдающие ипотечные кредиты на согласованных с агентством условиях. Агентство выкупеает у банков портфели кредитов, а затем выпускает собственные облигаций на базе выкупленных портфелей. Выпуски облигаций АИЖК в настоящее время свободно обращаются на рынке, в том числе биржевом. Для осуществления своей деятельности АИЖК получает финансирование из</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Федерального бюджета РФ.</w:t>
      </w:r>
    </w:p>
    <w:p w:rsidR="00A30DA4" w:rsidRPr="000452AF" w:rsidRDefault="00A30DA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Одной из первых сделок секьюритизации в России, о которой стало известно не</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только в России, но и на мировых рынках, стала сделка, осуществленная в интересах</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ОАО «Газпром», представляющая собой секьюритизацию будущих поступлений за газ.</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После этого «Газпром» не раз осуществлял сделки секьюритизации в целях</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рефинансирования своих долговых обязательств.</w:t>
      </w:r>
    </w:p>
    <w:p w:rsidR="00A30DA4" w:rsidRPr="000452AF" w:rsidRDefault="00A30DA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2005 году были небольшие сделки по секьюритизации автокредитов и</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потребительских кредитов, но уже в 2006 году сделки секьюритизации стали приобретать</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все более широкую популярность. Среди банков можно привести примеры сделок</w:t>
      </w:r>
      <w:r w:rsidR="00416F67" w:rsidRPr="000452AF">
        <w:rPr>
          <w:rFonts w:ascii="Times New Roman" w:hAnsi="Times New Roman" w:cs="Times New Roman"/>
          <w:sz w:val="28"/>
          <w:szCs w:val="28"/>
          <w:lang w:eastAsia="en-US"/>
        </w:rPr>
        <w:t xml:space="preserve"> секьюритизации банком «Союз» - </w:t>
      </w:r>
      <w:r w:rsidRPr="000452AF">
        <w:rPr>
          <w:rFonts w:ascii="Times New Roman" w:hAnsi="Times New Roman" w:cs="Times New Roman"/>
          <w:sz w:val="28"/>
          <w:szCs w:val="28"/>
          <w:lang w:eastAsia="en-US"/>
        </w:rPr>
        <w:t>сумма сделки составила $49,8 млн., секьюритизация</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потребительских кредитов банком «HomeCr</w:t>
      </w:r>
      <w:r w:rsidR="00416F67" w:rsidRPr="000452AF">
        <w:rPr>
          <w:rFonts w:ascii="Times New Roman" w:hAnsi="Times New Roman" w:cs="Times New Roman"/>
          <w:sz w:val="28"/>
          <w:szCs w:val="28"/>
          <w:lang w:eastAsia="en-US"/>
        </w:rPr>
        <w:t>edit&amp;Finance Bank» - $149 млн.</w:t>
      </w:r>
    </w:p>
    <w:p w:rsidR="00A30DA4" w:rsidRPr="000452AF" w:rsidRDefault="00A30DA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Объемы кредитов, выданные за последние годы банками, только возрастают, им</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необходимо пополнять ресурсную базу для продолжения кредитной экспансии и развития</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иных видов бизнеса, поэтому сделки секьюритизации имеют в России большое будущее.</w:t>
      </w:r>
    </w:p>
    <w:p w:rsidR="00416F67" w:rsidRPr="000452AF" w:rsidRDefault="00A30DA4"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К сказанному выше необходимо добавить, что в последнее время почти все крупные</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и средние коммерческие банки стали выдавать ипотечные кредиты. Ценные бумаги,</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обеспеченные ипотекой, широко применяются во всем мире, так что это еще один фактор,</w:t>
      </w:r>
      <w:r w:rsidR="00416F67"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стимулирующие развитие секьюрит</w:t>
      </w:r>
      <w:r w:rsidR="00416F67" w:rsidRPr="000452AF">
        <w:rPr>
          <w:rFonts w:ascii="Times New Roman" w:hAnsi="Times New Roman" w:cs="Times New Roman"/>
          <w:sz w:val="28"/>
          <w:szCs w:val="28"/>
          <w:lang w:eastAsia="en-US"/>
        </w:rPr>
        <w:t xml:space="preserve">изации в России. </w:t>
      </w:r>
    </w:p>
    <w:p w:rsidR="00A30DA4" w:rsidRPr="000452AF" w:rsidRDefault="00416F67"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Таким образом</w:t>
      </w:r>
      <w:r w:rsidR="00A30DA4" w:rsidRPr="000452AF">
        <w:rPr>
          <w:rFonts w:ascii="Times New Roman" w:hAnsi="Times New Roman" w:cs="Times New Roman"/>
          <w:sz w:val="28"/>
          <w:szCs w:val="28"/>
          <w:lang w:eastAsia="en-US"/>
        </w:rPr>
        <w:t>, в деятельности коммерческих банков ценные бумаги создаваемые в процессе</w:t>
      </w:r>
      <w:r w:rsidRPr="000452AF">
        <w:rPr>
          <w:rFonts w:ascii="Times New Roman" w:hAnsi="Times New Roman" w:cs="Times New Roman"/>
          <w:sz w:val="28"/>
          <w:szCs w:val="28"/>
          <w:lang w:eastAsia="en-US"/>
        </w:rPr>
        <w:t xml:space="preserve"> </w:t>
      </w:r>
      <w:r w:rsidR="00A30DA4" w:rsidRPr="000452AF">
        <w:rPr>
          <w:rFonts w:ascii="Times New Roman" w:hAnsi="Times New Roman" w:cs="Times New Roman"/>
          <w:sz w:val="28"/>
          <w:szCs w:val="28"/>
          <w:lang w:eastAsia="en-US"/>
        </w:rPr>
        <w:t xml:space="preserve">секьюритизации будут занимать все большее и большее место. </w:t>
      </w:r>
    </w:p>
    <w:p w:rsidR="00D10BB2" w:rsidRPr="000452AF" w:rsidRDefault="00BD3A2D" w:rsidP="0095418D">
      <w:pPr>
        <w:widowControl/>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b/>
          <w:bCs/>
          <w:sz w:val="28"/>
          <w:szCs w:val="28"/>
        </w:rPr>
        <w:br w:type="page"/>
      </w:r>
      <w:r w:rsidR="008A45AC" w:rsidRPr="000452AF">
        <w:rPr>
          <w:rFonts w:ascii="Times New Roman" w:hAnsi="Times New Roman" w:cs="Times New Roman"/>
          <w:b/>
          <w:bCs/>
          <w:sz w:val="28"/>
          <w:szCs w:val="28"/>
        </w:rPr>
        <w:t xml:space="preserve">3. </w:t>
      </w:r>
      <w:r w:rsidR="008A45AC" w:rsidRPr="000452AF">
        <w:rPr>
          <w:rFonts w:ascii="Times New Roman" w:hAnsi="Times New Roman" w:cs="Times New Roman"/>
          <w:b/>
          <w:bCs/>
          <w:sz w:val="28"/>
          <w:szCs w:val="28"/>
          <w:lang w:eastAsia="en-US"/>
        </w:rPr>
        <w:t xml:space="preserve">ПЕРСПЕКТИВНЫЕ ОПЕРАЦИИ КОММЕРЧЕСКИХ БАНКОВ НА РЫНКЕ </w:t>
      </w:r>
      <w:r w:rsidRPr="000452AF">
        <w:rPr>
          <w:rFonts w:ascii="Times New Roman" w:hAnsi="Times New Roman" w:cs="Times New Roman"/>
          <w:b/>
          <w:bCs/>
          <w:sz w:val="28"/>
          <w:szCs w:val="28"/>
          <w:lang w:eastAsia="en-US"/>
        </w:rPr>
        <w:t>ЦЕННЫХ БУМАГ</w:t>
      </w:r>
    </w:p>
    <w:p w:rsidR="00D10BB2" w:rsidRPr="000452AF" w:rsidRDefault="00D10BB2" w:rsidP="0095418D">
      <w:pPr>
        <w:spacing w:line="360" w:lineRule="auto"/>
        <w:ind w:firstLine="709"/>
        <w:jc w:val="both"/>
        <w:rPr>
          <w:rFonts w:ascii="Times New Roman" w:hAnsi="Times New Roman" w:cs="Times New Roman"/>
          <w:sz w:val="28"/>
          <w:szCs w:val="28"/>
        </w:rPr>
      </w:pP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докризисное время экономика Российской Федерации демонстрирует устойчивые темпы роста</w:t>
      </w:r>
      <w:r w:rsidR="0095071F" w:rsidRPr="000452AF">
        <w:rPr>
          <w:rFonts w:ascii="Times New Roman" w:hAnsi="Times New Roman" w:cs="Times New Roman"/>
          <w:sz w:val="28"/>
          <w:szCs w:val="28"/>
          <w:lang w:eastAsia="en-US"/>
        </w:rPr>
        <w:t>.</w:t>
      </w:r>
      <w:r w:rsidRPr="000452AF">
        <w:rPr>
          <w:rFonts w:ascii="Times New Roman" w:hAnsi="Times New Roman" w:cs="Times New Roman"/>
          <w:sz w:val="28"/>
          <w:szCs w:val="28"/>
          <w:lang w:eastAsia="en-US"/>
        </w:rPr>
        <w:t xml:space="preserve"> Объективными предпосылками для этого стал, прежде всего, рост цен на</w:t>
      </w:r>
      <w:r w:rsidR="00032CA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сырьевые товары, вызванный бурным ростом спроса на них со стороны прежде всего</w:t>
      </w:r>
      <w:r w:rsidR="0095071F"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экономик стран азиатско-тихоокеанского региона. В условиях крайне благоприятной</w:t>
      </w:r>
      <w:r w:rsidR="0095071F"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экономической конъюнктуры перед российской экономикой</w:t>
      </w:r>
      <w:r w:rsidR="0095071F" w:rsidRPr="000452AF">
        <w:rPr>
          <w:rFonts w:ascii="Times New Roman" w:hAnsi="Times New Roman" w:cs="Times New Roman"/>
          <w:sz w:val="28"/>
          <w:szCs w:val="28"/>
          <w:lang w:eastAsia="en-US"/>
        </w:rPr>
        <w:t>,</w:t>
      </w:r>
      <w:r w:rsidRPr="000452AF">
        <w:rPr>
          <w:rFonts w:ascii="Times New Roman" w:hAnsi="Times New Roman" w:cs="Times New Roman"/>
          <w:sz w:val="28"/>
          <w:szCs w:val="28"/>
          <w:lang w:eastAsia="en-US"/>
        </w:rPr>
        <w:t xml:space="preserve"> </w:t>
      </w:r>
      <w:r w:rsidR="0095071F" w:rsidRPr="000452AF">
        <w:rPr>
          <w:rFonts w:ascii="Times New Roman" w:hAnsi="Times New Roman" w:cs="Times New Roman"/>
          <w:sz w:val="28"/>
          <w:szCs w:val="28"/>
          <w:lang w:eastAsia="en-US"/>
        </w:rPr>
        <w:t xml:space="preserve">несмотря на временные экономические трудности, </w:t>
      </w:r>
      <w:r w:rsidRPr="000452AF">
        <w:rPr>
          <w:rFonts w:ascii="Times New Roman" w:hAnsi="Times New Roman" w:cs="Times New Roman"/>
          <w:sz w:val="28"/>
          <w:szCs w:val="28"/>
          <w:lang w:eastAsia="en-US"/>
        </w:rPr>
        <w:t>стоят амбициозные задачи,</w:t>
      </w:r>
      <w:r w:rsidR="0095071F"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выполнение которых потребует, в том числе и совершенствования технологий</w:t>
      </w:r>
      <w:r w:rsidR="0095071F"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привлечения капитала с финансовых рынков посредством банковской системы.</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Безусловно, операции с ценными бумагами в этих условиях станут одним из основных</w:t>
      </w:r>
      <w:r w:rsidR="0095071F"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направлений развития банковского бизнеса.</w:t>
      </w:r>
    </w:p>
    <w:p w:rsidR="00BE1F9A"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отечественной банковской системе существуют наиболее перспективные</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операции на рынке ценных бумаг, которые в перспективе могут выполнить роль</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«локомотива» для банковского сектора. Это, в первую очередь операции, связанные с</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возможностями рефинансирования имеющихся у банков активов.</w:t>
      </w:r>
    </w:p>
    <w:p w:rsidR="00BE1F9A" w:rsidRPr="000452AF" w:rsidRDefault="00BE1F9A"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w:t>
      </w:r>
      <w:r w:rsidR="008A45AC" w:rsidRPr="000452AF">
        <w:rPr>
          <w:rFonts w:ascii="Times New Roman" w:hAnsi="Times New Roman" w:cs="Times New Roman"/>
          <w:sz w:val="28"/>
          <w:szCs w:val="28"/>
          <w:lang w:eastAsia="en-US"/>
        </w:rPr>
        <w:t xml:space="preserve">делки </w:t>
      </w:r>
      <w:r w:rsidRPr="000452AF">
        <w:rPr>
          <w:rFonts w:ascii="Times New Roman" w:hAnsi="Times New Roman" w:cs="Times New Roman"/>
          <w:sz w:val="28"/>
          <w:szCs w:val="28"/>
          <w:lang w:eastAsia="en-US"/>
        </w:rPr>
        <w:t xml:space="preserve">по секьюритизации активов </w:t>
      </w:r>
      <w:r w:rsidR="008A45AC" w:rsidRPr="000452AF">
        <w:rPr>
          <w:rFonts w:ascii="Times New Roman" w:hAnsi="Times New Roman" w:cs="Times New Roman"/>
          <w:sz w:val="28"/>
          <w:szCs w:val="28"/>
          <w:lang w:eastAsia="en-US"/>
        </w:rPr>
        <w:t>становятся все более обычными и применяются не только крупными банками,</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но и более мелкими. Секьюритизация по мере совершенствования правовых механизмов</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и экономических отношений участников таких сделок становится доступным</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инструментом рефинансирования для банковской системы в целом, с одной стороны, и</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«генератором» новых высококачественных финансовых инструментов, с другой. Оба</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фактора крайне важны в условиях ограниченного предложения новых инструментов и</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 xml:space="preserve">новых эмитентов на российском рынке. </w:t>
      </w:r>
    </w:p>
    <w:p w:rsidR="002E1414"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Секьюритизация дает</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коммерческим банкам шанс провести рефинансирование не только портфелей</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коммерческих кредитов, в том числе розничных, но и выпустить бумаги под будущие</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регулярные поступления платежей – например, выплаты по лизинговым контрактам, а</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также рассмотреть возможности организации рефинансирования совместно со</w:t>
      </w:r>
      <w:r w:rsidR="00BE1F9A"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 xml:space="preserve">страховыми компаниями на основе поступлений по страхованию жизни. </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Перспективным направлением развития процессов рефинансирования банковского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сектора стало в последние годы проведение сделок РЕПО и расширение круга участников</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этого рынка. Большой шаг вперед «навстречу рынку» сделан при этом Банком России и</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ММВБ. Являясь основным</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регулятором банковской деятельности и основной российской</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торговой площадкой, эти организации на протяжении последних 3 лет значительно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модернизировали ранее применявшиеся технологии проведения операций РЕПО.</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Модернизация коснулась не только перечня ценных бумаг, которые Банк России</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принимает в качестве обеспечения в сделках, но и других существенных условий. В</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частности, был увеличен срок РЕПО с 6 месяцев до 12, более детально прописаны</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вопросы учета сделок, особенно в части реализации прав участников сделки на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требования по внесению margin-call. Сделки РЕПО проводятся уже не только между</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двумя участниками, в настоящее время легитимизированы сделки с участием</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«центральн</w:t>
      </w:r>
      <w:r w:rsidR="002E1414" w:rsidRPr="000452AF">
        <w:rPr>
          <w:rFonts w:ascii="Times New Roman" w:hAnsi="Times New Roman" w:cs="Times New Roman"/>
          <w:sz w:val="28"/>
          <w:szCs w:val="28"/>
          <w:lang w:eastAsia="en-US"/>
        </w:rPr>
        <w:t>ого контрагента» (пока это ММВБ</w:t>
      </w:r>
      <w:r w:rsidRPr="000452AF">
        <w:rPr>
          <w:rFonts w:ascii="Times New Roman" w:hAnsi="Times New Roman" w:cs="Times New Roman"/>
          <w:sz w:val="28"/>
          <w:szCs w:val="28"/>
          <w:lang w:eastAsia="en-US"/>
        </w:rPr>
        <w:t>), рассматриваются возможности внедрения</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 повседневную практику банковской деятельности сделки с тремя участниками и даже</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четырьмя участниками (аналог three-party four-party РЕПО, которые уже существуют на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международных рынках капитала). Расширяется список ценных бумаг, с которыми можно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проводить сделки РЕПО, если раньше это были только долговые инструменты, то в</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настоящее время в список введены акции, Банк России постоянно пересматривает список</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ценных бумаг – так называемый «Ломбардный список», расширяя его, поэтому можно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предположить, что в будущем в нем появится больше акций. Говоря о рынке РЕПО и его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перспективах нельзя не отметить крайне важную для российского банковского сектора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тенденцию – стремление стандартизировать и гармонизировать существующие условия</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проведения сделок в соответствии с международными стандартами, принятыми ICMA</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(International capital market association). Характерно, что инициаторами этого процесса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стали крупнейшие коммерческие банки - Газпромбанк, Внешторгабнк и ряд других во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главе со Сбербанком, и саморегулируемая организация профессиональных участников</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рынка Национальная Фондовая Ассоциация. Инициатива «снизу» на протяжении всего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времени активно поддерживалась Банком России в лице руководства Департамента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операций на открытом рынке.</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Проведение IPO еще один инструмент рефинансирования бизнеса, набирающий</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популярность на внутреннем российском рынке и позволяющий коммерческим банкам</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расширить свое прис</w:t>
      </w:r>
      <w:r w:rsidR="002E1414" w:rsidRPr="000452AF">
        <w:rPr>
          <w:rFonts w:ascii="Times New Roman" w:hAnsi="Times New Roman" w:cs="Times New Roman"/>
          <w:sz w:val="28"/>
          <w:szCs w:val="28"/>
          <w:lang w:eastAsia="en-US"/>
        </w:rPr>
        <w:t xml:space="preserve">утствие на нем. По смыслу IPO – </w:t>
      </w:r>
      <w:r w:rsidRPr="000452AF">
        <w:rPr>
          <w:rFonts w:ascii="Times New Roman" w:hAnsi="Times New Roman" w:cs="Times New Roman"/>
          <w:sz w:val="28"/>
          <w:szCs w:val="28"/>
          <w:lang w:eastAsia="en-US"/>
        </w:rPr>
        <w:t>эмиссионная операция, все больше</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коммерческих банков выводят свои акции на рынок, для повышения капитализации.</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Для коммерческих банков расширение рынка IPO вдвойне выгодно: они</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становятся игроками на нем «со всех сторон» - и в качестве инвесторов, и в качестве</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консультантов, в качестве платежных или расчетных агентов, и, наконец, в качестве</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эмитентов. Принимая во внимание тот факт, что обычно IPO предшествует длительный</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процесс подготовки, включающий отработку процессов раскрытия информации,</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небольшие «пилотные выпуски» ценных бумаг, предложение бумаг, аналогичных</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предполагаемым к IPO конструкций ограниченному кругу, как правило,</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профессиональных инвесторов – «private placement», коммерческие банки получают</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достаточно широкое поле для деятельности.</w:t>
      </w:r>
    </w:p>
    <w:p w:rsidR="001B2B18"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Мало освоенной нишей на российском фондовом рынке до сих пор остается</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сегмент коммерческих бумаг. Участникам рынка испытывают дефицит надежных</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«коротких» инструментов, с одной стороны, первоклассных же эмитентов зачастую</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пугает длительный сложный и дорогостоящий процесс подготовки к эмиссии и сама</w:t>
      </w:r>
      <w:r w:rsidR="002E1414"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эмиссия. Эти вызова рынка могут быть решение с введением «коммерческих бумаг» как</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особого класса ценных бумаг. Введение такого класса во многом облегчается готовностью</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рынка принять такие бумаги.</w:t>
      </w:r>
    </w:p>
    <w:p w:rsidR="008A45AC" w:rsidRPr="000452AF" w:rsidRDefault="001B2B18"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О</w:t>
      </w:r>
      <w:r w:rsidR="008A45AC" w:rsidRPr="000452AF">
        <w:rPr>
          <w:rFonts w:ascii="Times New Roman" w:hAnsi="Times New Roman" w:cs="Times New Roman"/>
          <w:sz w:val="28"/>
          <w:szCs w:val="28"/>
          <w:lang w:eastAsia="en-US"/>
        </w:rPr>
        <w:t xml:space="preserve">дним </w:t>
      </w:r>
      <w:r w:rsidRPr="000452AF">
        <w:rPr>
          <w:rFonts w:ascii="Times New Roman" w:hAnsi="Times New Roman" w:cs="Times New Roman"/>
          <w:sz w:val="28"/>
          <w:szCs w:val="28"/>
          <w:lang w:eastAsia="en-US"/>
        </w:rPr>
        <w:t>из шагов</w:t>
      </w:r>
      <w:r w:rsidR="008A45AC" w:rsidRPr="000452AF">
        <w:rPr>
          <w:rFonts w:ascii="Times New Roman" w:hAnsi="Times New Roman" w:cs="Times New Roman"/>
          <w:sz w:val="28"/>
          <w:szCs w:val="28"/>
          <w:lang w:eastAsia="en-US"/>
        </w:rPr>
        <w:t xml:space="preserve"> на пути к созданию нового инструмента</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можно назвать решение ФСФР о возможности для первоклассных ссудозаемщиков</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эмиссии биржевых облигаций. При этом процедура эмиссии значительно упрощена и,</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соответственно, сокращены ее сроки.</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Создание таких краткосрочных надежных инструментов позволит удовлетворять</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как эмитентов, так и инвесторов, особенно коммерческие банки, так как им остро не</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хватает инструментов для управления мгновенной и текущей ликвидностью. По сути, для</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реализации этих функций казначейство использует рынок только межбанковских</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кредитов, векселя первоклассных заемщиков и государственные ценные бумаги, причем</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последний инструмент не слишком популярен на рынке в силу своей низкой доходности.</w:t>
      </w:r>
    </w:p>
    <w:p w:rsidR="008A45AC" w:rsidRPr="000452AF" w:rsidRDefault="008A45AC" w:rsidP="0095418D">
      <w:pPr>
        <w:pStyle w:val="af"/>
        <w:spacing w:line="360" w:lineRule="auto"/>
        <w:ind w:firstLine="709"/>
        <w:jc w:val="both"/>
        <w:rPr>
          <w:rFonts w:ascii="Times New Roman" w:hAnsi="Times New Roman" w:cs="Times New Roman"/>
          <w:sz w:val="28"/>
          <w:szCs w:val="28"/>
          <w:lang w:eastAsia="en-US"/>
        </w:rPr>
      </w:pPr>
      <w:r w:rsidRPr="000452AF">
        <w:rPr>
          <w:rFonts w:ascii="Times New Roman" w:hAnsi="Times New Roman" w:cs="Times New Roman"/>
          <w:sz w:val="28"/>
          <w:szCs w:val="28"/>
          <w:lang w:eastAsia="en-US"/>
        </w:rPr>
        <w:t>В перспективе выпуск коммерческих ценных бумаг может частично заменить заемщикам</w:t>
      </w:r>
      <w:r w:rsidR="001B2B18" w:rsidRPr="000452AF">
        <w:rPr>
          <w:rFonts w:ascii="Times New Roman" w:hAnsi="Times New Roman" w:cs="Times New Roman"/>
          <w:sz w:val="28"/>
          <w:szCs w:val="28"/>
          <w:lang w:eastAsia="en-US"/>
        </w:rPr>
        <w:t xml:space="preserve"> </w:t>
      </w:r>
      <w:r w:rsidRPr="000452AF">
        <w:rPr>
          <w:rFonts w:ascii="Times New Roman" w:hAnsi="Times New Roman" w:cs="Times New Roman"/>
          <w:sz w:val="28"/>
          <w:szCs w:val="28"/>
          <w:lang w:eastAsia="en-US"/>
        </w:rPr>
        <w:t>краткосрочное кредитование.</w:t>
      </w:r>
    </w:p>
    <w:p w:rsidR="00CB7AF7" w:rsidRPr="000452AF" w:rsidRDefault="00064EBE"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lang w:eastAsia="en-US"/>
        </w:rPr>
        <w:t xml:space="preserve">Также необходимо </w:t>
      </w:r>
      <w:r w:rsidR="008A45AC" w:rsidRPr="000452AF">
        <w:rPr>
          <w:rFonts w:ascii="Times New Roman" w:hAnsi="Times New Roman" w:cs="Times New Roman"/>
          <w:sz w:val="28"/>
          <w:szCs w:val="28"/>
          <w:lang w:eastAsia="en-US"/>
        </w:rPr>
        <w:t>обрати</w:t>
      </w:r>
      <w:r w:rsidRPr="000452AF">
        <w:rPr>
          <w:rFonts w:ascii="Times New Roman" w:hAnsi="Times New Roman" w:cs="Times New Roman"/>
          <w:sz w:val="28"/>
          <w:szCs w:val="28"/>
          <w:lang w:eastAsia="en-US"/>
        </w:rPr>
        <w:t>ть</w:t>
      </w:r>
      <w:r w:rsidR="008A45AC" w:rsidRPr="000452AF">
        <w:rPr>
          <w:rFonts w:ascii="Times New Roman" w:hAnsi="Times New Roman" w:cs="Times New Roman"/>
          <w:sz w:val="28"/>
          <w:szCs w:val="28"/>
          <w:lang w:eastAsia="en-US"/>
        </w:rPr>
        <w:t xml:space="preserve"> внимание еще на один аспект развития операций с ценными бумагами уже в</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качестве совершенствования брокерской деятельности.</w:t>
      </w:r>
      <w:r w:rsidRPr="000452AF">
        <w:rPr>
          <w:rFonts w:ascii="Times New Roman" w:hAnsi="Times New Roman" w:cs="Times New Roman"/>
          <w:sz w:val="28"/>
          <w:szCs w:val="28"/>
          <w:lang w:eastAsia="en-US"/>
        </w:rPr>
        <w:t xml:space="preserve"> В</w:t>
      </w:r>
      <w:r w:rsidR="008A45AC" w:rsidRPr="000452AF">
        <w:rPr>
          <w:rFonts w:ascii="Times New Roman" w:hAnsi="Times New Roman" w:cs="Times New Roman"/>
          <w:sz w:val="28"/>
          <w:szCs w:val="28"/>
          <w:lang w:eastAsia="en-US"/>
        </w:rPr>
        <w:t xml:space="preserve">озможность предоставлять клиентам </w:t>
      </w:r>
      <w:r w:rsidRPr="000452AF">
        <w:rPr>
          <w:rFonts w:ascii="Times New Roman" w:hAnsi="Times New Roman" w:cs="Times New Roman"/>
          <w:sz w:val="28"/>
          <w:szCs w:val="28"/>
          <w:lang w:eastAsia="en-US"/>
        </w:rPr>
        <w:t xml:space="preserve">средства для работы «с плечом» - проводить маржинальные сделки – </w:t>
      </w:r>
      <w:r w:rsidR="008A45AC" w:rsidRPr="000452AF">
        <w:rPr>
          <w:rFonts w:ascii="Times New Roman" w:hAnsi="Times New Roman" w:cs="Times New Roman"/>
          <w:sz w:val="28"/>
          <w:szCs w:val="28"/>
          <w:lang w:eastAsia="en-US"/>
        </w:rPr>
        <w:t>является необходимой опцией для</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конкурентоспособной деятельности на рынке.</w:t>
      </w:r>
      <w:r w:rsidRPr="000452AF">
        <w:rPr>
          <w:rFonts w:ascii="Times New Roman" w:hAnsi="Times New Roman" w:cs="Times New Roman"/>
          <w:sz w:val="28"/>
          <w:szCs w:val="28"/>
          <w:lang w:eastAsia="en-US"/>
        </w:rPr>
        <w:t xml:space="preserve"> Т</w:t>
      </w:r>
      <w:r w:rsidR="008A45AC" w:rsidRPr="000452AF">
        <w:rPr>
          <w:rFonts w:ascii="Times New Roman" w:hAnsi="Times New Roman" w:cs="Times New Roman"/>
          <w:sz w:val="28"/>
          <w:szCs w:val="28"/>
          <w:lang w:eastAsia="en-US"/>
        </w:rPr>
        <w:t>очный объем подобных сделок определить сложно, так как</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участники рынка (особенно из числа небольших компаний) продолжают, хотя и в</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меньших масштабах, применять практику учета маржинальных сделок с использованием</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оффшорных юрисдикций. Тем не менее, при взвешенном риск-менеджменте</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маржинальные сделки позволяют коммерческим банкам значительно повысить</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доходность используемых ресурсов, хотя и продолжают оставаться сделками с</w:t>
      </w:r>
      <w:r w:rsidRPr="000452AF">
        <w:rPr>
          <w:rFonts w:ascii="Times New Roman" w:hAnsi="Times New Roman" w:cs="Times New Roman"/>
          <w:sz w:val="28"/>
          <w:szCs w:val="28"/>
          <w:lang w:eastAsia="en-US"/>
        </w:rPr>
        <w:t xml:space="preserve"> </w:t>
      </w:r>
      <w:r w:rsidR="008A45AC" w:rsidRPr="000452AF">
        <w:rPr>
          <w:rFonts w:ascii="Times New Roman" w:hAnsi="Times New Roman" w:cs="Times New Roman"/>
          <w:sz w:val="28"/>
          <w:szCs w:val="28"/>
          <w:lang w:eastAsia="en-US"/>
        </w:rPr>
        <w:t>повышенной степенью риска.</w:t>
      </w:r>
    </w:p>
    <w:p w:rsidR="002A7058" w:rsidRPr="000452AF" w:rsidRDefault="00BD3A2D" w:rsidP="0095418D">
      <w:pPr>
        <w:pStyle w:val="ad"/>
        <w:spacing w:after="0" w:line="360" w:lineRule="auto"/>
        <w:ind w:firstLine="709"/>
        <w:jc w:val="both"/>
        <w:rPr>
          <w:rFonts w:ascii="Times New Roman" w:hAnsi="Times New Roman" w:cs="Times New Roman"/>
          <w:b/>
          <w:bCs/>
          <w:sz w:val="28"/>
          <w:szCs w:val="28"/>
        </w:rPr>
      </w:pPr>
      <w:r w:rsidRPr="000452AF">
        <w:rPr>
          <w:rFonts w:ascii="Times New Roman" w:hAnsi="Times New Roman" w:cs="Times New Roman"/>
          <w:b/>
          <w:bCs/>
          <w:sz w:val="28"/>
          <w:szCs w:val="28"/>
        </w:rPr>
        <w:br w:type="page"/>
      </w:r>
      <w:r w:rsidR="002A7058" w:rsidRPr="000452AF">
        <w:rPr>
          <w:rFonts w:ascii="Times New Roman" w:hAnsi="Times New Roman" w:cs="Times New Roman"/>
          <w:b/>
          <w:bCs/>
          <w:sz w:val="28"/>
          <w:szCs w:val="28"/>
        </w:rPr>
        <w:t>ЗАКЛЮЧЕНИЕ</w:t>
      </w:r>
    </w:p>
    <w:p w:rsidR="00064EBE" w:rsidRPr="000452AF" w:rsidRDefault="00064EBE" w:rsidP="0095418D">
      <w:pPr>
        <w:pStyle w:val="ad"/>
        <w:spacing w:after="0" w:line="360" w:lineRule="auto"/>
        <w:ind w:firstLine="709"/>
        <w:jc w:val="both"/>
        <w:rPr>
          <w:rFonts w:ascii="Times New Roman" w:hAnsi="Times New Roman" w:cs="Times New Roman"/>
          <w:b/>
          <w:bCs/>
          <w:sz w:val="28"/>
          <w:szCs w:val="28"/>
        </w:rPr>
      </w:pPr>
    </w:p>
    <w:p w:rsidR="00064EBE" w:rsidRPr="000452AF" w:rsidRDefault="00064EBE"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Операции с ценными бумагами за последние 15 лет вошли в повседневную практику российских банков и их клиентов. Развитие инфраструктуры фондового рынка, совершенствование законодательства, гармонизация требований российских и зарубежных регуляторов относительно деятельности профессиональных участников рынка ценных бумаг делают операции с ценными бумагами все более перспективным и привлекательным инструментом для развития бизнеса и перераспределения временно свободных финансовых ресурсов между различными участниками хозяйственного оборота.</w:t>
      </w:r>
    </w:p>
    <w:p w:rsidR="00433ACC" w:rsidRPr="000452AF" w:rsidRDefault="00064EBE" w:rsidP="0095418D">
      <w:pPr>
        <w:pStyle w:val="af"/>
        <w:spacing w:line="360" w:lineRule="auto"/>
        <w:ind w:firstLine="709"/>
        <w:jc w:val="both"/>
        <w:rPr>
          <w:rFonts w:ascii="Times New Roman" w:hAnsi="Times New Roman" w:cs="Times New Roman"/>
          <w:sz w:val="28"/>
          <w:szCs w:val="28"/>
        </w:rPr>
      </w:pPr>
      <w:r w:rsidRPr="000452AF">
        <w:rPr>
          <w:rFonts w:ascii="Times New Roman" w:hAnsi="Times New Roman" w:cs="Times New Roman"/>
          <w:sz w:val="28"/>
          <w:szCs w:val="28"/>
        </w:rPr>
        <w:t>Таким образом, банковская система России и рынок финансовых инструментов начитают более эффективно выполнять одну из своих основных функции – обеспечение условий для свободного перераспределение капитала.</w:t>
      </w:r>
    </w:p>
    <w:p w:rsidR="002578C9" w:rsidRPr="000452AF" w:rsidRDefault="00174CA2" w:rsidP="0095418D">
      <w:pPr>
        <w:shd w:val="clear" w:color="auto" w:fill="FFFFFF"/>
        <w:spacing w:line="360" w:lineRule="auto"/>
        <w:ind w:firstLine="709"/>
        <w:jc w:val="both"/>
        <w:rPr>
          <w:rFonts w:ascii="Times New Roman" w:hAnsi="Times New Roman" w:cs="Times New Roman"/>
          <w:b/>
          <w:bCs/>
          <w:sz w:val="28"/>
          <w:szCs w:val="28"/>
        </w:rPr>
      </w:pPr>
      <w:r w:rsidRPr="000452AF">
        <w:rPr>
          <w:rFonts w:ascii="Times New Roman" w:hAnsi="Times New Roman" w:cs="Times New Roman"/>
          <w:sz w:val="28"/>
          <w:szCs w:val="28"/>
        </w:rPr>
        <w:br w:type="page"/>
      </w:r>
      <w:r w:rsidR="001B2953" w:rsidRPr="000452AF">
        <w:rPr>
          <w:rFonts w:ascii="Times New Roman" w:hAnsi="Times New Roman" w:cs="Times New Roman"/>
          <w:b/>
          <w:bCs/>
          <w:sz w:val="28"/>
          <w:szCs w:val="28"/>
        </w:rPr>
        <w:t>СПИСОК ИСПОЛЬЗУЕМОЙ</w:t>
      </w:r>
      <w:r w:rsidR="007650B6" w:rsidRPr="000452AF">
        <w:rPr>
          <w:rFonts w:ascii="Times New Roman" w:hAnsi="Times New Roman" w:cs="Times New Roman"/>
          <w:b/>
          <w:bCs/>
          <w:sz w:val="28"/>
          <w:szCs w:val="28"/>
        </w:rPr>
        <w:t xml:space="preserve"> ЛИТЕРАТУРЫ</w:t>
      </w:r>
    </w:p>
    <w:p w:rsidR="007650B6" w:rsidRPr="000452AF" w:rsidRDefault="007650B6" w:rsidP="0095418D">
      <w:pPr>
        <w:shd w:val="clear" w:color="auto" w:fill="FFFFFF"/>
        <w:spacing w:line="360" w:lineRule="auto"/>
        <w:ind w:firstLine="709"/>
        <w:jc w:val="both"/>
        <w:rPr>
          <w:rFonts w:ascii="Times New Roman" w:hAnsi="Times New Roman" w:cs="Times New Roman"/>
          <w:b/>
          <w:bCs/>
          <w:sz w:val="28"/>
          <w:szCs w:val="28"/>
        </w:rPr>
      </w:pP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Гражданский кодекс РФ от 30 ноября 1994 года N 51-ФЗ (в ред. от 09.02.2009 г.)</w:t>
      </w:r>
      <w:r w:rsidR="00FC0FF9" w:rsidRPr="000452AF">
        <w:rPr>
          <w:rFonts w:ascii="Times New Roman" w:hAnsi="Times New Roman" w:cs="Times New Roman"/>
          <w:sz w:val="28"/>
          <w:szCs w:val="28"/>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Налоговый кодекс РФ</w:t>
      </w:r>
      <w:r w:rsidR="003B374A" w:rsidRPr="000452AF">
        <w:rPr>
          <w:rFonts w:ascii="Times New Roman" w:hAnsi="Times New Roman" w:cs="Times New Roman"/>
          <w:sz w:val="28"/>
          <w:szCs w:val="28"/>
        </w:rPr>
        <w:t xml:space="preserve"> (часть вторая) от 05.08.2000 N 117-ФЗ (в ред. от 03.06.2009)</w:t>
      </w:r>
      <w:r w:rsidR="00FC0FF9" w:rsidRPr="000452AF">
        <w:rPr>
          <w:rFonts w:ascii="Times New Roman" w:hAnsi="Times New Roman" w:cs="Times New Roman"/>
          <w:sz w:val="28"/>
          <w:szCs w:val="28"/>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Федеральный закон «О рынке ценных бумаг» № 39</w:t>
      </w:r>
      <w:r w:rsidRPr="000452AF">
        <w:rPr>
          <w:rFonts w:ascii="Calibri" w:hAnsi="Calibri" w:cs="Calibri"/>
          <w:sz w:val="28"/>
          <w:szCs w:val="28"/>
          <w:lang w:eastAsia="en-US"/>
        </w:rPr>
        <w:t>‐</w:t>
      </w:r>
      <w:r w:rsidRPr="000452AF">
        <w:rPr>
          <w:rFonts w:ascii="Times New Roman" w:hAnsi="Times New Roman" w:cs="Times New Roman"/>
          <w:sz w:val="28"/>
          <w:szCs w:val="28"/>
          <w:lang w:eastAsia="en-US"/>
        </w:rPr>
        <w:t xml:space="preserve">ФЗ от 22.04.1996г. (в ред. </w:t>
      </w:r>
      <w:r w:rsidRPr="000452AF">
        <w:rPr>
          <w:rFonts w:ascii="Times New Roman" w:hAnsi="Times New Roman" w:cs="Times New Roman"/>
          <w:sz w:val="28"/>
          <w:szCs w:val="28"/>
        </w:rPr>
        <w:t>от 03.06.2009 г.)</w:t>
      </w:r>
      <w:r w:rsidR="00FC0FF9" w:rsidRPr="000452AF">
        <w:rPr>
          <w:rFonts w:ascii="Times New Roman" w:hAnsi="Times New Roman" w:cs="Times New Roman"/>
          <w:sz w:val="28"/>
          <w:szCs w:val="28"/>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Федеральный Закон «О банковской деятельности» от 03.02.1996 № 17-ФЗ (в ред. от 03.06.2009 г.)</w:t>
      </w:r>
      <w:r w:rsidR="00FC0FF9" w:rsidRPr="000452AF">
        <w:rPr>
          <w:rFonts w:ascii="Times New Roman" w:hAnsi="Times New Roman" w:cs="Times New Roman"/>
          <w:sz w:val="28"/>
          <w:szCs w:val="28"/>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Положение Банка России «О порядке заключения и исполнения сделок РЕПО с государственными ценными бумагами Российской Федерации» от 25.03.2003 г. № 220-П».</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Положение Банка России «О правилах ведения бухгалтерского учета в кредитных организациях» № 302-П от 26.03.2007</w:t>
      </w:r>
      <w:r w:rsidR="00FC0FF9" w:rsidRPr="000452AF">
        <w:rPr>
          <w:rFonts w:ascii="Times New Roman" w:hAnsi="Times New Roman" w:cs="Times New Roman"/>
          <w:sz w:val="28"/>
          <w:szCs w:val="28"/>
        </w:rPr>
        <w:t>.</w:t>
      </w:r>
    </w:p>
    <w:p w:rsidR="00061551" w:rsidRPr="000452AF" w:rsidRDefault="00FC0FF9"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Азрилиян А.</w:t>
      </w:r>
      <w:r w:rsidR="00061551" w:rsidRPr="000452AF">
        <w:rPr>
          <w:rFonts w:ascii="Times New Roman" w:hAnsi="Times New Roman" w:cs="Times New Roman"/>
          <w:sz w:val="28"/>
          <w:szCs w:val="28"/>
        </w:rPr>
        <w:t xml:space="preserve">Н. </w:t>
      </w:r>
      <w:r w:rsidR="00061551" w:rsidRPr="000452AF">
        <w:rPr>
          <w:rFonts w:ascii="Times New Roman" w:hAnsi="Times New Roman" w:cs="Times New Roman"/>
          <w:sz w:val="28"/>
          <w:szCs w:val="28"/>
          <w:lang w:eastAsia="en-US"/>
        </w:rPr>
        <w:t>Большой Экономический словарь. М.: Институт Новой экономики, 2004</w:t>
      </w:r>
      <w:r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Буренин А.Н. Форварды, фьючерсы, опционы. М.: ЮНИТИ, 2007</w:t>
      </w:r>
      <w:r w:rsidR="00FC0FF9"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Вайн С. Опционы полный курс для профессионалов. М.: Альпина Бизнес Букс, 2007</w:t>
      </w:r>
      <w:r w:rsidR="00FC0FF9"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Галанов В.А. Рынок ценных бумаг. М.: Финансы и статистика, 2002</w:t>
      </w:r>
      <w:r w:rsidR="00FC0FF9"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Лаврушин О. И. Банковское дело. М.: КНОРУС, 2006</w:t>
      </w:r>
      <w:r w:rsidR="00FC0FF9" w:rsidRPr="000452AF">
        <w:rPr>
          <w:rFonts w:ascii="Times New Roman" w:hAnsi="Times New Roman" w:cs="Times New Roman"/>
          <w:sz w:val="28"/>
          <w:szCs w:val="28"/>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Рубцов Б.Б. Современные фондовые рынки. М.: Альпина Бизнес Букс, 2007</w:t>
      </w:r>
      <w:r w:rsidR="00FC0FF9"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lang w:eastAsia="en-US"/>
        </w:rPr>
        <w:t>Фельдман А. Б. Производные финансовые и товарные инструменты. М.: Финансы и статистика, 2007</w:t>
      </w:r>
      <w:r w:rsidR="00FC0FF9" w:rsidRPr="000452AF">
        <w:rPr>
          <w:rFonts w:ascii="Times New Roman" w:hAnsi="Times New Roman" w:cs="Times New Roman"/>
          <w:sz w:val="28"/>
          <w:szCs w:val="28"/>
          <w:lang w:eastAsia="en-US"/>
        </w:rPr>
        <w:t>.</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 xml:space="preserve">Сервер Национальной Фондовой Ассоциации (НФА) </w:t>
      </w:r>
      <w:r w:rsidRPr="00465C9F">
        <w:rPr>
          <w:rFonts w:ascii="Times New Roman" w:hAnsi="Times New Roman" w:cs="Times New Roman"/>
          <w:sz w:val="28"/>
          <w:szCs w:val="28"/>
        </w:rPr>
        <w:t>http://www.nfa.ru/</w:t>
      </w:r>
      <w:r w:rsidRPr="000452AF">
        <w:rPr>
          <w:rFonts w:ascii="Times New Roman" w:hAnsi="Times New Roman" w:cs="Times New Roman"/>
          <w:sz w:val="28"/>
          <w:szCs w:val="28"/>
        </w:rPr>
        <w:t xml:space="preserve"> </w:t>
      </w:r>
    </w:p>
    <w:p w:rsidR="00061551"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 xml:space="preserve">Официальный сайт ММВБ </w:t>
      </w:r>
      <w:r w:rsidRPr="00465C9F">
        <w:rPr>
          <w:rFonts w:ascii="Times New Roman" w:hAnsi="Times New Roman" w:cs="Times New Roman"/>
          <w:sz w:val="28"/>
          <w:szCs w:val="28"/>
        </w:rPr>
        <w:t>http://www.micex.ru/</w:t>
      </w:r>
    </w:p>
    <w:p w:rsidR="00174CA2" w:rsidRPr="000452AF" w:rsidRDefault="00061551" w:rsidP="00174CA2">
      <w:pPr>
        <w:pStyle w:val="af"/>
        <w:numPr>
          <w:ilvl w:val="0"/>
          <w:numId w:val="15"/>
        </w:numPr>
        <w:tabs>
          <w:tab w:val="left" w:pos="500"/>
        </w:tabs>
        <w:spacing w:line="360" w:lineRule="auto"/>
        <w:ind w:left="0" w:firstLine="0"/>
        <w:jc w:val="both"/>
        <w:rPr>
          <w:rFonts w:ascii="Times New Roman" w:hAnsi="Times New Roman" w:cs="Times New Roman"/>
          <w:sz w:val="28"/>
          <w:szCs w:val="28"/>
        </w:rPr>
      </w:pPr>
      <w:r w:rsidRPr="000452AF">
        <w:rPr>
          <w:rFonts w:ascii="Times New Roman" w:hAnsi="Times New Roman" w:cs="Times New Roman"/>
          <w:sz w:val="28"/>
          <w:szCs w:val="28"/>
        </w:rPr>
        <w:t xml:space="preserve">Официальный сайт ЦБ РФ </w:t>
      </w:r>
      <w:r w:rsidRPr="00465C9F">
        <w:rPr>
          <w:rFonts w:ascii="Times New Roman" w:hAnsi="Times New Roman" w:cs="Times New Roman"/>
          <w:sz w:val="28"/>
          <w:szCs w:val="28"/>
          <w:lang w:val="en-US"/>
        </w:rPr>
        <w:t>www</w:t>
      </w:r>
      <w:r w:rsidRPr="00465C9F">
        <w:rPr>
          <w:rFonts w:ascii="Times New Roman" w:hAnsi="Times New Roman" w:cs="Times New Roman"/>
          <w:sz w:val="28"/>
          <w:szCs w:val="28"/>
        </w:rPr>
        <w:t>.</w:t>
      </w:r>
      <w:r w:rsidRPr="00465C9F">
        <w:rPr>
          <w:rFonts w:ascii="Times New Roman" w:hAnsi="Times New Roman" w:cs="Times New Roman"/>
          <w:sz w:val="28"/>
          <w:szCs w:val="28"/>
          <w:lang w:val="en-US"/>
        </w:rPr>
        <w:t>cbr</w:t>
      </w:r>
      <w:r w:rsidRPr="00465C9F">
        <w:rPr>
          <w:rFonts w:ascii="Times New Roman" w:hAnsi="Times New Roman" w:cs="Times New Roman"/>
          <w:sz w:val="28"/>
          <w:szCs w:val="28"/>
        </w:rPr>
        <w:t>.</w:t>
      </w:r>
      <w:r w:rsidRPr="00465C9F">
        <w:rPr>
          <w:rFonts w:ascii="Times New Roman" w:hAnsi="Times New Roman" w:cs="Times New Roman"/>
          <w:sz w:val="28"/>
          <w:szCs w:val="28"/>
          <w:lang w:val="en-US"/>
        </w:rPr>
        <w:t>ru</w:t>
      </w:r>
    </w:p>
    <w:p w:rsidR="00174CA2" w:rsidRPr="000452AF" w:rsidRDefault="00174CA2" w:rsidP="00174CA2">
      <w:pPr>
        <w:spacing w:line="360" w:lineRule="auto"/>
        <w:ind w:firstLine="700"/>
        <w:jc w:val="both"/>
        <w:rPr>
          <w:rFonts w:ascii="Times New Roman" w:hAnsi="Times New Roman" w:cs="Times New Roman"/>
          <w:b/>
          <w:bCs/>
          <w:caps/>
          <w:sz w:val="28"/>
          <w:szCs w:val="28"/>
        </w:rPr>
      </w:pPr>
      <w:r w:rsidRPr="000452AF">
        <w:rPr>
          <w:rFonts w:ascii="Times New Roman" w:hAnsi="Times New Roman" w:cs="Times New Roman"/>
          <w:sz w:val="28"/>
          <w:szCs w:val="28"/>
        </w:rPr>
        <w:br w:type="page"/>
      </w:r>
      <w:r w:rsidRPr="000452AF">
        <w:rPr>
          <w:rFonts w:ascii="Times New Roman" w:hAnsi="Times New Roman" w:cs="Times New Roman"/>
          <w:b/>
          <w:bCs/>
          <w:caps/>
          <w:sz w:val="28"/>
          <w:szCs w:val="28"/>
        </w:rPr>
        <w:t>Приложение 1</w:t>
      </w:r>
    </w:p>
    <w:p w:rsidR="00174CA2" w:rsidRPr="000452AF" w:rsidRDefault="00174CA2" w:rsidP="00174CA2">
      <w:pPr>
        <w:spacing w:line="360" w:lineRule="auto"/>
        <w:ind w:firstLine="700"/>
        <w:jc w:val="both"/>
        <w:rPr>
          <w:rFonts w:ascii="Times New Roman" w:hAnsi="Times New Roman" w:cs="Times New Roman"/>
          <w:b/>
          <w:bCs/>
          <w:sz w:val="28"/>
          <w:szCs w:val="28"/>
          <w:u w:val="single"/>
        </w:rPr>
      </w:pPr>
    </w:p>
    <w:p w:rsidR="00174CA2" w:rsidRPr="000452AF" w:rsidRDefault="001B2953" w:rsidP="00174CA2">
      <w:pPr>
        <w:spacing w:line="360" w:lineRule="auto"/>
        <w:ind w:firstLine="700"/>
        <w:jc w:val="both"/>
        <w:rPr>
          <w:rFonts w:ascii="Times New Roman" w:hAnsi="Times New Roman" w:cs="Times New Roman"/>
          <w:b/>
          <w:bCs/>
          <w:sz w:val="28"/>
          <w:szCs w:val="28"/>
          <w:u w:val="single"/>
        </w:rPr>
      </w:pPr>
      <w:r w:rsidRPr="000452AF">
        <w:rPr>
          <w:rFonts w:ascii="Times New Roman" w:hAnsi="Times New Roman" w:cs="Times New Roman"/>
          <w:sz w:val="28"/>
          <w:szCs w:val="28"/>
        </w:rPr>
        <w:t>Таблица 3</w:t>
      </w:r>
      <w:r w:rsidR="00D00C68" w:rsidRPr="000452AF">
        <w:rPr>
          <w:rFonts w:ascii="Times New Roman" w:hAnsi="Times New Roman" w:cs="Times New Roman"/>
          <w:sz w:val="28"/>
          <w:szCs w:val="28"/>
        </w:rPr>
        <w:t xml:space="preserve"> - </w:t>
      </w:r>
      <w:r w:rsidR="00174CA2" w:rsidRPr="000452AF">
        <w:rPr>
          <w:rFonts w:ascii="Times New Roman" w:hAnsi="Times New Roman" w:cs="Times New Roman"/>
          <w:sz w:val="28"/>
          <w:szCs w:val="28"/>
        </w:rPr>
        <w:t>Объем торгов ценными бумагами на ММВБ в период 2000-2008 гг.</w:t>
      </w:r>
    </w:p>
    <w:tbl>
      <w:tblPr>
        <w:tblW w:w="900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900"/>
        <w:gridCol w:w="783"/>
        <w:gridCol w:w="617"/>
        <w:gridCol w:w="700"/>
        <w:gridCol w:w="800"/>
        <w:gridCol w:w="700"/>
        <w:gridCol w:w="800"/>
        <w:gridCol w:w="800"/>
        <w:gridCol w:w="900"/>
        <w:gridCol w:w="700"/>
      </w:tblGrid>
      <w:tr w:rsidR="00D7163B" w:rsidRPr="000452AF">
        <w:trPr>
          <w:trHeight w:val="495"/>
        </w:trPr>
        <w:tc>
          <w:tcPr>
            <w:tcW w:w="2200" w:type="dxa"/>
            <w:gridSpan w:val="2"/>
            <w:vAlign w:val="center"/>
          </w:tcPr>
          <w:p w:rsidR="00D7163B" w:rsidRPr="000452AF" w:rsidRDefault="00406A84" w:rsidP="00174CA2">
            <w:pPr>
              <w:spacing w:line="360" w:lineRule="auto"/>
              <w:jc w:val="both"/>
              <w:rPr>
                <w:rFonts w:ascii="Times New Roman" w:hAnsi="Times New Roman" w:cs="Times New Roman"/>
                <w:b/>
                <w:bCs/>
              </w:rPr>
            </w:pPr>
            <w:r w:rsidRPr="000452AF">
              <w:rPr>
                <w:rFonts w:ascii="Times New Roman" w:hAnsi="Times New Roman" w:cs="Times New Roman"/>
                <w:sz w:val="28"/>
                <w:szCs w:val="28"/>
                <w:highlight w:val="yellow"/>
              </w:rPr>
              <w:br w:type="page"/>
            </w:r>
            <w:r w:rsidR="00D7163B" w:rsidRPr="000452AF">
              <w:rPr>
                <w:rFonts w:ascii="Times New Roman" w:hAnsi="Times New Roman" w:cs="Times New Roman"/>
                <w:b/>
                <w:bCs/>
              </w:rPr>
              <w:t>Вид финансового инструмента</w:t>
            </w:r>
          </w:p>
        </w:tc>
        <w:tc>
          <w:tcPr>
            <w:tcW w:w="783"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2000</w:t>
            </w:r>
          </w:p>
        </w:tc>
        <w:tc>
          <w:tcPr>
            <w:tcW w:w="617"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2001</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2002</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2003</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2004</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2005</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2006</w:t>
            </w:r>
          </w:p>
        </w:tc>
        <w:tc>
          <w:tcPr>
            <w:tcW w:w="9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2007</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2008</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Фондовый рынок, итого</w:t>
            </w:r>
          </w:p>
        </w:tc>
        <w:tc>
          <w:tcPr>
            <w:tcW w:w="9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707,67</w:t>
            </w:r>
          </w:p>
        </w:tc>
        <w:tc>
          <w:tcPr>
            <w:tcW w:w="617"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977,37</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1528,8</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3021,16</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4246,64</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6024,00</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15049,06</w:t>
            </w:r>
          </w:p>
        </w:tc>
        <w:tc>
          <w:tcPr>
            <w:tcW w:w="9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28569,38</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17621,49</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ГКО-ОФЗ</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200,22</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200,78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227,21</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381,18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473,62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679,07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747,53</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1753,04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1114,46</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15,3</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45,36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79,26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112,18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134,64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182,317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211,13</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251,98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183,33</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184,92</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155,42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147,95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269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338,98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496,76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536,40</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1501,06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931,13</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ОБР</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1,29</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34,50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264,615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377,68</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7682,82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215,45</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1,07</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34,50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227,765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343,51</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570,85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86,43</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0,22</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36,85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34,17</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7111,97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129,02</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Еврооблигации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млн долл.</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11,29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35,62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204,50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21,99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24,83</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2078,27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2320,39</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0,36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5,97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0,62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0,67</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51,34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64,96</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ОГВЗ</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млн долл.</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0,56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0,08</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0,002</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ГСО</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0,41</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Облигации субъектов РФ</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0,37</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9,7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35,78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160,03</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379,28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611,49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559,37</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540,14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499,00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 (перв.)</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41,91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53,06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51,97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46,54</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40,79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96,85</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6,6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24,18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118,12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326,22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559,52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512,83</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499,35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402,15</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Муниципальные 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0,94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3,93</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13,76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25,97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27,75</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29,09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13,14</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 (перв.)</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0,49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1,97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24,32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3,70</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0,80</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0,00001</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0,45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2,37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11,79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1,65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24,05</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28,29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13,143341</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Корпоративные 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35,13</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58,1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119,98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330,1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563,56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1160,98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2267,84</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3185,64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3167,87</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 (перв.)</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29,55</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47,64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78,41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141,12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259,45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464,39</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455,96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518,34</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5,57</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33,4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72,34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251,69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422,44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901,52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1803,45</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2729,67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2649,52</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Акции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471,95</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707,5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1144,53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2144,72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2779,59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3279,71</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11062,82</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15307,07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12523,52</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аукционы (перв.)</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0,27</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0,73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0,11</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0,00</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1,88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вторичные торги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471,95</w:t>
            </w:r>
          </w:p>
        </w:tc>
        <w:tc>
          <w:tcPr>
            <w:tcW w:w="617"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707,5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1144,26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2144,72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2778,85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3279,60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11062,82</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15305,19</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12523,52</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Паи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0,1</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0,14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4,99</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20,24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23,08</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Рынок "репо", итого</w:t>
            </w:r>
          </w:p>
        </w:tc>
        <w:tc>
          <w:tcPr>
            <w:tcW w:w="9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b/>
                <w:bCs/>
              </w:rPr>
            </w:pPr>
            <w:r w:rsidRPr="000452AF">
              <w:rPr>
                <w:rFonts w:ascii="Times New Roman" w:hAnsi="Times New Roman" w:cs="Times New Roman"/>
                <w:b/>
                <w:bCs/>
              </w:rPr>
              <w:t>-</w:t>
            </w:r>
          </w:p>
        </w:tc>
        <w:tc>
          <w:tcPr>
            <w:tcW w:w="617" w:type="dxa"/>
            <w:vAlign w:val="center"/>
          </w:tcPr>
          <w:p w:rsidR="00D7163B" w:rsidRPr="000452AF" w:rsidRDefault="001C7A69" w:rsidP="00174CA2">
            <w:pPr>
              <w:spacing w:line="360" w:lineRule="auto"/>
              <w:jc w:val="both"/>
              <w:rPr>
                <w:rFonts w:ascii="Times New Roman" w:hAnsi="Times New Roman" w:cs="Times New Roman"/>
                <w:b/>
                <w:bCs/>
              </w:rPr>
            </w:pPr>
            <w:r w:rsidRPr="000452AF">
              <w:rPr>
                <w:rFonts w:ascii="Times New Roman" w:hAnsi="Times New Roman" w:cs="Times New Roman"/>
                <w:b/>
                <w:bCs/>
              </w:rPr>
              <w:t>-</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104,56</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1118,02</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1452,90</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3257,20</w:t>
            </w:r>
          </w:p>
        </w:tc>
        <w:tc>
          <w:tcPr>
            <w:tcW w:w="8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9745,42</w:t>
            </w:r>
          </w:p>
        </w:tc>
        <w:tc>
          <w:tcPr>
            <w:tcW w:w="9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37399,82</w:t>
            </w:r>
          </w:p>
        </w:tc>
        <w:tc>
          <w:tcPr>
            <w:tcW w:w="700" w:type="dxa"/>
            <w:vAlign w:val="center"/>
          </w:tcPr>
          <w:p w:rsidR="00D7163B" w:rsidRPr="000452AF" w:rsidRDefault="00D7163B" w:rsidP="00174CA2">
            <w:pPr>
              <w:spacing w:line="360" w:lineRule="auto"/>
              <w:jc w:val="both"/>
              <w:rPr>
                <w:rFonts w:ascii="Times New Roman" w:hAnsi="Times New Roman" w:cs="Times New Roman"/>
                <w:b/>
                <w:bCs/>
              </w:rPr>
            </w:pPr>
            <w:r w:rsidRPr="000452AF">
              <w:rPr>
                <w:rFonts w:ascii="Times New Roman" w:hAnsi="Times New Roman" w:cs="Times New Roman"/>
                <w:b/>
                <w:bCs/>
              </w:rPr>
              <w:t>56944,18</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ГКО-ОФЗ</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28,38</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732,75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756,63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1135,79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2497,14</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7646,13</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12213,98</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ОБР</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800"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81,72</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661,84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516,50</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1289,42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1073,38</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Еврооблигации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1,23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44,54</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2,39</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544,44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1794,64</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Облигации субъектов РФ</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0,69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23,82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114,70</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267,43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800,03</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2556,98</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4387,30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Муниципальные 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0,03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0,54</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1,17</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11,53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110,06</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56,26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52,77</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Корпоративные облигации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3,13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50,76</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151,89</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390,75</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2022,48</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9686,57</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16240,90</w:t>
            </w:r>
          </w:p>
        </w:tc>
      </w:tr>
      <w:tr w:rsidR="00D7163B" w:rsidRPr="000452AF">
        <w:trPr>
          <w:trHeight w:val="255"/>
        </w:trPr>
        <w:tc>
          <w:tcPr>
            <w:tcW w:w="13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Акции</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млрд руб.</w:t>
            </w:r>
          </w:p>
        </w:tc>
        <w:tc>
          <w:tcPr>
            <w:tcW w:w="783"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617" w:type="dxa"/>
            <w:vAlign w:val="center"/>
          </w:tcPr>
          <w:p w:rsidR="00D7163B" w:rsidRPr="000452AF" w:rsidRDefault="001C7A69" w:rsidP="00174CA2">
            <w:pPr>
              <w:spacing w:line="360" w:lineRule="auto"/>
              <w:jc w:val="both"/>
              <w:rPr>
                <w:rFonts w:ascii="Times New Roman" w:hAnsi="Times New Roman" w:cs="Times New Roman"/>
              </w:rPr>
            </w:pPr>
            <w:r w:rsidRPr="000452AF">
              <w:rPr>
                <w:rFonts w:ascii="Times New Roman" w:hAnsi="Times New Roman" w:cs="Times New Roman"/>
              </w:rPr>
              <w:t>-</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72,33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310,15</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345,56</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745,33</w:t>
            </w:r>
          </w:p>
        </w:tc>
        <w:tc>
          <w:tcPr>
            <w:tcW w:w="8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3796,82</w:t>
            </w:r>
          </w:p>
        </w:tc>
        <w:tc>
          <w:tcPr>
            <w:tcW w:w="9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15620,02</w:t>
            </w:r>
          </w:p>
        </w:tc>
        <w:tc>
          <w:tcPr>
            <w:tcW w:w="700" w:type="dxa"/>
            <w:vAlign w:val="center"/>
          </w:tcPr>
          <w:p w:rsidR="00D7163B" w:rsidRPr="000452AF" w:rsidRDefault="00D7163B" w:rsidP="00174CA2">
            <w:pPr>
              <w:spacing w:line="360" w:lineRule="auto"/>
              <w:jc w:val="both"/>
              <w:rPr>
                <w:rFonts w:ascii="Times New Roman" w:hAnsi="Times New Roman" w:cs="Times New Roman"/>
              </w:rPr>
            </w:pPr>
            <w:r w:rsidRPr="000452AF">
              <w:rPr>
                <w:rFonts w:ascii="Times New Roman" w:hAnsi="Times New Roman" w:cs="Times New Roman"/>
              </w:rPr>
              <w:t>21181,21</w:t>
            </w:r>
          </w:p>
        </w:tc>
      </w:tr>
    </w:tbl>
    <w:p w:rsidR="00D00C68" w:rsidRPr="000452AF" w:rsidRDefault="00D00C68" w:rsidP="00D00C68">
      <w:pPr>
        <w:spacing w:line="360" w:lineRule="auto"/>
        <w:ind w:firstLine="700"/>
        <w:jc w:val="both"/>
        <w:rPr>
          <w:rFonts w:ascii="Times New Roman" w:hAnsi="Times New Roman" w:cs="Times New Roman"/>
          <w:b/>
          <w:bCs/>
          <w:caps/>
          <w:sz w:val="28"/>
          <w:szCs w:val="28"/>
        </w:rPr>
      </w:pPr>
      <w:r w:rsidRPr="000452AF">
        <w:rPr>
          <w:rFonts w:ascii="Times New Roman" w:hAnsi="Times New Roman" w:cs="Times New Roman"/>
          <w:b/>
          <w:bCs/>
          <w:u w:val="single"/>
        </w:rPr>
        <w:br w:type="page"/>
      </w:r>
      <w:r w:rsidR="00AD0BE8" w:rsidRPr="000452AF">
        <w:rPr>
          <w:rFonts w:ascii="Times New Roman" w:hAnsi="Times New Roman" w:cs="Times New Roman"/>
          <w:b/>
          <w:bCs/>
          <w:caps/>
          <w:sz w:val="28"/>
          <w:szCs w:val="28"/>
        </w:rPr>
        <w:t>Приложение 2</w:t>
      </w:r>
    </w:p>
    <w:p w:rsidR="00D00C68" w:rsidRPr="000452AF" w:rsidRDefault="00D00C68" w:rsidP="00D00C68">
      <w:pPr>
        <w:spacing w:line="360" w:lineRule="auto"/>
        <w:ind w:firstLine="700"/>
        <w:jc w:val="both"/>
        <w:rPr>
          <w:rFonts w:ascii="Times New Roman" w:hAnsi="Times New Roman" w:cs="Times New Roman"/>
          <w:sz w:val="28"/>
          <w:szCs w:val="28"/>
        </w:rPr>
      </w:pPr>
    </w:p>
    <w:p w:rsidR="00AD0BE8" w:rsidRPr="000452AF" w:rsidRDefault="00D00C68" w:rsidP="00D00C68">
      <w:pPr>
        <w:spacing w:line="360" w:lineRule="auto"/>
        <w:ind w:firstLine="700"/>
        <w:jc w:val="both"/>
        <w:rPr>
          <w:rFonts w:ascii="Times New Roman" w:hAnsi="Times New Roman" w:cs="Times New Roman"/>
          <w:sz w:val="28"/>
          <w:szCs w:val="28"/>
        </w:rPr>
      </w:pPr>
      <w:r w:rsidRPr="000452AF">
        <w:rPr>
          <w:rFonts w:ascii="Times New Roman" w:hAnsi="Times New Roman" w:cs="Times New Roman"/>
          <w:sz w:val="28"/>
          <w:szCs w:val="28"/>
        </w:rPr>
        <w:t xml:space="preserve">Таблица </w:t>
      </w:r>
      <w:r w:rsidR="001B2953" w:rsidRPr="000452AF">
        <w:rPr>
          <w:rFonts w:ascii="Times New Roman" w:hAnsi="Times New Roman" w:cs="Times New Roman"/>
          <w:sz w:val="28"/>
          <w:szCs w:val="28"/>
        </w:rPr>
        <w:t>4</w:t>
      </w:r>
      <w:r w:rsidRPr="000452AF">
        <w:rPr>
          <w:rFonts w:ascii="Times New Roman" w:hAnsi="Times New Roman" w:cs="Times New Roman"/>
          <w:sz w:val="28"/>
          <w:szCs w:val="28"/>
        </w:rPr>
        <w:t xml:space="preserve"> - </w:t>
      </w:r>
      <w:r w:rsidR="00AD0BE8" w:rsidRPr="000452AF">
        <w:rPr>
          <w:rFonts w:ascii="Times New Roman" w:hAnsi="Times New Roman" w:cs="Times New Roman"/>
          <w:sz w:val="28"/>
          <w:szCs w:val="28"/>
        </w:rPr>
        <w:t>Структура вложений кредитных организаций в ценные бумаги (млн. руб.)</w:t>
      </w:r>
    </w:p>
    <w:tbl>
      <w:tblPr>
        <w:tblW w:w="93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945"/>
        <w:gridCol w:w="900"/>
        <w:gridCol w:w="900"/>
        <w:gridCol w:w="1100"/>
        <w:gridCol w:w="1000"/>
        <w:gridCol w:w="800"/>
        <w:gridCol w:w="700"/>
        <w:gridCol w:w="1000"/>
        <w:gridCol w:w="700"/>
        <w:gridCol w:w="700"/>
      </w:tblGrid>
      <w:tr w:rsidR="00AD0BE8" w:rsidRPr="000452AF">
        <w:tc>
          <w:tcPr>
            <w:tcW w:w="555" w:type="dxa"/>
            <w:vMerge w:val="restart"/>
          </w:tcPr>
          <w:p w:rsidR="00AD0BE8" w:rsidRPr="000452AF" w:rsidRDefault="00AD0BE8" w:rsidP="00174CA2">
            <w:pPr>
              <w:spacing w:line="360" w:lineRule="auto"/>
              <w:jc w:val="both"/>
              <w:rPr>
                <w:rFonts w:ascii="Times New Roman" w:hAnsi="Times New Roman" w:cs="Times New Roman"/>
              </w:rPr>
            </w:pPr>
          </w:p>
        </w:tc>
        <w:tc>
          <w:tcPr>
            <w:tcW w:w="8745" w:type="dxa"/>
            <w:gridSpan w:val="10"/>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Вложения в долговые обязательства</w:t>
            </w:r>
          </w:p>
        </w:tc>
      </w:tr>
      <w:tr w:rsidR="00AD0BE8" w:rsidRPr="000452AF">
        <w:tc>
          <w:tcPr>
            <w:tcW w:w="555" w:type="dxa"/>
            <w:vMerge/>
          </w:tcPr>
          <w:p w:rsidR="00AD0BE8" w:rsidRPr="000452AF" w:rsidRDefault="00AD0BE8" w:rsidP="00174CA2">
            <w:pPr>
              <w:spacing w:line="360" w:lineRule="auto"/>
              <w:jc w:val="both"/>
              <w:rPr>
                <w:rFonts w:ascii="Times New Roman" w:hAnsi="Times New Roman" w:cs="Times New Roman"/>
              </w:rPr>
            </w:pPr>
          </w:p>
        </w:tc>
        <w:tc>
          <w:tcPr>
            <w:tcW w:w="945" w:type="dxa"/>
            <w:vMerge w:val="restart"/>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всего</w:t>
            </w:r>
          </w:p>
        </w:tc>
        <w:tc>
          <w:tcPr>
            <w:tcW w:w="7800" w:type="dxa"/>
            <w:gridSpan w:val="9"/>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в том числе:</w:t>
            </w:r>
          </w:p>
        </w:tc>
      </w:tr>
      <w:tr w:rsidR="00AD0BE8" w:rsidRPr="000452AF">
        <w:tc>
          <w:tcPr>
            <w:tcW w:w="555" w:type="dxa"/>
            <w:vMerge/>
          </w:tcPr>
          <w:p w:rsidR="00AD0BE8" w:rsidRPr="000452AF" w:rsidRDefault="00AD0BE8" w:rsidP="00174CA2">
            <w:pPr>
              <w:spacing w:line="360" w:lineRule="auto"/>
              <w:jc w:val="both"/>
              <w:rPr>
                <w:rFonts w:ascii="Times New Roman" w:hAnsi="Times New Roman" w:cs="Times New Roman"/>
              </w:rPr>
            </w:pPr>
          </w:p>
        </w:tc>
        <w:tc>
          <w:tcPr>
            <w:tcW w:w="945" w:type="dxa"/>
            <w:vMerge/>
          </w:tcPr>
          <w:p w:rsidR="00AD0BE8" w:rsidRPr="000452AF" w:rsidRDefault="00AD0BE8" w:rsidP="00174CA2">
            <w:pPr>
              <w:spacing w:line="360" w:lineRule="auto"/>
              <w:jc w:val="both"/>
              <w:rPr>
                <w:rFonts w:ascii="Times New Roman" w:hAnsi="Times New Roman" w:cs="Times New Roman"/>
              </w:rPr>
            </w:pPr>
          </w:p>
        </w:tc>
        <w:tc>
          <w:tcPr>
            <w:tcW w:w="7100" w:type="dxa"/>
            <w:gridSpan w:val="8"/>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вложения в долговые обязательства по балансовой стоимости (без учета переоценки) по видам долговых обязательств</w:t>
            </w:r>
          </w:p>
        </w:tc>
        <w:tc>
          <w:tcPr>
            <w:tcW w:w="700" w:type="dxa"/>
            <w:vMerge w:val="restart"/>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Переоценка долговых обязательств</w:t>
            </w:r>
          </w:p>
        </w:tc>
      </w:tr>
      <w:tr w:rsidR="00AD0BE8" w:rsidRPr="000452AF">
        <w:tc>
          <w:tcPr>
            <w:tcW w:w="555" w:type="dxa"/>
            <w:vMerge/>
          </w:tcPr>
          <w:p w:rsidR="00AD0BE8" w:rsidRPr="000452AF" w:rsidRDefault="00AD0BE8" w:rsidP="00174CA2">
            <w:pPr>
              <w:spacing w:line="360" w:lineRule="auto"/>
              <w:jc w:val="both"/>
              <w:rPr>
                <w:rFonts w:ascii="Times New Roman" w:hAnsi="Times New Roman" w:cs="Times New Roman"/>
              </w:rPr>
            </w:pPr>
          </w:p>
        </w:tc>
        <w:tc>
          <w:tcPr>
            <w:tcW w:w="945" w:type="dxa"/>
            <w:vMerge/>
          </w:tcPr>
          <w:p w:rsidR="00AD0BE8" w:rsidRPr="000452AF" w:rsidRDefault="00AD0BE8" w:rsidP="00174CA2">
            <w:pPr>
              <w:spacing w:line="360" w:lineRule="auto"/>
              <w:jc w:val="both"/>
              <w:rPr>
                <w:rFonts w:ascii="Times New Roman" w:hAnsi="Times New Roman" w:cs="Times New Roman"/>
              </w:rPr>
            </w:pP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обязательства Российской Федерации</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обязательства Банка России</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обязательства субъектов Российской Федерации и органов местного самоуправления</w:t>
            </w:r>
          </w:p>
        </w:tc>
        <w:tc>
          <w:tcPr>
            <w:tcW w:w="1000" w:type="dxa"/>
          </w:tcPr>
          <w:p w:rsidR="00AD0BE8" w:rsidRPr="000452AF" w:rsidRDefault="00AD0BE8" w:rsidP="000D5BC4">
            <w:pPr>
              <w:spacing w:line="360" w:lineRule="auto"/>
              <w:ind w:right="11"/>
              <w:jc w:val="both"/>
              <w:rPr>
                <w:rFonts w:ascii="Times New Roman" w:hAnsi="Times New Roman" w:cs="Times New Roman"/>
              </w:rPr>
            </w:pPr>
            <w:r w:rsidRPr="000452AF">
              <w:rPr>
                <w:rFonts w:ascii="Times New Roman" w:hAnsi="Times New Roman" w:cs="Times New Roman"/>
              </w:rPr>
              <w:t>долговые обязательства, выпущенные кредитными организациями – резидентами</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обязательства, выпущенные нерезидентами</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прочие долговые обязательства резидентов</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 переданные без прекращения признания</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долговые обязательства, не погашенные в срок</w:t>
            </w:r>
          </w:p>
        </w:tc>
        <w:tc>
          <w:tcPr>
            <w:tcW w:w="700" w:type="dxa"/>
            <w:vMerge/>
          </w:tcPr>
          <w:p w:rsidR="00AD0BE8" w:rsidRPr="000452AF" w:rsidRDefault="00AD0BE8" w:rsidP="00174CA2">
            <w:pPr>
              <w:spacing w:line="360" w:lineRule="auto"/>
              <w:jc w:val="both"/>
              <w:rPr>
                <w:rFonts w:ascii="Times New Roman" w:hAnsi="Times New Roman" w:cs="Times New Roman"/>
              </w:rPr>
            </w:pPr>
          </w:p>
        </w:tc>
      </w:tr>
      <w:tr w:rsidR="00AD0BE8" w:rsidRPr="000452AF">
        <w:tc>
          <w:tcPr>
            <w:tcW w:w="9300" w:type="dxa"/>
            <w:gridSpan w:val="11"/>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2008 год</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1.02</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1 674 749</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597 112</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101 839</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133 323</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139 462</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240 266</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416 644</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43 636</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28</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+ 2 439</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1.03</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1 722 260</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566 938</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22 462</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133 623</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153 199</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230 101</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393 034</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226 048</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25</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- 3 168</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1.04</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1 563 944</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447 911</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18 847</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133 993</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155 624</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214 049</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400 240</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197 703</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- 4 449</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1.05</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1 580 375</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485 830</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18 674</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134 815</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169 335</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226 647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386 312</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162 244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25</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- 3 506</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1.06</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1 582 651</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512 603</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19 797</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138 707</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173 471</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233 141</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384 789</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120 742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- 626</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1.07</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1 608 573</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520 874</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23 688</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153 041</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191 909</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229 842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381 444</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114 792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129</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- 7 147</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1.08</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1 664 342</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498 147</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40 644</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149 542</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189 233</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232 236</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400 467</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168 123</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- 14 076</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1.09</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1 649 219</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449 095</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37 947</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147 378</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182 924</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238 197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392 599</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232 977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113</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- 32 010</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1.10</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1 577 232</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477 902</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22 830</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142 321</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188 266</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227 137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376 378</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195 622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217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- 53 442</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1.11</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1 590 489</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426 635</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20 875</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142 748</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184 854</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246 462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394 722</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267 958</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473</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- 94 238</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1.12</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1 647 714</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413 526</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22 653</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146 832</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191 760</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293 935</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430 296</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255 725</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487</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- 107 499</w:t>
            </w:r>
          </w:p>
        </w:tc>
      </w:tr>
      <w:tr w:rsidR="00AD0BE8" w:rsidRPr="000452AF">
        <w:tc>
          <w:tcPr>
            <w:tcW w:w="9300" w:type="dxa"/>
            <w:gridSpan w:val="11"/>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2009 год</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1.01</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1 760 321</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258 147</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12 482</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139 597</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169 817</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347 041</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360 493</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591 251</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1 984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- 120 493</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1.02</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1 951 151</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264 185</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12 172</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137 850</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145 033</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447 108</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341 744</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725 942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3 024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- 125 907</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1.03</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1 983 859</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485 497</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12 081</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188 239</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221 738</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521 892</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365 237</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325 154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3 835</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- 139 814</w:t>
            </w:r>
          </w:p>
        </w:tc>
      </w:tr>
      <w:tr w:rsidR="00AD0BE8" w:rsidRPr="000452AF">
        <w:tc>
          <w:tcPr>
            <w:tcW w:w="55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1.04</w:t>
            </w:r>
          </w:p>
        </w:tc>
        <w:tc>
          <w:tcPr>
            <w:tcW w:w="945"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1 994 364</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517 372</w:t>
            </w:r>
            <w:r w:rsidR="001C7A69" w:rsidRPr="000452AF">
              <w:rPr>
                <w:rFonts w:ascii="Times New Roman" w:hAnsi="Times New Roman" w:cs="Times New Roman"/>
              </w:rPr>
              <w:t xml:space="preserve"> </w:t>
            </w:r>
          </w:p>
        </w:tc>
        <w:tc>
          <w:tcPr>
            <w:tcW w:w="9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12 443</w:t>
            </w:r>
          </w:p>
        </w:tc>
        <w:tc>
          <w:tcPr>
            <w:tcW w:w="11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194 560</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220 682</w:t>
            </w:r>
          </w:p>
        </w:tc>
        <w:tc>
          <w:tcPr>
            <w:tcW w:w="8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560 103</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365 700</w:t>
            </w:r>
          </w:p>
        </w:tc>
        <w:tc>
          <w:tcPr>
            <w:tcW w:w="10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235 204</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3 888</w:t>
            </w:r>
          </w:p>
        </w:tc>
        <w:tc>
          <w:tcPr>
            <w:tcW w:w="700" w:type="dxa"/>
          </w:tcPr>
          <w:p w:rsidR="00AD0BE8" w:rsidRPr="000452AF" w:rsidRDefault="00AD0BE8" w:rsidP="00174CA2">
            <w:pPr>
              <w:spacing w:line="360" w:lineRule="auto"/>
              <w:jc w:val="both"/>
              <w:rPr>
                <w:rFonts w:ascii="Times New Roman" w:hAnsi="Times New Roman" w:cs="Times New Roman"/>
              </w:rPr>
            </w:pPr>
            <w:r w:rsidRPr="000452AF">
              <w:rPr>
                <w:rFonts w:ascii="Times New Roman" w:hAnsi="Times New Roman" w:cs="Times New Roman"/>
              </w:rPr>
              <w:t>- 115 589</w:t>
            </w:r>
          </w:p>
        </w:tc>
      </w:tr>
    </w:tbl>
    <w:p w:rsidR="00B47D5D" w:rsidRPr="000452AF" w:rsidRDefault="00B47D5D" w:rsidP="000D5BC4">
      <w:pPr>
        <w:spacing w:line="360" w:lineRule="auto"/>
        <w:ind w:firstLine="709"/>
        <w:jc w:val="both"/>
        <w:rPr>
          <w:rFonts w:ascii="Times New Roman" w:hAnsi="Times New Roman" w:cs="Times New Roman"/>
          <w:highlight w:val="yellow"/>
        </w:rPr>
      </w:pPr>
      <w:bookmarkStart w:id="0" w:name="_GoBack"/>
      <w:bookmarkEnd w:id="0"/>
    </w:p>
    <w:sectPr w:rsidR="00B47D5D" w:rsidRPr="000452AF" w:rsidSect="00B06E8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89A" w:rsidRDefault="00C0289A" w:rsidP="00B92D65">
      <w:r>
        <w:separator/>
      </w:r>
    </w:p>
  </w:endnote>
  <w:endnote w:type="continuationSeparator" w:id="0">
    <w:p w:rsidR="00C0289A" w:rsidRDefault="00C0289A" w:rsidP="00B9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
    <w:altName w:val="Arial Unicode MS"/>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89A" w:rsidRDefault="00C0289A" w:rsidP="00B92D65">
      <w:r>
        <w:separator/>
      </w:r>
    </w:p>
  </w:footnote>
  <w:footnote w:type="continuationSeparator" w:id="0">
    <w:p w:rsidR="00C0289A" w:rsidRDefault="00C0289A" w:rsidP="00B92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9C279E6"/>
    <w:lvl w:ilvl="0">
      <w:start w:val="1"/>
      <w:numFmt w:val="decimal"/>
      <w:lvlText w:val="%1."/>
      <w:lvlJc w:val="left"/>
      <w:pPr>
        <w:tabs>
          <w:tab w:val="num" w:pos="1492"/>
        </w:tabs>
        <w:ind w:left="1492" w:hanging="360"/>
      </w:pPr>
    </w:lvl>
  </w:abstractNum>
  <w:abstractNum w:abstractNumId="1">
    <w:nsid w:val="FFFFFF7D"/>
    <w:multiLevelType w:val="singleLevel"/>
    <w:tmpl w:val="7974E3F8"/>
    <w:lvl w:ilvl="0">
      <w:start w:val="1"/>
      <w:numFmt w:val="decimal"/>
      <w:lvlText w:val="%1."/>
      <w:lvlJc w:val="left"/>
      <w:pPr>
        <w:tabs>
          <w:tab w:val="num" w:pos="1209"/>
        </w:tabs>
        <w:ind w:left="1209" w:hanging="360"/>
      </w:pPr>
    </w:lvl>
  </w:abstractNum>
  <w:abstractNum w:abstractNumId="2">
    <w:nsid w:val="FFFFFF7E"/>
    <w:multiLevelType w:val="singleLevel"/>
    <w:tmpl w:val="6F4C1DC8"/>
    <w:lvl w:ilvl="0">
      <w:start w:val="1"/>
      <w:numFmt w:val="decimal"/>
      <w:lvlText w:val="%1."/>
      <w:lvlJc w:val="left"/>
      <w:pPr>
        <w:tabs>
          <w:tab w:val="num" w:pos="926"/>
        </w:tabs>
        <w:ind w:left="926" w:hanging="360"/>
      </w:pPr>
    </w:lvl>
  </w:abstractNum>
  <w:abstractNum w:abstractNumId="3">
    <w:nsid w:val="FFFFFF7F"/>
    <w:multiLevelType w:val="singleLevel"/>
    <w:tmpl w:val="F7D0AA7C"/>
    <w:lvl w:ilvl="0">
      <w:start w:val="1"/>
      <w:numFmt w:val="decimal"/>
      <w:lvlText w:val="%1."/>
      <w:lvlJc w:val="left"/>
      <w:pPr>
        <w:tabs>
          <w:tab w:val="num" w:pos="643"/>
        </w:tabs>
        <w:ind w:left="643" w:hanging="360"/>
      </w:pPr>
    </w:lvl>
  </w:abstractNum>
  <w:abstractNum w:abstractNumId="4">
    <w:nsid w:val="FFFFFF80"/>
    <w:multiLevelType w:val="singleLevel"/>
    <w:tmpl w:val="CA06D3D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E7A355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A64E1E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A9A58F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CBCAF2E"/>
    <w:lvl w:ilvl="0">
      <w:start w:val="1"/>
      <w:numFmt w:val="decimal"/>
      <w:lvlText w:val="%1."/>
      <w:lvlJc w:val="left"/>
      <w:pPr>
        <w:tabs>
          <w:tab w:val="num" w:pos="360"/>
        </w:tabs>
        <w:ind w:left="360" w:hanging="360"/>
      </w:pPr>
    </w:lvl>
  </w:abstractNum>
  <w:abstractNum w:abstractNumId="9">
    <w:nsid w:val="FFFFFF89"/>
    <w:multiLevelType w:val="singleLevel"/>
    <w:tmpl w:val="F3584256"/>
    <w:lvl w:ilvl="0">
      <w:start w:val="1"/>
      <w:numFmt w:val="bullet"/>
      <w:lvlText w:val=""/>
      <w:lvlJc w:val="left"/>
      <w:pPr>
        <w:tabs>
          <w:tab w:val="num" w:pos="360"/>
        </w:tabs>
        <w:ind w:left="360" w:hanging="360"/>
      </w:pPr>
      <w:rPr>
        <w:rFonts w:ascii="Symbol" w:hAnsi="Symbol" w:cs="Symbol" w:hint="default"/>
      </w:rPr>
    </w:lvl>
  </w:abstractNum>
  <w:abstractNum w:abstractNumId="10">
    <w:nsid w:val="00000002"/>
    <w:multiLevelType w:val="singleLevel"/>
    <w:tmpl w:val="00000002"/>
    <w:name w:val="WW8Num5"/>
    <w:lvl w:ilvl="0">
      <w:start w:val="1"/>
      <w:numFmt w:val="decimal"/>
      <w:lvlText w:val="%1."/>
      <w:lvlJc w:val="left"/>
      <w:pPr>
        <w:ind w:left="720" w:hanging="360"/>
      </w:pPr>
    </w:lvl>
  </w:abstractNum>
  <w:abstractNum w:abstractNumId="11">
    <w:nsid w:val="04EA3037"/>
    <w:multiLevelType w:val="hybridMultilevel"/>
    <w:tmpl w:val="D39EF7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8210BC2"/>
    <w:multiLevelType w:val="hybridMultilevel"/>
    <w:tmpl w:val="93767E9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3">
    <w:nsid w:val="16D93E0B"/>
    <w:multiLevelType w:val="hybridMultilevel"/>
    <w:tmpl w:val="0D20C0C6"/>
    <w:lvl w:ilvl="0" w:tplc="43CC399E">
      <w:start w:val="1"/>
      <w:numFmt w:val="decimal"/>
      <w:lvlText w:val="2.%1"/>
      <w:lvlJc w:val="left"/>
      <w:pPr>
        <w:ind w:left="1080" w:hanging="360"/>
      </w:pPr>
      <w:rPr>
        <w:rFonts w:hint="default"/>
      </w:rPr>
    </w:lvl>
    <w:lvl w:ilvl="1" w:tplc="1BB8D79E">
      <w:numFmt w:val="bullet"/>
      <w:lvlText w:val="•"/>
      <w:lvlJc w:val="left"/>
      <w:pPr>
        <w:ind w:left="1800" w:hanging="360"/>
      </w:pPr>
      <w:rPr>
        <w:rFonts w:ascii="Times New Roman" w:eastAsia="Times New Roman" w:hAnsi="Times New Roman" w:hint="default"/>
      </w:r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3E2570C"/>
    <w:multiLevelType w:val="multilevel"/>
    <w:tmpl w:val="5DD05AA6"/>
    <w:lvl w:ilvl="0">
      <w:start w:val="1"/>
      <w:numFmt w:val="bullet"/>
      <w:lvlText w:val=""/>
      <w:lvlJc w:val="left"/>
      <w:pPr>
        <w:ind w:left="450" w:hanging="450"/>
      </w:pPr>
      <w:rPr>
        <w:rFonts w:ascii="Wingdings" w:hAnsi="Wingdings" w:cs="Wingdings" w:hint="default"/>
        <w:b/>
        <w:bCs/>
      </w:rPr>
    </w:lvl>
    <w:lvl w:ilvl="1">
      <w:start w:val="1"/>
      <w:numFmt w:val="decimal"/>
      <w:lvlText w:val="%1.%2."/>
      <w:lvlJc w:val="left"/>
      <w:pPr>
        <w:ind w:left="720" w:hanging="720"/>
      </w:pPr>
      <w:rPr>
        <w:rFonts w:ascii="Times New Roman" w:eastAsia="Times New Roman" w:hAnsi="Times New Roman" w:hint="default"/>
        <w:b/>
        <w:bCs/>
      </w:rPr>
    </w:lvl>
    <w:lvl w:ilvl="2">
      <w:start w:val="1"/>
      <w:numFmt w:val="decimal"/>
      <w:lvlText w:val="%1.%2.%3."/>
      <w:lvlJc w:val="left"/>
      <w:pPr>
        <w:ind w:left="720" w:hanging="720"/>
      </w:pPr>
      <w:rPr>
        <w:rFonts w:ascii="TimesNewRomanPS-BoldMT" w:eastAsia="Times New Roman" w:hAnsi="TimesNewRomanPS-BoldMT" w:hint="default"/>
        <w:b/>
        <w:bCs/>
      </w:rPr>
    </w:lvl>
    <w:lvl w:ilvl="3">
      <w:start w:val="1"/>
      <w:numFmt w:val="decimal"/>
      <w:lvlText w:val="%1.%2.%3.%4."/>
      <w:lvlJc w:val="left"/>
      <w:pPr>
        <w:ind w:left="1080" w:hanging="1080"/>
      </w:pPr>
      <w:rPr>
        <w:rFonts w:ascii="TimesNewRomanPS-BoldMT" w:eastAsia="Times New Roman" w:hAnsi="TimesNewRomanPS-BoldMT" w:hint="default"/>
        <w:b/>
        <w:bCs/>
      </w:rPr>
    </w:lvl>
    <w:lvl w:ilvl="4">
      <w:start w:val="1"/>
      <w:numFmt w:val="decimal"/>
      <w:lvlText w:val="%1.%2.%3.%4.%5."/>
      <w:lvlJc w:val="left"/>
      <w:pPr>
        <w:ind w:left="1080" w:hanging="1080"/>
      </w:pPr>
      <w:rPr>
        <w:rFonts w:ascii="TimesNewRomanPS-BoldMT" w:eastAsia="Times New Roman" w:hAnsi="TimesNewRomanPS-BoldMT" w:hint="default"/>
        <w:b/>
        <w:bCs/>
      </w:rPr>
    </w:lvl>
    <w:lvl w:ilvl="5">
      <w:start w:val="1"/>
      <w:numFmt w:val="decimal"/>
      <w:lvlText w:val="%1.%2.%3.%4.%5.%6."/>
      <w:lvlJc w:val="left"/>
      <w:pPr>
        <w:ind w:left="1440" w:hanging="1440"/>
      </w:pPr>
      <w:rPr>
        <w:rFonts w:ascii="TimesNewRomanPS-BoldMT" w:eastAsia="Times New Roman" w:hAnsi="TimesNewRomanPS-BoldMT" w:hint="default"/>
        <w:b/>
        <w:bCs/>
      </w:rPr>
    </w:lvl>
    <w:lvl w:ilvl="6">
      <w:start w:val="1"/>
      <w:numFmt w:val="decimal"/>
      <w:lvlText w:val="%1.%2.%3.%4.%5.%6.%7."/>
      <w:lvlJc w:val="left"/>
      <w:pPr>
        <w:ind w:left="1800" w:hanging="1800"/>
      </w:pPr>
      <w:rPr>
        <w:rFonts w:ascii="TimesNewRomanPS-BoldMT" w:eastAsia="Times New Roman" w:hAnsi="TimesNewRomanPS-BoldMT" w:hint="default"/>
        <w:b/>
        <w:bCs/>
      </w:rPr>
    </w:lvl>
    <w:lvl w:ilvl="7">
      <w:start w:val="1"/>
      <w:numFmt w:val="decimal"/>
      <w:lvlText w:val="%1.%2.%3.%4.%5.%6.%7.%8."/>
      <w:lvlJc w:val="left"/>
      <w:pPr>
        <w:ind w:left="1800" w:hanging="1800"/>
      </w:pPr>
      <w:rPr>
        <w:rFonts w:ascii="TimesNewRomanPS-BoldMT" w:eastAsia="Times New Roman" w:hAnsi="TimesNewRomanPS-BoldMT" w:hint="default"/>
        <w:b/>
        <w:bCs/>
      </w:rPr>
    </w:lvl>
    <w:lvl w:ilvl="8">
      <w:start w:val="1"/>
      <w:numFmt w:val="decimal"/>
      <w:lvlText w:val="%1.%2.%3.%4.%5.%6.%7.%8.%9."/>
      <w:lvlJc w:val="left"/>
      <w:pPr>
        <w:ind w:left="2160" w:hanging="2160"/>
      </w:pPr>
      <w:rPr>
        <w:rFonts w:ascii="TimesNewRomanPS-BoldMT" w:eastAsia="Times New Roman" w:hAnsi="TimesNewRomanPS-BoldMT" w:hint="default"/>
        <w:b/>
        <w:bCs/>
      </w:rPr>
    </w:lvl>
  </w:abstractNum>
  <w:abstractNum w:abstractNumId="15">
    <w:nsid w:val="27BB630C"/>
    <w:multiLevelType w:val="multilevel"/>
    <w:tmpl w:val="1D06EC08"/>
    <w:lvl w:ilvl="0">
      <w:start w:val="2"/>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2CF45326"/>
    <w:multiLevelType w:val="multilevel"/>
    <w:tmpl w:val="C0EE19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1FA043A"/>
    <w:multiLevelType w:val="multilevel"/>
    <w:tmpl w:val="C0EE199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7D76B91"/>
    <w:multiLevelType w:val="multilevel"/>
    <w:tmpl w:val="F15E3B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CC93D7F"/>
    <w:multiLevelType w:val="hybridMultilevel"/>
    <w:tmpl w:val="C9BCBC28"/>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7FF5353"/>
    <w:multiLevelType w:val="multilevel"/>
    <w:tmpl w:val="EE865150"/>
    <w:lvl w:ilvl="0">
      <w:start w:val="1"/>
      <w:numFmt w:val="decimal"/>
      <w:lvlText w:val="%1."/>
      <w:lvlJc w:val="left"/>
      <w:pPr>
        <w:ind w:left="450" w:hanging="450"/>
      </w:pPr>
      <w:rPr>
        <w:rFonts w:ascii="TimesNewRomanPS-BoldMT" w:eastAsia="Times New Roman" w:hAnsi="TimesNewRomanPS-BoldMT" w:hint="default"/>
        <w:b/>
        <w:bCs/>
      </w:rPr>
    </w:lvl>
    <w:lvl w:ilvl="1">
      <w:start w:val="1"/>
      <w:numFmt w:val="decimal"/>
      <w:lvlText w:val="%1.%2."/>
      <w:lvlJc w:val="left"/>
      <w:pPr>
        <w:ind w:left="1920" w:hanging="720"/>
      </w:pPr>
      <w:rPr>
        <w:rFonts w:ascii="Times New Roman" w:eastAsia="Times New Roman" w:hAnsi="Times New Roman" w:hint="default"/>
        <w:b/>
        <w:bCs/>
      </w:rPr>
    </w:lvl>
    <w:lvl w:ilvl="2">
      <w:start w:val="1"/>
      <w:numFmt w:val="decimal"/>
      <w:lvlText w:val="%1.%2.%3."/>
      <w:lvlJc w:val="left"/>
      <w:pPr>
        <w:ind w:left="720" w:hanging="720"/>
      </w:pPr>
      <w:rPr>
        <w:rFonts w:ascii="TimesNewRomanPS-BoldMT" w:eastAsia="Times New Roman" w:hAnsi="TimesNewRomanPS-BoldMT" w:hint="default"/>
        <w:b/>
        <w:bCs/>
      </w:rPr>
    </w:lvl>
    <w:lvl w:ilvl="3">
      <w:start w:val="1"/>
      <w:numFmt w:val="decimal"/>
      <w:lvlText w:val="%1.%2.%3.%4."/>
      <w:lvlJc w:val="left"/>
      <w:pPr>
        <w:ind w:left="1080" w:hanging="1080"/>
      </w:pPr>
      <w:rPr>
        <w:rFonts w:ascii="TimesNewRomanPS-BoldMT" w:eastAsia="Times New Roman" w:hAnsi="TimesNewRomanPS-BoldMT" w:hint="default"/>
        <w:b/>
        <w:bCs/>
      </w:rPr>
    </w:lvl>
    <w:lvl w:ilvl="4">
      <w:start w:val="1"/>
      <w:numFmt w:val="decimal"/>
      <w:lvlText w:val="%1.%2.%3.%4.%5."/>
      <w:lvlJc w:val="left"/>
      <w:pPr>
        <w:ind w:left="1080" w:hanging="1080"/>
      </w:pPr>
      <w:rPr>
        <w:rFonts w:ascii="TimesNewRomanPS-BoldMT" w:eastAsia="Times New Roman" w:hAnsi="TimesNewRomanPS-BoldMT" w:hint="default"/>
        <w:b/>
        <w:bCs/>
      </w:rPr>
    </w:lvl>
    <w:lvl w:ilvl="5">
      <w:start w:val="1"/>
      <w:numFmt w:val="decimal"/>
      <w:lvlText w:val="%1.%2.%3.%4.%5.%6."/>
      <w:lvlJc w:val="left"/>
      <w:pPr>
        <w:ind w:left="1440" w:hanging="1440"/>
      </w:pPr>
      <w:rPr>
        <w:rFonts w:ascii="TimesNewRomanPS-BoldMT" w:eastAsia="Times New Roman" w:hAnsi="TimesNewRomanPS-BoldMT" w:hint="default"/>
        <w:b/>
        <w:bCs/>
      </w:rPr>
    </w:lvl>
    <w:lvl w:ilvl="6">
      <w:start w:val="1"/>
      <w:numFmt w:val="decimal"/>
      <w:lvlText w:val="%1.%2.%3.%4.%5.%6.%7."/>
      <w:lvlJc w:val="left"/>
      <w:pPr>
        <w:ind w:left="1800" w:hanging="1800"/>
      </w:pPr>
      <w:rPr>
        <w:rFonts w:ascii="TimesNewRomanPS-BoldMT" w:eastAsia="Times New Roman" w:hAnsi="TimesNewRomanPS-BoldMT" w:hint="default"/>
        <w:b/>
        <w:bCs/>
      </w:rPr>
    </w:lvl>
    <w:lvl w:ilvl="7">
      <w:start w:val="1"/>
      <w:numFmt w:val="decimal"/>
      <w:lvlText w:val="%1.%2.%3.%4.%5.%6.%7.%8."/>
      <w:lvlJc w:val="left"/>
      <w:pPr>
        <w:ind w:left="1800" w:hanging="1800"/>
      </w:pPr>
      <w:rPr>
        <w:rFonts w:ascii="TimesNewRomanPS-BoldMT" w:eastAsia="Times New Roman" w:hAnsi="TimesNewRomanPS-BoldMT" w:hint="default"/>
        <w:b/>
        <w:bCs/>
      </w:rPr>
    </w:lvl>
    <w:lvl w:ilvl="8">
      <w:start w:val="1"/>
      <w:numFmt w:val="decimal"/>
      <w:lvlText w:val="%1.%2.%3.%4.%5.%6.%7.%8.%9."/>
      <w:lvlJc w:val="left"/>
      <w:pPr>
        <w:ind w:left="2160" w:hanging="2160"/>
      </w:pPr>
      <w:rPr>
        <w:rFonts w:ascii="TimesNewRomanPS-BoldMT" w:eastAsia="Times New Roman" w:hAnsi="TimesNewRomanPS-BoldMT" w:hint="default"/>
        <w:b/>
        <w:bCs/>
      </w:rPr>
    </w:lvl>
  </w:abstractNum>
  <w:abstractNum w:abstractNumId="21">
    <w:nsid w:val="4BA70451"/>
    <w:multiLevelType w:val="hybridMultilevel"/>
    <w:tmpl w:val="AAE23672"/>
    <w:lvl w:ilvl="0" w:tplc="DABAC5F4">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22">
    <w:nsid w:val="67A61E0D"/>
    <w:multiLevelType w:val="multilevel"/>
    <w:tmpl w:val="5DD05AA6"/>
    <w:lvl w:ilvl="0">
      <w:start w:val="1"/>
      <w:numFmt w:val="bullet"/>
      <w:lvlText w:val=""/>
      <w:lvlJc w:val="left"/>
      <w:pPr>
        <w:ind w:left="450" w:hanging="450"/>
      </w:pPr>
      <w:rPr>
        <w:rFonts w:ascii="Wingdings" w:hAnsi="Wingdings" w:cs="Wingdings" w:hint="default"/>
        <w:b/>
        <w:bCs/>
      </w:rPr>
    </w:lvl>
    <w:lvl w:ilvl="1">
      <w:start w:val="1"/>
      <w:numFmt w:val="decimal"/>
      <w:lvlText w:val="%1.%2."/>
      <w:lvlJc w:val="left"/>
      <w:pPr>
        <w:ind w:left="720" w:hanging="720"/>
      </w:pPr>
      <w:rPr>
        <w:rFonts w:ascii="Times New Roman" w:eastAsia="Times New Roman" w:hAnsi="Times New Roman" w:hint="default"/>
        <w:b/>
        <w:bCs/>
      </w:rPr>
    </w:lvl>
    <w:lvl w:ilvl="2">
      <w:start w:val="1"/>
      <w:numFmt w:val="decimal"/>
      <w:lvlText w:val="%1.%2.%3."/>
      <w:lvlJc w:val="left"/>
      <w:pPr>
        <w:ind w:left="720" w:hanging="720"/>
      </w:pPr>
      <w:rPr>
        <w:rFonts w:ascii="TimesNewRomanPS-BoldMT" w:eastAsia="Times New Roman" w:hAnsi="TimesNewRomanPS-BoldMT" w:hint="default"/>
        <w:b/>
        <w:bCs/>
      </w:rPr>
    </w:lvl>
    <w:lvl w:ilvl="3">
      <w:start w:val="1"/>
      <w:numFmt w:val="decimal"/>
      <w:lvlText w:val="%1.%2.%3.%4."/>
      <w:lvlJc w:val="left"/>
      <w:pPr>
        <w:ind w:left="1080" w:hanging="1080"/>
      </w:pPr>
      <w:rPr>
        <w:rFonts w:ascii="TimesNewRomanPS-BoldMT" w:eastAsia="Times New Roman" w:hAnsi="TimesNewRomanPS-BoldMT" w:hint="default"/>
        <w:b/>
        <w:bCs/>
      </w:rPr>
    </w:lvl>
    <w:lvl w:ilvl="4">
      <w:start w:val="1"/>
      <w:numFmt w:val="decimal"/>
      <w:lvlText w:val="%1.%2.%3.%4.%5."/>
      <w:lvlJc w:val="left"/>
      <w:pPr>
        <w:ind w:left="1080" w:hanging="1080"/>
      </w:pPr>
      <w:rPr>
        <w:rFonts w:ascii="TimesNewRomanPS-BoldMT" w:eastAsia="Times New Roman" w:hAnsi="TimesNewRomanPS-BoldMT" w:hint="default"/>
        <w:b/>
        <w:bCs/>
      </w:rPr>
    </w:lvl>
    <w:lvl w:ilvl="5">
      <w:start w:val="1"/>
      <w:numFmt w:val="decimal"/>
      <w:lvlText w:val="%1.%2.%3.%4.%5.%6."/>
      <w:lvlJc w:val="left"/>
      <w:pPr>
        <w:ind w:left="1440" w:hanging="1440"/>
      </w:pPr>
      <w:rPr>
        <w:rFonts w:ascii="TimesNewRomanPS-BoldMT" w:eastAsia="Times New Roman" w:hAnsi="TimesNewRomanPS-BoldMT" w:hint="default"/>
        <w:b/>
        <w:bCs/>
      </w:rPr>
    </w:lvl>
    <w:lvl w:ilvl="6">
      <w:start w:val="1"/>
      <w:numFmt w:val="decimal"/>
      <w:lvlText w:val="%1.%2.%3.%4.%5.%6.%7."/>
      <w:lvlJc w:val="left"/>
      <w:pPr>
        <w:ind w:left="1800" w:hanging="1800"/>
      </w:pPr>
      <w:rPr>
        <w:rFonts w:ascii="TimesNewRomanPS-BoldMT" w:eastAsia="Times New Roman" w:hAnsi="TimesNewRomanPS-BoldMT" w:hint="default"/>
        <w:b/>
        <w:bCs/>
      </w:rPr>
    </w:lvl>
    <w:lvl w:ilvl="7">
      <w:start w:val="1"/>
      <w:numFmt w:val="decimal"/>
      <w:lvlText w:val="%1.%2.%3.%4.%5.%6.%7.%8."/>
      <w:lvlJc w:val="left"/>
      <w:pPr>
        <w:ind w:left="1800" w:hanging="1800"/>
      </w:pPr>
      <w:rPr>
        <w:rFonts w:ascii="TimesNewRomanPS-BoldMT" w:eastAsia="Times New Roman" w:hAnsi="TimesNewRomanPS-BoldMT" w:hint="default"/>
        <w:b/>
        <w:bCs/>
      </w:rPr>
    </w:lvl>
    <w:lvl w:ilvl="8">
      <w:start w:val="1"/>
      <w:numFmt w:val="decimal"/>
      <w:lvlText w:val="%1.%2.%3.%4.%5.%6.%7.%8.%9."/>
      <w:lvlJc w:val="left"/>
      <w:pPr>
        <w:ind w:left="2160" w:hanging="2160"/>
      </w:pPr>
      <w:rPr>
        <w:rFonts w:ascii="TimesNewRomanPS-BoldMT" w:eastAsia="Times New Roman" w:hAnsi="TimesNewRomanPS-BoldMT" w:hint="default"/>
        <w:b/>
        <w:bCs/>
      </w:rPr>
    </w:lvl>
  </w:abstractNum>
  <w:abstractNum w:abstractNumId="23">
    <w:nsid w:val="6F8634AA"/>
    <w:multiLevelType w:val="hybridMultilevel"/>
    <w:tmpl w:val="4DCE5BDE"/>
    <w:lvl w:ilvl="0" w:tplc="329C0AAE">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4">
    <w:nsid w:val="70122A2B"/>
    <w:multiLevelType w:val="multilevel"/>
    <w:tmpl w:val="18862A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72E7BC5"/>
    <w:multiLevelType w:val="multilevel"/>
    <w:tmpl w:val="18862A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7C67460F"/>
    <w:multiLevelType w:val="multilevel"/>
    <w:tmpl w:val="5DD05AA6"/>
    <w:lvl w:ilvl="0">
      <w:start w:val="1"/>
      <w:numFmt w:val="bullet"/>
      <w:lvlText w:val=""/>
      <w:lvlJc w:val="left"/>
      <w:pPr>
        <w:ind w:left="450" w:hanging="450"/>
      </w:pPr>
      <w:rPr>
        <w:rFonts w:ascii="Wingdings" w:hAnsi="Wingdings" w:cs="Wingdings" w:hint="default"/>
        <w:b/>
        <w:bCs/>
      </w:rPr>
    </w:lvl>
    <w:lvl w:ilvl="1">
      <w:start w:val="1"/>
      <w:numFmt w:val="decimal"/>
      <w:lvlText w:val="%1.%2."/>
      <w:lvlJc w:val="left"/>
      <w:pPr>
        <w:ind w:left="720" w:hanging="720"/>
      </w:pPr>
      <w:rPr>
        <w:rFonts w:ascii="Times New Roman" w:eastAsia="Times New Roman" w:hAnsi="Times New Roman" w:hint="default"/>
        <w:b/>
        <w:bCs/>
      </w:rPr>
    </w:lvl>
    <w:lvl w:ilvl="2">
      <w:start w:val="1"/>
      <w:numFmt w:val="decimal"/>
      <w:lvlText w:val="%1.%2.%3."/>
      <w:lvlJc w:val="left"/>
      <w:pPr>
        <w:ind w:left="720" w:hanging="720"/>
      </w:pPr>
      <w:rPr>
        <w:rFonts w:ascii="TimesNewRomanPS-BoldMT" w:eastAsia="Times New Roman" w:hAnsi="TimesNewRomanPS-BoldMT" w:hint="default"/>
        <w:b/>
        <w:bCs/>
      </w:rPr>
    </w:lvl>
    <w:lvl w:ilvl="3">
      <w:start w:val="1"/>
      <w:numFmt w:val="decimal"/>
      <w:lvlText w:val="%1.%2.%3.%4."/>
      <w:lvlJc w:val="left"/>
      <w:pPr>
        <w:ind w:left="1080" w:hanging="1080"/>
      </w:pPr>
      <w:rPr>
        <w:rFonts w:ascii="TimesNewRomanPS-BoldMT" w:eastAsia="Times New Roman" w:hAnsi="TimesNewRomanPS-BoldMT" w:hint="default"/>
        <w:b/>
        <w:bCs/>
      </w:rPr>
    </w:lvl>
    <w:lvl w:ilvl="4">
      <w:start w:val="1"/>
      <w:numFmt w:val="decimal"/>
      <w:lvlText w:val="%1.%2.%3.%4.%5."/>
      <w:lvlJc w:val="left"/>
      <w:pPr>
        <w:ind w:left="1080" w:hanging="1080"/>
      </w:pPr>
      <w:rPr>
        <w:rFonts w:ascii="TimesNewRomanPS-BoldMT" w:eastAsia="Times New Roman" w:hAnsi="TimesNewRomanPS-BoldMT" w:hint="default"/>
        <w:b/>
        <w:bCs/>
      </w:rPr>
    </w:lvl>
    <w:lvl w:ilvl="5">
      <w:start w:val="1"/>
      <w:numFmt w:val="decimal"/>
      <w:lvlText w:val="%1.%2.%3.%4.%5.%6."/>
      <w:lvlJc w:val="left"/>
      <w:pPr>
        <w:ind w:left="1440" w:hanging="1440"/>
      </w:pPr>
      <w:rPr>
        <w:rFonts w:ascii="TimesNewRomanPS-BoldMT" w:eastAsia="Times New Roman" w:hAnsi="TimesNewRomanPS-BoldMT" w:hint="default"/>
        <w:b/>
        <w:bCs/>
      </w:rPr>
    </w:lvl>
    <w:lvl w:ilvl="6">
      <w:start w:val="1"/>
      <w:numFmt w:val="decimal"/>
      <w:lvlText w:val="%1.%2.%3.%4.%5.%6.%7."/>
      <w:lvlJc w:val="left"/>
      <w:pPr>
        <w:ind w:left="1800" w:hanging="1800"/>
      </w:pPr>
      <w:rPr>
        <w:rFonts w:ascii="TimesNewRomanPS-BoldMT" w:eastAsia="Times New Roman" w:hAnsi="TimesNewRomanPS-BoldMT" w:hint="default"/>
        <w:b/>
        <w:bCs/>
      </w:rPr>
    </w:lvl>
    <w:lvl w:ilvl="7">
      <w:start w:val="1"/>
      <w:numFmt w:val="decimal"/>
      <w:lvlText w:val="%1.%2.%3.%4.%5.%6.%7.%8."/>
      <w:lvlJc w:val="left"/>
      <w:pPr>
        <w:ind w:left="1800" w:hanging="1800"/>
      </w:pPr>
      <w:rPr>
        <w:rFonts w:ascii="TimesNewRomanPS-BoldMT" w:eastAsia="Times New Roman" w:hAnsi="TimesNewRomanPS-BoldMT" w:hint="default"/>
        <w:b/>
        <w:bCs/>
      </w:rPr>
    </w:lvl>
    <w:lvl w:ilvl="8">
      <w:start w:val="1"/>
      <w:numFmt w:val="decimal"/>
      <w:lvlText w:val="%1.%2.%3.%4.%5.%6.%7.%8.%9."/>
      <w:lvlJc w:val="left"/>
      <w:pPr>
        <w:ind w:left="2160" w:hanging="2160"/>
      </w:pPr>
      <w:rPr>
        <w:rFonts w:ascii="TimesNewRomanPS-BoldMT" w:eastAsia="Times New Roman" w:hAnsi="TimesNewRomanPS-BoldMT" w:hint="default"/>
        <w:b/>
        <w:bCs/>
      </w:rPr>
    </w:lvl>
  </w:abstractNum>
  <w:num w:numId="1">
    <w:abstractNumId w:val="24"/>
  </w:num>
  <w:num w:numId="2">
    <w:abstractNumId w:val="13"/>
  </w:num>
  <w:num w:numId="3">
    <w:abstractNumId w:val="18"/>
  </w:num>
  <w:num w:numId="4">
    <w:abstractNumId w:val="16"/>
  </w:num>
  <w:num w:numId="5">
    <w:abstractNumId w:val="19"/>
  </w:num>
  <w:num w:numId="6">
    <w:abstractNumId w:val="17"/>
  </w:num>
  <w:num w:numId="7">
    <w:abstractNumId w:val="15"/>
  </w:num>
  <w:num w:numId="8">
    <w:abstractNumId w:val="21"/>
  </w:num>
  <w:num w:numId="9">
    <w:abstractNumId w:val="20"/>
  </w:num>
  <w:num w:numId="10">
    <w:abstractNumId w:val="23"/>
  </w:num>
  <w:num w:numId="11">
    <w:abstractNumId w:val="14"/>
  </w:num>
  <w:num w:numId="12">
    <w:abstractNumId w:val="22"/>
  </w:num>
  <w:num w:numId="13">
    <w:abstractNumId w:val="12"/>
  </w:num>
  <w:num w:numId="14">
    <w:abstractNumId w:val="26"/>
  </w:num>
  <w:num w:numId="15">
    <w:abstractNumId w:val="11"/>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8C9"/>
    <w:rsid w:val="00006EC6"/>
    <w:rsid w:val="00024FA9"/>
    <w:rsid w:val="00032CAA"/>
    <w:rsid w:val="000452AF"/>
    <w:rsid w:val="000454E2"/>
    <w:rsid w:val="00056EF8"/>
    <w:rsid w:val="00061551"/>
    <w:rsid w:val="00064EBE"/>
    <w:rsid w:val="00071C20"/>
    <w:rsid w:val="00086F27"/>
    <w:rsid w:val="000B430F"/>
    <w:rsid w:val="000B5551"/>
    <w:rsid w:val="000C357D"/>
    <w:rsid w:val="000C6056"/>
    <w:rsid w:val="000C7EA3"/>
    <w:rsid w:val="000D01B5"/>
    <w:rsid w:val="000D5BC4"/>
    <w:rsid w:val="0010296B"/>
    <w:rsid w:val="00104C42"/>
    <w:rsid w:val="00145AC1"/>
    <w:rsid w:val="00146C0C"/>
    <w:rsid w:val="0017098D"/>
    <w:rsid w:val="0017493D"/>
    <w:rsid w:val="00174CA2"/>
    <w:rsid w:val="001943D9"/>
    <w:rsid w:val="001B2953"/>
    <w:rsid w:val="001B2B18"/>
    <w:rsid w:val="001C7A69"/>
    <w:rsid w:val="002107ED"/>
    <w:rsid w:val="00210D9F"/>
    <w:rsid w:val="00222099"/>
    <w:rsid w:val="00235821"/>
    <w:rsid w:val="00236228"/>
    <w:rsid w:val="002578C9"/>
    <w:rsid w:val="00274318"/>
    <w:rsid w:val="00286343"/>
    <w:rsid w:val="002A7058"/>
    <w:rsid w:val="002B7846"/>
    <w:rsid w:val="002D02C4"/>
    <w:rsid w:val="002D1B95"/>
    <w:rsid w:val="002E1414"/>
    <w:rsid w:val="002F0A06"/>
    <w:rsid w:val="002F1052"/>
    <w:rsid w:val="00302129"/>
    <w:rsid w:val="00314FD7"/>
    <w:rsid w:val="0031775C"/>
    <w:rsid w:val="00341A1F"/>
    <w:rsid w:val="00343FCD"/>
    <w:rsid w:val="003702AE"/>
    <w:rsid w:val="00373F64"/>
    <w:rsid w:val="0037626A"/>
    <w:rsid w:val="00381DE1"/>
    <w:rsid w:val="00386722"/>
    <w:rsid w:val="003A7AF1"/>
    <w:rsid w:val="003B374A"/>
    <w:rsid w:val="003C366D"/>
    <w:rsid w:val="003F2A80"/>
    <w:rsid w:val="003F707B"/>
    <w:rsid w:val="0040601C"/>
    <w:rsid w:val="00406A84"/>
    <w:rsid w:val="00410C4D"/>
    <w:rsid w:val="00416F67"/>
    <w:rsid w:val="004208ED"/>
    <w:rsid w:val="00433ACC"/>
    <w:rsid w:val="00465C9F"/>
    <w:rsid w:val="00470BA8"/>
    <w:rsid w:val="00483584"/>
    <w:rsid w:val="004C5293"/>
    <w:rsid w:val="004D7DBD"/>
    <w:rsid w:val="004E28A4"/>
    <w:rsid w:val="004F0381"/>
    <w:rsid w:val="00512864"/>
    <w:rsid w:val="0053602C"/>
    <w:rsid w:val="00565B7A"/>
    <w:rsid w:val="0056686C"/>
    <w:rsid w:val="0059667B"/>
    <w:rsid w:val="00596748"/>
    <w:rsid w:val="005A3AA2"/>
    <w:rsid w:val="005A6F5F"/>
    <w:rsid w:val="005E0ADC"/>
    <w:rsid w:val="005E4535"/>
    <w:rsid w:val="005E4748"/>
    <w:rsid w:val="005F4304"/>
    <w:rsid w:val="00601D1E"/>
    <w:rsid w:val="0061203B"/>
    <w:rsid w:val="00612964"/>
    <w:rsid w:val="00623BD2"/>
    <w:rsid w:val="00634547"/>
    <w:rsid w:val="00646B5C"/>
    <w:rsid w:val="00654EA0"/>
    <w:rsid w:val="00657E04"/>
    <w:rsid w:val="006950AE"/>
    <w:rsid w:val="0069614D"/>
    <w:rsid w:val="006A7E36"/>
    <w:rsid w:val="006C1B29"/>
    <w:rsid w:val="006E076F"/>
    <w:rsid w:val="007221CC"/>
    <w:rsid w:val="007320F8"/>
    <w:rsid w:val="007416B9"/>
    <w:rsid w:val="007650B6"/>
    <w:rsid w:val="00772898"/>
    <w:rsid w:val="00783E52"/>
    <w:rsid w:val="00794F18"/>
    <w:rsid w:val="007B7A88"/>
    <w:rsid w:val="007C14A7"/>
    <w:rsid w:val="007C3469"/>
    <w:rsid w:val="007D13B0"/>
    <w:rsid w:val="007D1998"/>
    <w:rsid w:val="007D6ACE"/>
    <w:rsid w:val="00812C1E"/>
    <w:rsid w:val="00827691"/>
    <w:rsid w:val="00847EC9"/>
    <w:rsid w:val="00854A86"/>
    <w:rsid w:val="008617E7"/>
    <w:rsid w:val="00863438"/>
    <w:rsid w:val="008702FF"/>
    <w:rsid w:val="0087591D"/>
    <w:rsid w:val="008A45AC"/>
    <w:rsid w:val="008D5A7C"/>
    <w:rsid w:val="008F21ED"/>
    <w:rsid w:val="009044B8"/>
    <w:rsid w:val="0094223C"/>
    <w:rsid w:val="0095071F"/>
    <w:rsid w:val="00952BE1"/>
    <w:rsid w:val="0095304A"/>
    <w:rsid w:val="0095418D"/>
    <w:rsid w:val="00955F81"/>
    <w:rsid w:val="00970EE4"/>
    <w:rsid w:val="00974622"/>
    <w:rsid w:val="009A0BD3"/>
    <w:rsid w:val="009A404B"/>
    <w:rsid w:val="009B2C7F"/>
    <w:rsid w:val="009B47FE"/>
    <w:rsid w:val="009D1179"/>
    <w:rsid w:val="009D4226"/>
    <w:rsid w:val="009D6FFB"/>
    <w:rsid w:val="00A30DA4"/>
    <w:rsid w:val="00A312DF"/>
    <w:rsid w:val="00A34481"/>
    <w:rsid w:val="00A44B64"/>
    <w:rsid w:val="00A50112"/>
    <w:rsid w:val="00A525E3"/>
    <w:rsid w:val="00A90DE5"/>
    <w:rsid w:val="00A95963"/>
    <w:rsid w:val="00A97FE3"/>
    <w:rsid w:val="00AB1B1A"/>
    <w:rsid w:val="00AD0BE8"/>
    <w:rsid w:val="00AD1110"/>
    <w:rsid w:val="00AD18EC"/>
    <w:rsid w:val="00AD3354"/>
    <w:rsid w:val="00AD5531"/>
    <w:rsid w:val="00AE6600"/>
    <w:rsid w:val="00B06313"/>
    <w:rsid w:val="00B06E8A"/>
    <w:rsid w:val="00B32D88"/>
    <w:rsid w:val="00B47D5D"/>
    <w:rsid w:val="00B741D6"/>
    <w:rsid w:val="00B747DE"/>
    <w:rsid w:val="00B92D65"/>
    <w:rsid w:val="00BD36C2"/>
    <w:rsid w:val="00BD3A2D"/>
    <w:rsid w:val="00BE1F9A"/>
    <w:rsid w:val="00C0289A"/>
    <w:rsid w:val="00C038D0"/>
    <w:rsid w:val="00C04D0D"/>
    <w:rsid w:val="00C123B2"/>
    <w:rsid w:val="00C12D44"/>
    <w:rsid w:val="00C221AB"/>
    <w:rsid w:val="00C53F39"/>
    <w:rsid w:val="00C660A4"/>
    <w:rsid w:val="00C81BED"/>
    <w:rsid w:val="00C83F31"/>
    <w:rsid w:val="00CB1417"/>
    <w:rsid w:val="00CB230D"/>
    <w:rsid w:val="00CB7AF7"/>
    <w:rsid w:val="00CF4B05"/>
    <w:rsid w:val="00D00C68"/>
    <w:rsid w:val="00D07DC5"/>
    <w:rsid w:val="00D10BB2"/>
    <w:rsid w:val="00D12D69"/>
    <w:rsid w:val="00D21351"/>
    <w:rsid w:val="00D52AA3"/>
    <w:rsid w:val="00D57FB5"/>
    <w:rsid w:val="00D7163B"/>
    <w:rsid w:val="00D7172D"/>
    <w:rsid w:val="00D737C4"/>
    <w:rsid w:val="00DA7957"/>
    <w:rsid w:val="00DB5ACB"/>
    <w:rsid w:val="00DC072F"/>
    <w:rsid w:val="00E039C7"/>
    <w:rsid w:val="00E41B01"/>
    <w:rsid w:val="00E864CA"/>
    <w:rsid w:val="00EB3D7D"/>
    <w:rsid w:val="00ED549F"/>
    <w:rsid w:val="00EE183B"/>
    <w:rsid w:val="00EE67BE"/>
    <w:rsid w:val="00EF41FB"/>
    <w:rsid w:val="00EF61BA"/>
    <w:rsid w:val="00F30C74"/>
    <w:rsid w:val="00F33159"/>
    <w:rsid w:val="00F44220"/>
    <w:rsid w:val="00F73686"/>
    <w:rsid w:val="00F90146"/>
    <w:rsid w:val="00FB0125"/>
    <w:rsid w:val="00FC0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20CE14-07CF-4326-A3AC-648D5906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8C9"/>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9"/>
    <w:qFormat/>
    <w:rsid w:val="00071C20"/>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5E0ADC"/>
    <w:pPr>
      <w:keepNext/>
      <w:widowControl/>
      <w:autoSpaceDE/>
      <w:autoSpaceDN/>
      <w:adjustRightInd/>
      <w:spacing w:before="60"/>
      <w:ind w:firstLine="90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0">
    <w:name w:val="Pa10"/>
    <w:basedOn w:val="a"/>
    <w:next w:val="a"/>
    <w:uiPriority w:val="99"/>
    <w:rsid w:val="00955F81"/>
    <w:pPr>
      <w:widowControl/>
      <w:autoSpaceDE/>
      <w:autoSpaceDN/>
      <w:spacing w:line="221" w:lineRule="atLeast"/>
    </w:pPr>
    <w:rPr>
      <w:rFonts w:ascii="FreeSetC" w:hAnsi="FreeSetC" w:cs="FreeSetC"/>
      <w:sz w:val="24"/>
      <w:szCs w:val="24"/>
      <w:lang w:val="en-US" w:eastAsia="en-US"/>
    </w:rPr>
  </w:style>
  <w:style w:type="paragraph" w:styleId="a3">
    <w:name w:val="footnote text"/>
    <w:basedOn w:val="a"/>
    <w:link w:val="a4"/>
    <w:uiPriority w:val="99"/>
    <w:semiHidden/>
    <w:rsid w:val="005E0ADC"/>
    <w:pPr>
      <w:widowControl/>
      <w:autoSpaceDE/>
      <w:autoSpaceDN/>
      <w:adjustRightInd/>
    </w:pPr>
  </w:style>
  <w:style w:type="paragraph" w:styleId="a5">
    <w:name w:val="Body Text Indent"/>
    <w:basedOn w:val="a"/>
    <w:link w:val="a6"/>
    <w:uiPriority w:val="99"/>
    <w:rsid w:val="002578C9"/>
    <w:pPr>
      <w:widowControl/>
      <w:autoSpaceDE/>
      <w:autoSpaceDN/>
      <w:adjustRightInd/>
      <w:ind w:firstLine="567"/>
      <w:jc w:val="both"/>
    </w:pPr>
    <w:rPr>
      <w:sz w:val="28"/>
      <w:szCs w:val="28"/>
    </w:rPr>
  </w:style>
  <w:style w:type="paragraph" w:styleId="3">
    <w:name w:val="Body Text 3"/>
    <w:basedOn w:val="a"/>
    <w:link w:val="30"/>
    <w:uiPriority w:val="99"/>
    <w:semiHidden/>
    <w:rsid w:val="00B92D65"/>
    <w:pPr>
      <w:spacing w:after="120"/>
    </w:pPr>
    <w:rPr>
      <w:sz w:val="16"/>
      <w:szCs w:val="16"/>
    </w:rPr>
  </w:style>
  <w:style w:type="character" w:customStyle="1" w:styleId="a6">
    <w:name w:val="Основний текст з відступом Знак"/>
    <w:link w:val="a5"/>
    <w:uiPriority w:val="99"/>
    <w:locked/>
    <w:rsid w:val="002578C9"/>
    <w:rPr>
      <w:rFonts w:ascii="Times New Roman" w:eastAsia="Times New Roman" w:hAnsi="Times New Roman" w:cs="Times New Roman"/>
      <w:sz w:val="20"/>
      <w:szCs w:val="20"/>
      <w:lang w:val="x-none" w:eastAsia="ru-RU"/>
    </w:rPr>
  </w:style>
  <w:style w:type="character" w:styleId="a7">
    <w:name w:val="footnote reference"/>
    <w:uiPriority w:val="99"/>
    <w:semiHidden/>
    <w:rsid w:val="00B92D65"/>
    <w:rPr>
      <w:vertAlign w:val="superscript"/>
    </w:rPr>
  </w:style>
  <w:style w:type="character" w:customStyle="1" w:styleId="30">
    <w:name w:val="Основний текст 3 Знак"/>
    <w:link w:val="3"/>
    <w:uiPriority w:val="99"/>
    <w:semiHidden/>
    <w:locked/>
    <w:rsid w:val="00B92D65"/>
    <w:rPr>
      <w:rFonts w:ascii="Arial" w:eastAsia="Times New Roman" w:hAnsi="Arial" w:cs="Arial"/>
      <w:sz w:val="16"/>
      <w:szCs w:val="16"/>
      <w:lang w:val="x-none" w:eastAsia="ru-RU"/>
    </w:rPr>
  </w:style>
  <w:style w:type="paragraph" w:styleId="a8">
    <w:name w:val="List Paragraph"/>
    <w:basedOn w:val="a"/>
    <w:uiPriority w:val="99"/>
    <w:qFormat/>
    <w:rsid w:val="005A6F5F"/>
    <w:pPr>
      <w:ind w:left="720"/>
    </w:pPr>
  </w:style>
  <w:style w:type="paragraph" w:styleId="a9">
    <w:name w:val="header"/>
    <w:basedOn w:val="a"/>
    <w:link w:val="aa"/>
    <w:uiPriority w:val="99"/>
    <w:rsid w:val="00286343"/>
    <w:pPr>
      <w:tabs>
        <w:tab w:val="center" w:pos="4677"/>
        <w:tab w:val="right" w:pos="9355"/>
      </w:tabs>
    </w:pPr>
  </w:style>
  <w:style w:type="paragraph" w:styleId="ab">
    <w:name w:val="footer"/>
    <w:basedOn w:val="a"/>
    <w:link w:val="ac"/>
    <w:uiPriority w:val="99"/>
    <w:rsid w:val="00286343"/>
    <w:pPr>
      <w:tabs>
        <w:tab w:val="center" w:pos="4677"/>
        <w:tab w:val="right" w:pos="9355"/>
      </w:tabs>
    </w:pPr>
  </w:style>
  <w:style w:type="character" w:customStyle="1" w:styleId="aa">
    <w:name w:val="Верхній колонтитул Знак"/>
    <w:link w:val="a9"/>
    <w:uiPriority w:val="99"/>
    <w:semiHidden/>
    <w:locked/>
    <w:rsid w:val="00286343"/>
    <w:rPr>
      <w:rFonts w:ascii="Arial" w:eastAsia="Times New Roman" w:hAnsi="Arial" w:cs="Arial"/>
      <w:sz w:val="20"/>
      <w:szCs w:val="20"/>
      <w:lang w:val="x-none" w:eastAsia="ru-RU"/>
    </w:rPr>
  </w:style>
  <w:style w:type="paragraph" w:styleId="ad">
    <w:name w:val="Body Text"/>
    <w:basedOn w:val="a"/>
    <w:link w:val="ae"/>
    <w:uiPriority w:val="99"/>
    <w:semiHidden/>
    <w:rsid w:val="002A7058"/>
    <w:pPr>
      <w:spacing w:after="120"/>
    </w:pPr>
  </w:style>
  <w:style w:type="character" w:customStyle="1" w:styleId="ac">
    <w:name w:val="Нижній колонтитул Знак"/>
    <w:link w:val="ab"/>
    <w:uiPriority w:val="99"/>
    <w:locked/>
    <w:rsid w:val="00286343"/>
    <w:rPr>
      <w:rFonts w:ascii="Arial" w:eastAsia="Times New Roman" w:hAnsi="Arial" w:cs="Arial"/>
      <w:sz w:val="20"/>
      <w:szCs w:val="20"/>
      <w:lang w:val="x-none" w:eastAsia="ru-RU"/>
    </w:rPr>
  </w:style>
  <w:style w:type="paragraph" w:styleId="af">
    <w:name w:val="No Spacing"/>
    <w:uiPriority w:val="99"/>
    <w:qFormat/>
    <w:rsid w:val="00EF61BA"/>
    <w:pPr>
      <w:widowControl w:val="0"/>
      <w:autoSpaceDE w:val="0"/>
      <w:autoSpaceDN w:val="0"/>
      <w:adjustRightInd w:val="0"/>
    </w:pPr>
    <w:rPr>
      <w:rFonts w:ascii="Arial" w:eastAsia="Times New Roman" w:hAnsi="Arial" w:cs="Arial"/>
    </w:rPr>
  </w:style>
  <w:style w:type="character" w:customStyle="1" w:styleId="ae">
    <w:name w:val="Основний текст Знак"/>
    <w:link w:val="ad"/>
    <w:uiPriority w:val="99"/>
    <w:semiHidden/>
    <w:locked/>
    <w:rsid w:val="002A7058"/>
    <w:rPr>
      <w:rFonts w:ascii="Arial" w:eastAsia="Times New Roman" w:hAnsi="Arial" w:cs="Arial"/>
      <w:sz w:val="20"/>
      <w:szCs w:val="20"/>
      <w:lang w:val="x-none" w:eastAsia="ru-RU"/>
    </w:rPr>
  </w:style>
  <w:style w:type="character" w:customStyle="1" w:styleId="20">
    <w:name w:val="Заголовок 2 Знак"/>
    <w:link w:val="2"/>
    <w:uiPriority w:val="99"/>
    <w:semiHidden/>
    <w:locked/>
    <w:rsid w:val="005E0ADC"/>
    <w:rPr>
      <w:rFonts w:ascii="Times New Roman" w:eastAsia="Times New Roman" w:hAnsi="Times New Roman" w:cs="Times New Roman"/>
      <w:sz w:val="24"/>
      <w:szCs w:val="24"/>
      <w:lang w:val="x-none" w:eastAsia="ru-RU"/>
    </w:rPr>
  </w:style>
  <w:style w:type="paragraph" w:customStyle="1" w:styleId="11">
    <w:name w:val="Обычный1"/>
    <w:uiPriority w:val="99"/>
    <w:rsid w:val="005E0ADC"/>
    <w:pPr>
      <w:snapToGrid w:val="0"/>
      <w:spacing w:before="100" w:after="100"/>
    </w:pPr>
    <w:rPr>
      <w:rFonts w:ascii="Arial" w:eastAsia="Times New Roman" w:hAnsi="Arial" w:cs="Arial"/>
      <w:sz w:val="24"/>
      <w:szCs w:val="24"/>
    </w:rPr>
  </w:style>
  <w:style w:type="character" w:customStyle="1" w:styleId="a4">
    <w:name w:val="Текст виноски Знак"/>
    <w:link w:val="a3"/>
    <w:uiPriority w:val="99"/>
    <w:semiHidden/>
    <w:locked/>
    <w:rsid w:val="005E0ADC"/>
    <w:rPr>
      <w:rFonts w:ascii="Times New Roman" w:eastAsia="Times New Roman" w:hAnsi="Times New Roman" w:cs="Times New Roman"/>
      <w:sz w:val="20"/>
      <w:szCs w:val="20"/>
      <w:lang w:val="x-none" w:eastAsia="ru-RU"/>
    </w:rPr>
  </w:style>
  <w:style w:type="paragraph" w:styleId="21">
    <w:name w:val="Body Text 2"/>
    <w:basedOn w:val="a"/>
    <w:link w:val="22"/>
    <w:uiPriority w:val="99"/>
    <w:semiHidden/>
    <w:rsid w:val="007320F8"/>
    <w:pPr>
      <w:spacing w:after="120" w:line="480" w:lineRule="auto"/>
    </w:pPr>
  </w:style>
  <w:style w:type="paragraph" w:styleId="af0">
    <w:name w:val="Balloon Text"/>
    <w:basedOn w:val="a"/>
    <w:link w:val="af1"/>
    <w:uiPriority w:val="99"/>
    <w:semiHidden/>
    <w:rsid w:val="007320F8"/>
    <w:rPr>
      <w:rFonts w:ascii="Tahoma" w:hAnsi="Tahoma" w:cs="Tahoma"/>
      <w:sz w:val="16"/>
      <w:szCs w:val="16"/>
    </w:rPr>
  </w:style>
  <w:style w:type="character" w:customStyle="1" w:styleId="22">
    <w:name w:val="Основний текст 2 Знак"/>
    <w:link w:val="21"/>
    <w:uiPriority w:val="99"/>
    <w:semiHidden/>
    <w:locked/>
    <w:rsid w:val="007320F8"/>
    <w:rPr>
      <w:rFonts w:ascii="Arial" w:eastAsia="Times New Roman" w:hAnsi="Arial" w:cs="Arial"/>
      <w:sz w:val="20"/>
      <w:szCs w:val="20"/>
      <w:lang w:val="x-none" w:eastAsia="ru-RU"/>
    </w:rPr>
  </w:style>
  <w:style w:type="paragraph" w:styleId="af2">
    <w:name w:val="Plain Text"/>
    <w:basedOn w:val="a"/>
    <w:link w:val="af3"/>
    <w:uiPriority w:val="99"/>
    <w:semiHidden/>
    <w:rsid w:val="007320F8"/>
    <w:pPr>
      <w:widowControl/>
      <w:autoSpaceDE/>
      <w:autoSpaceDN/>
      <w:adjustRightInd/>
    </w:pPr>
    <w:rPr>
      <w:rFonts w:ascii="Courier New" w:hAnsi="Courier New" w:cs="Courier New"/>
    </w:rPr>
  </w:style>
  <w:style w:type="character" w:customStyle="1" w:styleId="af1">
    <w:name w:val="Текст у виносці Знак"/>
    <w:link w:val="af0"/>
    <w:uiPriority w:val="99"/>
    <w:semiHidden/>
    <w:locked/>
    <w:rsid w:val="007320F8"/>
    <w:rPr>
      <w:rFonts w:ascii="Tahoma" w:eastAsia="Times New Roman" w:hAnsi="Tahoma" w:cs="Tahoma"/>
      <w:sz w:val="16"/>
      <w:szCs w:val="16"/>
      <w:lang w:val="x-none" w:eastAsia="ru-RU"/>
    </w:rPr>
  </w:style>
  <w:style w:type="character" w:customStyle="1" w:styleId="10">
    <w:name w:val="Заголовок 1 Знак"/>
    <w:link w:val="1"/>
    <w:uiPriority w:val="99"/>
    <w:locked/>
    <w:rsid w:val="00071C20"/>
    <w:rPr>
      <w:rFonts w:ascii="Cambria" w:eastAsia="Times New Roman" w:hAnsi="Cambria" w:cs="Cambria"/>
      <w:b/>
      <w:bCs/>
      <w:color w:val="365F91"/>
      <w:sz w:val="28"/>
      <w:szCs w:val="28"/>
      <w:lang w:val="x-none" w:eastAsia="ru-RU"/>
    </w:rPr>
  </w:style>
  <w:style w:type="character" w:customStyle="1" w:styleId="af3">
    <w:name w:val="Текст Знак"/>
    <w:link w:val="af2"/>
    <w:uiPriority w:val="99"/>
    <w:semiHidden/>
    <w:locked/>
    <w:rsid w:val="007320F8"/>
    <w:rPr>
      <w:rFonts w:ascii="Courier New" w:eastAsia="Times New Roman" w:hAnsi="Courier New" w:cs="Courier New"/>
      <w:sz w:val="20"/>
      <w:szCs w:val="20"/>
      <w:lang w:val="x-none" w:eastAsia="ru-RU"/>
    </w:rPr>
  </w:style>
  <w:style w:type="table" w:styleId="af4">
    <w:name w:val="Table Grid"/>
    <w:basedOn w:val="a1"/>
    <w:uiPriority w:val="99"/>
    <w:rsid w:val="00341A1F"/>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Hyperlink"/>
    <w:uiPriority w:val="99"/>
    <w:rsid w:val="00416F67"/>
    <w:rPr>
      <w:color w:val="0000FF"/>
      <w:u w:val="single"/>
    </w:rPr>
  </w:style>
  <w:style w:type="character" w:styleId="af6">
    <w:name w:val="FollowedHyperlink"/>
    <w:uiPriority w:val="99"/>
    <w:semiHidden/>
    <w:rsid w:val="003B374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026578">
      <w:marLeft w:val="0"/>
      <w:marRight w:val="0"/>
      <w:marTop w:val="0"/>
      <w:marBottom w:val="0"/>
      <w:divBdr>
        <w:top w:val="none" w:sz="0" w:space="0" w:color="auto"/>
        <w:left w:val="none" w:sz="0" w:space="0" w:color="auto"/>
        <w:bottom w:val="none" w:sz="0" w:space="0" w:color="auto"/>
        <w:right w:val="none" w:sz="0" w:space="0" w:color="auto"/>
      </w:divBdr>
    </w:div>
    <w:div w:id="1978026579">
      <w:marLeft w:val="0"/>
      <w:marRight w:val="0"/>
      <w:marTop w:val="0"/>
      <w:marBottom w:val="0"/>
      <w:divBdr>
        <w:top w:val="none" w:sz="0" w:space="0" w:color="auto"/>
        <w:left w:val="none" w:sz="0" w:space="0" w:color="auto"/>
        <w:bottom w:val="none" w:sz="0" w:space="0" w:color="auto"/>
        <w:right w:val="none" w:sz="0" w:space="0" w:color="auto"/>
      </w:divBdr>
    </w:div>
    <w:div w:id="1978026580">
      <w:marLeft w:val="0"/>
      <w:marRight w:val="0"/>
      <w:marTop w:val="0"/>
      <w:marBottom w:val="0"/>
      <w:divBdr>
        <w:top w:val="none" w:sz="0" w:space="0" w:color="auto"/>
        <w:left w:val="none" w:sz="0" w:space="0" w:color="auto"/>
        <w:bottom w:val="none" w:sz="0" w:space="0" w:color="auto"/>
        <w:right w:val="none" w:sz="0" w:space="0" w:color="auto"/>
      </w:divBdr>
    </w:div>
    <w:div w:id="1978026581">
      <w:marLeft w:val="0"/>
      <w:marRight w:val="0"/>
      <w:marTop w:val="0"/>
      <w:marBottom w:val="0"/>
      <w:divBdr>
        <w:top w:val="none" w:sz="0" w:space="0" w:color="auto"/>
        <w:left w:val="none" w:sz="0" w:space="0" w:color="auto"/>
        <w:bottom w:val="none" w:sz="0" w:space="0" w:color="auto"/>
        <w:right w:val="none" w:sz="0" w:space="0" w:color="auto"/>
      </w:divBdr>
    </w:div>
    <w:div w:id="1978026582">
      <w:marLeft w:val="0"/>
      <w:marRight w:val="0"/>
      <w:marTop w:val="0"/>
      <w:marBottom w:val="0"/>
      <w:divBdr>
        <w:top w:val="none" w:sz="0" w:space="0" w:color="auto"/>
        <w:left w:val="none" w:sz="0" w:space="0" w:color="auto"/>
        <w:bottom w:val="none" w:sz="0" w:space="0" w:color="auto"/>
        <w:right w:val="none" w:sz="0" w:space="0" w:color="auto"/>
      </w:divBdr>
    </w:div>
    <w:div w:id="1978026583">
      <w:marLeft w:val="0"/>
      <w:marRight w:val="0"/>
      <w:marTop w:val="0"/>
      <w:marBottom w:val="0"/>
      <w:divBdr>
        <w:top w:val="none" w:sz="0" w:space="0" w:color="auto"/>
        <w:left w:val="none" w:sz="0" w:space="0" w:color="auto"/>
        <w:bottom w:val="none" w:sz="0" w:space="0" w:color="auto"/>
        <w:right w:val="none" w:sz="0" w:space="0" w:color="auto"/>
      </w:divBdr>
    </w:div>
    <w:div w:id="1978026584">
      <w:marLeft w:val="0"/>
      <w:marRight w:val="0"/>
      <w:marTop w:val="0"/>
      <w:marBottom w:val="0"/>
      <w:divBdr>
        <w:top w:val="none" w:sz="0" w:space="0" w:color="auto"/>
        <w:left w:val="none" w:sz="0" w:space="0" w:color="auto"/>
        <w:bottom w:val="none" w:sz="0" w:space="0" w:color="auto"/>
        <w:right w:val="none" w:sz="0" w:space="0" w:color="auto"/>
      </w:divBdr>
    </w:div>
    <w:div w:id="1978026585">
      <w:marLeft w:val="0"/>
      <w:marRight w:val="0"/>
      <w:marTop w:val="0"/>
      <w:marBottom w:val="0"/>
      <w:divBdr>
        <w:top w:val="none" w:sz="0" w:space="0" w:color="auto"/>
        <w:left w:val="none" w:sz="0" w:space="0" w:color="auto"/>
        <w:bottom w:val="none" w:sz="0" w:space="0" w:color="auto"/>
        <w:right w:val="none" w:sz="0" w:space="0" w:color="auto"/>
      </w:divBdr>
    </w:div>
    <w:div w:id="1978026586">
      <w:marLeft w:val="0"/>
      <w:marRight w:val="0"/>
      <w:marTop w:val="0"/>
      <w:marBottom w:val="0"/>
      <w:divBdr>
        <w:top w:val="none" w:sz="0" w:space="0" w:color="auto"/>
        <w:left w:val="none" w:sz="0" w:space="0" w:color="auto"/>
        <w:bottom w:val="none" w:sz="0" w:space="0" w:color="auto"/>
        <w:right w:val="none" w:sz="0" w:space="0" w:color="auto"/>
      </w:divBdr>
    </w:div>
    <w:div w:id="1978026587">
      <w:marLeft w:val="0"/>
      <w:marRight w:val="0"/>
      <w:marTop w:val="0"/>
      <w:marBottom w:val="0"/>
      <w:divBdr>
        <w:top w:val="none" w:sz="0" w:space="0" w:color="auto"/>
        <w:left w:val="none" w:sz="0" w:space="0" w:color="auto"/>
        <w:bottom w:val="none" w:sz="0" w:space="0" w:color="auto"/>
        <w:right w:val="none" w:sz="0" w:space="0" w:color="auto"/>
      </w:divBdr>
    </w:div>
    <w:div w:id="1978026588">
      <w:marLeft w:val="0"/>
      <w:marRight w:val="0"/>
      <w:marTop w:val="0"/>
      <w:marBottom w:val="0"/>
      <w:divBdr>
        <w:top w:val="none" w:sz="0" w:space="0" w:color="auto"/>
        <w:left w:val="none" w:sz="0" w:space="0" w:color="auto"/>
        <w:bottom w:val="none" w:sz="0" w:space="0" w:color="auto"/>
        <w:right w:val="none" w:sz="0" w:space="0" w:color="auto"/>
      </w:divBdr>
    </w:div>
    <w:div w:id="1978026589">
      <w:marLeft w:val="0"/>
      <w:marRight w:val="0"/>
      <w:marTop w:val="0"/>
      <w:marBottom w:val="0"/>
      <w:divBdr>
        <w:top w:val="none" w:sz="0" w:space="0" w:color="auto"/>
        <w:left w:val="none" w:sz="0" w:space="0" w:color="auto"/>
        <w:bottom w:val="none" w:sz="0" w:space="0" w:color="auto"/>
        <w:right w:val="none" w:sz="0" w:space="0" w:color="auto"/>
      </w:divBdr>
    </w:div>
    <w:div w:id="1978026590">
      <w:marLeft w:val="0"/>
      <w:marRight w:val="0"/>
      <w:marTop w:val="0"/>
      <w:marBottom w:val="0"/>
      <w:divBdr>
        <w:top w:val="none" w:sz="0" w:space="0" w:color="auto"/>
        <w:left w:val="none" w:sz="0" w:space="0" w:color="auto"/>
        <w:bottom w:val="none" w:sz="0" w:space="0" w:color="auto"/>
        <w:right w:val="none" w:sz="0" w:space="0" w:color="auto"/>
      </w:divBdr>
    </w:div>
    <w:div w:id="1978026591">
      <w:marLeft w:val="0"/>
      <w:marRight w:val="0"/>
      <w:marTop w:val="0"/>
      <w:marBottom w:val="0"/>
      <w:divBdr>
        <w:top w:val="none" w:sz="0" w:space="0" w:color="auto"/>
        <w:left w:val="none" w:sz="0" w:space="0" w:color="auto"/>
        <w:bottom w:val="none" w:sz="0" w:space="0" w:color="auto"/>
        <w:right w:val="none" w:sz="0" w:space="0" w:color="auto"/>
      </w:divBdr>
    </w:div>
    <w:div w:id="1978026592">
      <w:marLeft w:val="0"/>
      <w:marRight w:val="0"/>
      <w:marTop w:val="0"/>
      <w:marBottom w:val="0"/>
      <w:divBdr>
        <w:top w:val="none" w:sz="0" w:space="0" w:color="auto"/>
        <w:left w:val="none" w:sz="0" w:space="0" w:color="auto"/>
        <w:bottom w:val="none" w:sz="0" w:space="0" w:color="auto"/>
        <w:right w:val="none" w:sz="0" w:space="0" w:color="auto"/>
      </w:divBdr>
    </w:div>
    <w:div w:id="1978026593">
      <w:marLeft w:val="0"/>
      <w:marRight w:val="0"/>
      <w:marTop w:val="0"/>
      <w:marBottom w:val="0"/>
      <w:divBdr>
        <w:top w:val="none" w:sz="0" w:space="0" w:color="auto"/>
        <w:left w:val="none" w:sz="0" w:space="0" w:color="auto"/>
        <w:bottom w:val="none" w:sz="0" w:space="0" w:color="auto"/>
        <w:right w:val="none" w:sz="0" w:space="0" w:color="auto"/>
      </w:divBdr>
    </w:div>
    <w:div w:id="1978026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13155</Words>
  <Characters>74990</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Ep</Company>
  <LinksUpToDate>false</LinksUpToDate>
  <CharactersWithSpaces>87970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Смышляев</dc:creator>
  <cp:keywords/>
  <dc:description/>
  <cp:lastModifiedBy>Irina</cp:lastModifiedBy>
  <cp:revision>2</cp:revision>
  <cp:lastPrinted>2009-06-19T08:50:00Z</cp:lastPrinted>
  <dcterms:created xsi:type="dcterms:W3CDTF">2014-08-11T12:12:00Z</dcterms:created>
  <dcterms:modified xsi:type="dcterms:W3CDTF">2014-08-11T12:12:00Z</dcterms:modified>
</cp:coreProperties>
</file>